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r>
        <w:rPr>
          <w:rFonts w:hint="eastAsia"/>
        </w:rPr>
        <w:t xml:space="preserve">*, </w:t>
      </w:r>
      <w:proofErr w:type="spellStart"/>
      <w:r>
        <w:rPr>
          <w:rFonts w:hint="eastAsia"/>
        </w:rPr>
        <w:t>X</w:t>
      </w:r>
      <w:r w:rsidR="00C42201">
        <w:t>iaokang</w:t>
      </w:r>
      <w:proofErr w:type="spellEnd"/>
      <w:r w:rsidR="00C42201">
        <w:t xml:space="preserve"> </w:t>
      </w:r>
      <w:proofErr w:type="spellStart"/>
      <w:r>
        <w:rPr>
          <w:rFonts w:hint="eastAsia"/>
        </w:rPr>
        <w:t>Wang</w:t>
      </w:r>
      <w:r w:rsidRPr="00DF34E5">
        <w:rPr>
          <w:rFonts w:hint="eastAsia"/>
          <w:vertAlign w:val="superscript"/>
        </w:rPr>
        <w:t>3</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2FD48521"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used</w:t>
      </w:r>
      <w:r w:rsidR="00971858">
        <w:t xml:space="preserve"> </w:t>
      </w:r>
      <w:r w:rsidR="00D92F42">
        <w:t xml:space="preserve">to engineer both enzyme specificity and activity, however successful hit rates are often under ten percent.  One potential reason for this is that </w:t>
      </w:r>
      <w:r>
        <w:t>current force-field based approaches are frequently trained using indirect measures of function rather than direct correlation to experimentally-determined functional effects</w:t>
      </w:r>
      <w:r w:rsidR="00D92F42">
        <w:t xml:space="preserve"> </w:t>
      </w:r>
      <w:r>
        <w:t xml:space="preserve">. This </w:t>
      </w:r>
      <w:r>
        <w:lastRenderedPageBreak/>
        <w:t xml:space="preserve">is due 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0E145B54"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Yet, there is significant precedence in the use of large datasets to train and evaluate force-field based algorithms for protein function.</w:t>
      </w:r>
      <w:r>
        <w:t xml:space="preserve"> </w:t>
      </w:r>
      <w:r w:rsidR="00DF34E5">
        <w:t xml:space="preserve">A closely related example is the </w:t>
      </w:r>
      <w:proofErr w:type="spellStart"/>
      <w:r w:rsidR="00DF34E5">
        <w:t>ProTherm</w:t>
      </w:r>
      <w:proofErr w:type="spellEnd"/>
      <w:r w:rsidR="00DF34E5">
        <w:t xml:space="preserve"> database which has over twenty thousands of measured effects o</w:t>
      </w:r>
      <w:r w:rsidR="00C65137">
        <w:t xml:space="preserve">f mutations on </w:t>
      </w:r>
      <w:proofErr w:type="spellStart"/>
      <w:r w:rsidR="00C65137">
        <w:t>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proofErr w:type="spellEnd"/>
      <w:r w:rsidR="00C65137">
        <w:fldChar w:fldCharType="end"/>
      </w:r>
      <w:r w:rsidR="00DF34E5">
        <w:t xml:space="preserve"> This database is the gold standard used for the development of numerous algorithms for predicting effects of mutat</w:t>
      </w:r>
      <w:r w:rsidR="00D27DC5">
        <w:t xml:space="preserve">ions on </w:t>
      </w:r>
      <w:proofErr w:type="spellStart"/>
      <w:r w:rsidR="00D27DC5">
        <w:t>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proofErr w:type="spellEnd"/>
      <w:r w:rsidR="00F4224D" w:rsidRPr="00F4224D">
        <w:rPr>
          <w:vertAlign w:val="superscript"/>
        </w:rPr>
        <w:fldChar w:fldCharType="end"/>
      </w:r>
      <w:r>
        <w:t xml:space="preserve"> </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2E575A77"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6FE16269"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of recombinant BglB 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bound was used to identify the substrate 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-like mechanism</w:t>
      </w:r>
      <w:r w:rsidR="00BB2E28">
        <w:t xml:space="preserve"> (See supplemental information for details)</w:t>
      </w:r>
      <w:r>
        <w:t xml:space="preserve">. </w:t>
      </w:r>
    </w:p>
    <w:p w14:paraId="7AB132AA" w14:textId="43B15420" w:rsidR="00DF34E5" w:rsidRDefault="00DF34E5" w:rsidP="008C36CB">
      <w:pPr>
        <w:spacing w:line="480" w:lineRule="auto"/>
      </w:pPr>
      <w:r>
        <w:tab/>
        <w:t xml:space="preserve">Two approaches were used to establish a set of mutants to generate and kinetically characterize. The first approach was 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05DE27C1" w:rsidR="00DF34E5" w:rsidRDefault="00DF34E5" w:rsidP="008C36CB">
      <w:pPr>
        <w:spacing w:line="480" w:lineRule="auto"/>
      </w:pPr>
      <w:r>
        <w:t xml:space="preserve">Each of the 104 mutants was made via Kunkel </w:t>
      </w:r>
      <w:proofErr w:type="spellStart"/>
      <w:r>
        <w:t>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proofErr w:type="spellEnd"/>
      <w:r w:rsidR="009F55F8">
        <w:fldChar w:fldCharType="end"/>
      </w:r>
      <w:r>
        <w:t xml:space="preserve"> using the </w:t>
      </w:r>
      <w:proofErr w:type="spellStart"/>
      <w:r>
        <w:t>Transcriptic</w:t>
      </w:r>
      <w:proofErr w:type="spellEnd"/>
      <w:r>
        <w:t xml:space="preserve"> cloud laboratory platform and sequence-verified. Mutant plasmids were transformed into </w:t>
      </w:r>
      <w:r w:rsidRPr="009F55F8">
        <w:rPr>
          <w:i/>
        </w:rPr>
        <w:t>Escherichia coli</w:t>
      </w:r>
      <w:r>
        <w:t xml:space="preserve"> </w:t>
      </w:r>
      <w:proofErr w:type="spellStart"/>
      <w:r>
        <w:t>BL21</w:t>
      </w:r>
      <w:proofErr w:type="spellEnd"/>
      <w:r>
        <w:t>(</w:t>
      </w:r>
      <w:proofErr w:type="spellStart"/>
      <w:r>
        <w:t>DE3</w:t>
      </w:r>
      <w:proofErr w:type="spellEnd"/>
      <w:r>
        <w:t xml:space="preserve">), and after expression proteins were purified via immobilized metal affinity chromatography. Absorbance at 280 nm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1714D6D0" w:rsidR="00DF34E5" w:rsidRDefault="00DF34E5" w:rsidP="008C36CB">
      <w:pPr>
        <w:spacing w:line="480" w:lineRule="auto"/>
      </w:pPr>
      <w:r>
        <w:tab/>
        <w:t>A total of ten biological replicates of the native BglB were used to assess expression and purification. The average yield is found to be 1.2 ± 0.4 mg/</w:t>
      </w:r>
      <w:proofErr w:type="spellStart"/>
      <w:r>
        <w:t>mL.</w:t>
      </w:r>
      <w:proofErr w:type="spellEnd"/>
      <w:r>
        <w:t xml:space="preserve"> Of the 104 mutants synthesized, 90 are found to express and purify as soluble protein (Figure 2). The yields for all 104 mutants </w:t>
      </w:r>
      <w:r w:rsidR="00B95A22">
        <w:t>are included in</w:t>
      </w:r>
      <w:r>
        <w:t xml:space="preserve"> </w:t>
      </w:r>
      <w:r w:rsidR="00B95A22">
        <w:t>Supplemental Table 1</w:t>
      </w:r>
      <w:r>
        <w:t xml:space="preserve">. Greater than 35% maintained the yields obtained for native BglB, and 15% are not expressed and purified as a soluble protein above our limit of detection (0.1 mg/mL) based on </w:t>
      </w:r>
      <w:proofErr w:type="spellStart"/>
      <w:r>
        <w:t>A280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has 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w:t>
      </w:r>
      <w:proofErr w:type="spellStart"/>
      <w:r>
        <w:t>Q19A</w:t>
      </w:r>
      <w:proofErr w:type="spellEnd"/>
      <w:r>
        <w:t xml:space="preserve">, which decreases catalytic efficiency 57,000-fold. An analysis of the crystal structure of BglB illustrates that both the nitrogen and oxygen of the amide sidechain interact with hydroxyl groups on the substrate (Figure </w:t>
      </w:r>
      <w:proofErr w:type="spellStart"/>
      <w:r>
        <w:t>3A</w:t>
      </w:r>
      <w:proofErr w:type="spellEnd"/>
      <w:r>
        <w:t xml:space="preserve">). Based on a multiple sequence alignment of the </w:t>
      </w:r>
      <w:proofErr w:type="spellStart"/>
      <w:r>
        <w:t>Pfam</w:t>
      </w:r>
      <w:proofErr w:type="spellEnd"/>
      <w:r>
        <w:t xml:space="preserve"> database for the BglB enzyme family comprising 1,554 non-redundant proteins, </w:t>
      </w:r>
      <w:proofErr w:type="spellStart"/>
      <w:r>
        <w:t>Q19</w:t>
      </w:r>
      <w:proofErr w:type="spellEnd"/>
      <w:r>
        <w:t xml:space="preserve"> is 95% conserved (Figure </w:t>
      </w:r>
      <w:proofErr w:type="spellStart"/>
      <w:r>
        <w:t>3B</w:t>
      </w:r>
      <w:proofErr w:type="spellEnd"/>
      <w:r>
        <w:t xml:space="preserve">).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 involved in chemistry of the reaction. A crystal structure 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of the </w:t>
      </w:r>
      <w:proofErr w:type="spellStart"/>
      <w:r>
        <w:t>Q19A</w:t>
      </w:r>
      <w:proofErr w:type="spellEnd"/>
      <w:r>
        <w:t xml:space="preserve"> mutation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290AA882" w14:textId="5E13D487" w:rsidR="00DF34E5" w:rsidRDefault="00DF34E5" w:rsidP="008C36CB">
      <w:pPr>
        <w:spacing w:line="480" w:lineRule="auto"/>
      </w:pPr>
      <w:r>
        <w:tab/>
        <w:t xml:space="preserve">Another unexpected 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adopts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xml:space="preserve">). This would result in a significant change of the electrostatic environment around the active site, suggesting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the previously proposed hypothesis that the electrostatic environment of </w:t>
      </w:r>
      <w:r w:rsidR="00BB2E28">
        <w:t xml:space="preserve">an </w:t>
      </w:r>
      <w:r>
        <w:t>enzyme active site is of primary i</w:t>
      </w:r>
      <w:r w:rsidR="00E31C1E">
        <w:t xml:space="preserve">mportance to </w:t>
      </w:r>
      <w:proofErr w:type="spellStart"/>
      <w:r w:rsidR="00E31C1E">
        <w:t>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Finally,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and backbone minimization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39CD186F"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illustrates the correlations between machine learning predictions and experimentally-measured values. </w:t>
      </w:r>
    </w:p>
    <w:p w14:paraId="285AF232" w14:textId="6B4380FD"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r w:rsidR="00B20ED9">
        <w:t>an increase in structural packing around the catalytic residues and protein results in a higher K</w:t>
      </w:r>
      <w:r w:rsidR="00B20ED9" w:rsidRPr="00D947F4">
        <w:rPr>
          <w:vertAlign w:val="subscript"/>
        </w:rPr>
        <w:t>M</w:t>
      </w:r>
      <w:r w:rsidR="00B20ED9">
        <w:t>.</w:t>
      </w:r>
      <w:r w:rsidR="00342F97">
        <w:t xml:space="preserve">  Since substrate binding has a direct effect on K</w:t>
      </w:r>
      <w:r w:rsidR="00342F97" w:rsidRPr="00D947F4">
        <w:rPr>
          <w:vertAlign w:val="subscript"/>
        </w:rPr>
        <w:t>M</w:t>
      </w:r>
      <w:r w:rsidR="00342F97">
        <w:t xml:space="preserve">, this suggests physical space is needed </w:t>
      </w:r>
      <w:r w:rsidR="00DF34E5">
        <w:t xml:space="preserve">around each catalytic residue and the entire protein </w:t>
      </w:r>
      <w:r w:rsidR="00342F97">
        <w:t>in order to optimally accommodate the substrate</w:t>
      </w:r>
      <w:r w:rsidR="00DF34E5">
        <w:t xml:space="preserve">. These features and interpretation of their selection is consistent with an induced fit mechanism. However, if BglB employs an induced fit mechanism, the structural changes would likely be relatively small since the </w:t>
      </w:r>
      <w:proofErr w:type="spellStart"/>
      <w:r w:rsidR="00DF34E5">
        <w:t>RMSD</w:t>
      </w:r>
      <w:proofErr w:type="spellEnd"/>
      <w:r w:rsidR="00DF34E5">
        <w:t xml:space="preserve"> between the </w:t>
      </w:r>
      <w:proofErr w:type="spellStart"/>
      <w:r w:rsidR="00DF34E5">
        <w:t>apo</w:t>
      </w:r>
      <w:proofErr w:type="spellEnd"/>
      <w:r w:rsidR="00DF34E5">
        <w:t xml:space="preserve"> and transition state analogue bound forms of BglB is &lt;</w:t>
      </w:r>
      <w:r w:rsidR="00DC381A">
        <w:t xml:space="preserve"> </w:t>
      </w:r>
      <w:r w:rsidR="00DF34E5">
        <w:t xml:space="preserve">0.2 Å. </w:t>
      </w:r>
    </w:p>
    <w:p w14:paraId="440A2B73" w14:textId="6D5CAA1C"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proofErr w:type="spellEnd"/>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r w:rsidR="00342F97">
        <w:t>T</w:t>
      </w:r>
      <w:r>
        <w:t xml:space="preserve">he </w:t>
      </w:r>
      <w:r w:rsidR="00342F97">
        <w:t xml:space="preserve">selection </w:t>
      </w:r>
      <w:r>
        <w:t xml:space="preserve">of these features by the machine learning algorithm is consistent with </w:t>
      </w:r>
      <w:r w:rsidR="00342F97">
        <w:t xml:space="preserve">hypothesis that </w:t>
      </w:r>
      <w:r>
        <w:t xml:space="preserve">the finely-tuned electrostatic environment of the BglB active site </w:t>
      </w:r>
      <w:r w:rsidR="00342F97">
        <w:t xml:space="preserve">is </w:t>
      </w:r>
      <w:r>
        <w:t>of primary impo</w:t>
      </w:r>
      <w:r w:rsidR="00515B0C">
        <w:t xml:space="preserve">rtance for </w:t>
      </w:r>
      <w:proofErr w:type="spellStart"/>
      <w:r w:rsidR="00515B0C">
        <w:t>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proofErr w:type="spellEnd"/>
      <w:r w:rsidR="00955701">
        <w:fldChar w:fldCharType="end"/>
      </w:r>
    </w:p>
    <w:p w14:paraId="5531B8F6" w14:textId="7E60C2D8"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This is further supported by the finding that the mutation </w:t>
      </w:r>
      <w:proofErr w:type="spellStart"/>
      <w:r>
        <w:t>Q19A</w:t>
      </w:r>
      <w:proofErr w:type="spellEnd"/>
      <w:r>
        <w:t xml:space="preserve">, which removes two hydrogen bond interactions between </w:t>
      </w:r>
      <w:proofErr w:type="spellStart"/>
      <w:r>
        <w:t>Q19</w:t>
      </w:r>
      <w:proofErr w:type="spellEnd"/>
      <w:r>
        <w:t xml:space="preserve"> and pNPG is equivalent to the catalytic knockout </w:t>
      </w:r>
      <w:proofErr w:type="spellStart"/>
      <w:r>
        <w:t>E353A</w:t>
      </w:r>
      <w:proofErr w:type="spellEnd"/>
      <w:r>
        <w:t xml:space="preserve"> in reducing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FBE270C"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proofErr w:type="spellEnd"/>
      <w:r w:rsidR="00821017">
        <w:fldChar w:fldCharType="end"/>
      </w:r>
    </w:p>
    <w:p w14:paraId="0483E4D7" w14:textId="76063AB3" w:rsidR="00DF34E5" w:rsidRDefault="00DF34E5" w:rsidP="008C36CB">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w:t>
      </w:r>
      <w:r w:rsidR="00FD1932">
        <w:t>s</w:t>
      </w:r>
      <w:r>
        <w:t>.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bound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D503129" w14:textId="7E2162E0" w:rsidR="00DF34E5" w:rsidRDefault="009F05B6" w:rsidP="008C36CB">
      <w:pPr>
        <w:spacing w:line="480" w:lineRule="auto"/>
      </w:pPr>
      <w:r>
        <w:t xml:space="preserve">Author Contributions: </w:t>
      </w:r>
      <w:proofErr w:type="spellStart"/>
      <w:r>
        <w:t>DAC</w:t>
      </w:r>
      <w:proofErr w:type="spellEnd"/>
      <w:r>
        <w:t xml:space="preserve"> and </w:t>
      </w:r>
      <w:proofErr w:type="spellStart"/>
      <w:r>
        <w:t>RWC</w:t>
      </w:r>
      <w:proofErr w:type="spellEnd"/>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r w:rsidR="00FD1932">
        <w:t xml:space="preserve"> We are grateful to the Siegel Lab, Dr.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t xml:space="preserve">, </w:t>
      </w:r>
      <w:proofErr w:type="spellStart"/>
      <w:r>
        <w:t>RMSD</w:t>
      </w:r>
      <w:proofErr w:type="spellEnd"/>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 drawn with </w:t>
      </w:r>
      <w:proofErr w:type="spellStart"/>
      <w:r w:rsidR="00DA6C73">
        <w:t>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proofErr w:type="spellEnd"/>
      <w:r w:rsidR="00DA6C73">
        <w:fldChar w:fldCharType="end"/>
      </w:r>
      <w:r>
        <w:t xml:space="preserve"> Alpha carbons of residues mutated shown as blue spheres (B)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70E1D447" w:rsidR="00DF34E5" w:rsidRDefault="00DF34E5" w:rsidP="008C36CB">
      <w:pPr>
        <w:spacing w:line="480" w:lineRule="auto"/>
      </w:pPr>
      <w:r>
        <w:t xml:space="preserve">The log value corresponding to the relative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 </w:t>
      </w:r>
      <w:proofErr w:type="spellStart"/>
      <w:r w:rsidR="004F15C1" w:rsidRPr="00AE71AE">
        <w:rPr>
          <w:i/>
        </w:rPr>
        <w:t>k</w:t>
      </w:r>
      <w:r w:rsidR="004F15C1" w:rsidRPr="00AE71AE">
        <w:rPr>
          <w:vertAlign w:val="subscript"/>
        </w:rPr>
        <w:t>cat</w:t>
      </w:r>
      <w:proofErr w:type="spellEnd"/>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403284BF"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Sunden, F.; Peck, A.; Salzman, J.; Ressl, S.; Herschlag, D.; Kuriyan, J., Extensive site-directed mutagenesis reveals in</w:t>
      </w:r>
      <w:bookmarkStart w:id="0" w:name="_GoBack"/>
      <w:bookmarkEnd w:id="0"/>
      <w:r w:rsidRPr="00DA6C73">
        <w:rPr>
          <w:noProof/>
        </w:rPr>
        <w:t xml:space="preserve">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935EF"/>
    <w:rsid w:val="000C62FC"/>
    <w:rsid w:val="000D05AB"/>
    <w:rsid w:val="000D16BA"/>
    <w:rsid w:val="000E4A77"/>
    <w:rsid w:val="001112F9"/>
    <w:rsid w:val="00114C36"/>
    <w:rsid w:val="00132354"/>
    <w:rsid w:val="00152501"/>
    <w:rsid w:val="00186323"/>
    <w:rsid w:val="00190869"/>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4013"/>
    <w:rsid w:val="00342F97"/>
    <w:rsid w:val="003B2366"/>
    <w:rsid w:val="003F15E3"/>
    <w:rsid w:val="0040061F"/>
    <w:rsid w:val="00457A0B"/>
    <w:rsid w:val="004A52E3"/>
    <w:rsid w:val="004F15C1"/>
    <w:rsid w:val="005003CC"/>
    <w:rsid w:val="005061E7"/>
    <w:rsid w:val="00515B0C"/>
    <w:rsid w:val="005625F4"/>
    <w:rsid w:val="005815CD"/>
    <w:rsid w:val="005C3C83"/>
    <w:rsid w:val="005C44A4"/>
    <w:rsid w:val="005D2F49"/>
    <w:rsid w:val="006314A2"/>
    <w:rsid w:val="00632B58"/>
    <w:rsid w:val="00632C3C"/>
    <w:rsid w:val="00652F48"/>
    <w:rsid w:val="006927C5"/>
    <w:rsid w:val="00696E24"/>
    <w:rsid w:val="00700366"/>
    <w:rsid w:val="00721840"/>
    <w:rsid w:val="00726317"/>
    <w:rsid w:val="0075290A"/>
    <w:rsid w:val="00775C69"/>
    <w:rsid w:val="00781200"/>
    <w:rsid w:val="00794F66"/>
    <w:rsid w:val="007D70EE"/>
    <w:rsid w:val="007E6A5B"/>
    <w:rsid w:val="007F744E"/>
    <w:rsid w:val="00821017"/>
    <w:rsid w:val="008236FF"/>
    <w:rsid w:val="00841818"/>
    <w:rsid w:val="008542E8"/>
    <w:rsid w:val="008C36CB"/>
    <w:rsid w:val="008E17CB"/>
    <w:rsid w:val="00920108"/>
    <w:rsid w:val="00927A5F"/>
    <w:rsid w:val="00955701"/>
    <w:rsid w:val="00957C69"/>
    <w:rsid w:val="009650B2"/>
    <w:rsid w:val="00971858"/>
    <w:rsid w:val="00981B20"/>
    <w:rsid w:val="009C31AA"/>
    <w:rsid w:val="009C51D9"/>
    <w:rsid w:val="009E2237"/>
    <w:rsid w:val="009E3F2F"/>
    <w:rsid w:val="009F05B6"/>
    <w:rsid w:val="009F55F8"/>
    <w:rsid w:val="00A03694"/>
    <w:rsid w:val="00A94C91"/>
    <w:rsid w:val="00AA5F6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2F42"/>
    <w:rsid w:val="00D947F4"/>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9893</Words>
  <Characters>56392</Characters>
  <Application>Microsoft Macintosh Word</Application>
  <DocSecurity>0</DocSecurity>
  <Lines>469</Lines>
  <Paragraphs>132</Paragraphs>
  <ScaleCrop>false</ScaleCrop>
  <Company/>
  <LinksUpToDate>false</LinksUpToDate>
  <CharactersWithSpaces>66153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9</cp:revision>
  <dcterms:created xsi:type="dcterms:W3CDTF">2015-05-13T05:03:00Z</dcterms:created>
  <dcterms:modified xsi:type="dcterms:W3CDTF">2015-05-13T19:16:00Z</dcterms:modified>
</cp:coreProperties>
</file>