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77777777" w:rsidR="00DF34E5" w:rsidRPr="0040061F" w:rsidRDefault="00DF34E5" w:rsidP="008C36CB">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8C36CB">
      <w:pPr>
        <w:spacing w:line="480" w:lineRule="auto"/>
      </w:pPr>
    </w:p>
    <w:p w14:paraId="69B95027" w14:textId="77777777" w:rsidR="00DF34E5" w:rsidRDefault="00DF34E5" w:rsidP="008C36CB">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Pr>
          <w:rFonts w:hint="eastAsia"/>
        </w:rPr>
        <w:t xml:space="preserve">*, </w:t>
      </w:r>
      <w:proofErr w:type="spellStart"/>
      <w:r>
        <w:rPr>
          <w:rFonts w:hint="eastAsia"/>
        </w:rPr>
        <w:t>X</w:t>
      </w:r>
      <w:r w:rsidR="00C42201">
        <w:t>iaokang</w:t>
      </w:r>
      <w:proofErr w:type="spellEnd"/>
      <w:r w:rsidR="00C42201">
        <w:t xml:space="preserve"> </w:t>
      </w:r>
      <w:proofErr w:type="spellStart"/>
      <w:r>
        <w:rPr>
          <w:rFonts w:hint="eastAsia"/>
        </w:rPr>
        <w:t>Wang</w:t>
      </w:r>
      <w:r w:rsidRPr="00DF34E5">
        <w:rPr>
          <w:rFonts w:hint="eastAsia"/>
          <w:vertAlign w:val="superscript"/>
        </w:rPr>
        <w:t>3</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8C36CB">
      <w:pPr>
        <w:spacing w:line="480" w:lineRule="auto"/>
      </w:pPr>
    </w:p>
    <w:p w14:paraId="3ACACD47" w14:textId="77777777" w:rsidR="00DF34E5" w:rsidRDefault="00DF34E5" w:rsidP="008C36CB">
      <w:pPr>
        <w:spacing w:line="480" w:lineRule="auto"/>
      </w:pPr>
      <w:r>
        <w:t>Author affiliations:</w:t>
      </w:r>
    </w:p>
    <w:p w14:paraId="1131ED0B" w14:textId="77777777" w:rsidR="00DF34E5" w:rsidRDefault="00DF34E5" w:rsidP="008C36CB">
      <w:pPr>
        <w:spacing w:line="480" w:lineRule="auto"/>
      </w:pPr>
      <w:r>
        <w:rPr>
          <w:rFonts w:hint="eastAsia"/>
        </w:rPr>
        <w:t>1. Biophysics Graduate Group, University of California, Davis</w:t>
      </w:r>
    </w:p>
    <w:p w14:paraId="435F8714" w14:textId="77777777" w:rsidR="00DF34E5" w:rsidRDefault="00DF34E5" w:rsidP="008C36CB">
      <w:pPr>
        <w:spacing w:line="480" w:lineRule="auto"/>
      </w:pPr>
      <w:r>
        <w:rPr>
          <w:rFonts w:hint="eastAsia"/>
        </w:rPr>
        <w:t>2. Genome Center, University of California, Davis</w:t>
      </w:r>
    </w:p>
    <w:p w14:paraId="42CDDA10" w14:textId="77777777" w:rsidR="00DF34E5" w:rsidRDefault="00DF34E5" w:rsidP="008C36CB">
      <w:pPr>
        <w:spacing w:line="480" w:lineRule="auto"/>
      </w:pPr>
      <w:r>
        <w:t xml:space="preserve">3. </w:t>
      </w:r>
      <w:r>
        <w:rPr>
          <w:rFonts w:hint="eastAsia"/>
        </w:rPr>
        <w:t>Department of Chemistry, University of California, Davis</w:t>
      </w:r>
    </w:p>
    <w:p w14:paraId="6E3382CF" w14:textId="77777777" w:rsidR="00DF34E5" w:rsidRDefault="00DF34E5" w:rsidP="008C36CB">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8C36CB">
      <w:pPr>
        <w:spacing w:line="480" w:lineRule="auto"/>
      </w:pPr>
      <w:r>
        <w:rPr>
          <w:rFonts w:hint="eastAsia"/>
        </w:rPr>
        <w:t>5. Depa</w:t>
      </w:r>
      <w:r>
        <w:t>rtment of Biomedical Engineering, University of California, Davis</w:t>
      </w:r>
    </w:p>
    <w:p w14:paraId="0AB6CD09" w14:textId="77777777" w:rsidR="00DF34E5" w:rsidRDefault="00DF34E5" w:rsidP="008C36CB">
      <w:pPr>
        <w:spacing w:line="480" w:lineRule="auto"/>
      </w:pPr>
      <w:r>
        <w:t>6. Department of Computer Science, University of California, Davis</w:t>
      </w:r>
    </w:p>
    <w:p w14:paraId="21E48A2B" w14:textId="77777777" w:rsidR="00DF34E5" w:rsidRDefault="00DF34E5" w:rsidP="008C36CB">
      <w:pPr>
        <w:spacing w:line="480" w:lineRule="auto"/>
      </w:pPr>
    </w:p>
    <w:p w14:paraId="2A3BCB4A" w14:textId="52F2A348" w:rsidR="00AE71AE" w:rsidRPr="00AE71AE" w:rsidRDefault="00DF34E5" w:rsidP="008C36CB">
      <w:pPr>
        <w:spacing w:line="480" w:lineRule="auto"/>
        <w:rPr>
          <w:b/>
        </w:rPr>
      </w:pPr>
      <w:r w:rsidRPr="00AE71AE">
        <w:rPr>
          <w:b/>
        </w:rPr>
        <w:t>ABSTRACT</w:t>
      </w:r>
    </w:p>
    <w:p w14:paraId="17BAFA64" w14:textId="7458C107" w:rsidR="00DF34E5" w:rsidRDefault="00DF34E5" w:rsidP="008C36CB">
      <w:pPr>
        <w:spacing w:line="480" w:lineRule="auto"/>
      </w:pPr>
      <w:r>
        <w:t>The use of computational modeling algorithms to guide the design of novel enzyme catalysts is a rapidly growing field.</w:t>
      </w:r>
      <w:r w:rsidR="00CA4931">
        <w:t xml:space="preserve"> </w:t>
      </w:r>
      <w:proofErr w:type="spellStart"/>
      <w:r>
        <w:t>However</w:t>
      </w:r>
      <w:proofErr w:type="spellEnd"/>
      <w:r>
        <w:t xml:space="preserve">, current force-field based approaches are frequently trained using indirect measures of function rather than direct correlation to experimentally-determined functional effects of mutations. This is due to the lack of datasets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w:t>
      </w:r>
      <w:r>
        <w:lastRenderedPageBreak/>
        <w:t>values of over 100 purified mutants of a glycoside hydrolase enzyme and the subsequent use of this data set and a combination of molecular modeling and machine learning to select informative structural features and predict functional parameters. The dataset and analyses carried out in this study not only provide novel insight into how this enzyme functions, but provides a clear path forward for the improvement of computational enzyme redesign algorithms.</w:t>
      </w:r>
    </w:p>
    <w:p w14:paraId="30EC849B" w14:textId="77777777" w:rsidR="004F15C1" w:rsidRDefault="004F15C1" w:rsidP="008C36CB">
      <w:pPr>
        <w:spacing w:line="480" w:lineRule="auto"/>
      </w:pPr>
    </w:p>
    <w:p w14:paraId="7B248C4A" w14:textId="77777777" w:rsidR="00DF34E5" w:rsidRPr="004F15C1" w:rsidRDefault="00DF34E5" w:rsidP="008C36CB">
      <w:pPr>
        <w:spacing w:line="480" w:lineRule="auto"/>
        <w:rPr>
          <w:b/>
        </w:rPr>
      </w:pPr>
      <w:r w:rsidRPr="004F15C1">
        <w:rPr>
          <w:b/>
        </w:rPr>
        <w:t>INTRODUCTION</w:t>
      </w:r>
    </w:p>
    <w:p w14:paraId="4426FB67" w14:textId="43BFBD3A" w:rsidR="00DF34E5" w:rsidRDefault="00DF34E5" w:rsidP="008C36CB">
      <w:pPr>
        <w:spacing w:line="480" w:lineRule="auto"/>
      </w:pPr>
      <w:r>
        <w:t xml:space="preserve">The ability to rationally reengineer enzyme function using computational approaches has the potential to enable rapid development of highly efficient and specific catalysts tailored for needs beyond those selected for during natural </w:t>
      </w:r>
      <w:proofErr w:type="spellStart"/>
      <w:r>
        <w:t>evolution.</w:t>
      </w:r>
      <w:r w:rsidR="00696E24">
        <w:fldChar w:fldCharType="begin"/>
      </w:r>
      <w:r w:rsidR="00696E24">
        <w:instrText xml:space="preserve"> ADDIN EN.CITE &lt;EndNote&gt;&lt;Cite&gt;&lt;Author&gt;Mak&lt;/Author&gt;&lt;Year&gt;2014&lt;/Year&gt;&lt;RecNum&gt;17&lt;/RecNum&gt;&lt;DisplayText&gt;&lt;style face="superscript"&gt;1&lt;/style&gt;&lt;/DisplayText&gt;&lt;record&gt;&lt;rec-number&gt;17&lt;/rec-number&gt;&lt;foreign-keys&gt;&lt;key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696E24" w:rsidRPr="00696E24">
        <w:rPr>
          <w:noProof/>
          <w:vertAlign w:val="superscript"/>
        </w:rPr>
        <w:t>1</w:t>
      </w:r>
      <w:proofErr w:type="spellEnd"/>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proofErr w:type="spellStart"/>
      <w:r>
        <w:t>accomplished.</w:t>
      </w:r>
      <w:r w:rsidR="00D704B6">
        <w:fldChar w:fldCharType="begin"/>
      </w:r>
      <w:r w:rsidR="00D704B6">
        <w:instrText xml:space="preserve"> ADDIN EN.CITE &lt;EndNote&gt;&lt;Cite&gt;&lt;Author&gt;Siegel&lt;/Author&gt;&lt;Year&gt;2015&lt;/Year&gt;&lt;RecNum&gt;15&lt;/RecNum&gt;&lt;DisplayText&gt;&lt;style face="superscript"&gt;2&lt;/style&gt;&lt;/DisplayText&gt;&lt;record&gt;&lt;rec-number&gt;15&lt;/rec-number&gt;&lt;foreign-keys&gt;&lt;key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704B6">
        <w:fldChar w:fldCharType="separate"/>
      </w:r>
      <w:r w:rsidR="00D704B6" w:rsidRPr="00D704B6">
        <w:rPr>
          <w:noProof/>
          <w:vertAlign w:val="superscript"/>
        </w:rPr>
        <w:t>2</w:t>
      </w:r>
      <w:r w:rsidR="00D704B6">
        <w:fldChar w:fldCharType="end"/>
      </w:r>
      <w:r w:rsidR="00D704B6" w:rsidRPr="00D704B6">
        <w:rPr>
          <w:vertAlign w:val="superscript"/>
        </w:rPr>
        <w:t>,</w:t>
      </w:r>
      <w:r w:rsidR="00D704B6" w:rsidRPr="00D704B6">
        <w:rPr>
          <w:vertAlign w:val="superscript"/>
        </w:rPr>
        <w:fldChar w:fldCharType="begin"/>
      </w:r>
      <w:r w:rsidR="00D704B6" w:rsidRPr="00D704B6">
        <w:rPr>
          <w:vertAlign w:val="superscript"/>
        </w:rPr>
        <w:instrText xml:space="preserve"> ADDIN EN.CITE &lt;EndNote&gt;&lt;Cite&gt;&lt;Author&gt;Damborsky&lt;/Author&gt;&lt;Year&gt;2014&lt;/Year&gt;&lt;RecNum&gt;8&lt;/RecNum&gt;&lt;DisplayText&gt;&lt;style face="superscript"&gt;3&lt;/style&gt;&lt;/DisplayText&gt;&lt;record&gt;&lt;rec-number&gt;8&lt;/rec-number&gt;&lt;foreign-keys&gt;&lt;key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D704B6" w:rsidRPr="00D704B6">
        <w:rPr>
          <w:vertAlign w:val="superscript"/>
        </w:rPr>
        <w:fldChar w:fldCharType="separate"/>
      </w:r>
      <w:r w:rsidR="00D704B6" w:rsidRPr="00D704B6">
        <w:rPr>
          <w:noProof/>
          <w:vertAlign w:val="superscript"/>
        </w:rPr>
        <w:t>3</w:t>
      </w:r>
      <w:r w:rsidR="00D704B6" w:rsidRPr="00D704B6">
        <w:rPr>
          <w:vertAlign w:val="superscript"/>
        </w:rPr>
        <w:fldChar w:fldCharType="end"/>
      </w:r>
      <w:r w:rsidR="00D704B6" w:rsidRPr="00D704B6">
        <w:rPr>
          <w:vertAlign w:val="superscript"/>
        </w:rPr>
        <w:t>,</w:t>
      </w:r>
      <w:r w:rsidR="00D704B6" w:rsidRPr="00D704B6">
        <w:rPr>
          <w:vertAlign w:val="superscript"/>
        </w:rPr>
        <w:fldChar w:fldCharType="begin"/>
      </w:r>
      <w:r w:rsidR="00D704B6" w:rsidRPr="00D704B6">
        <w:rPr>
          <w:vertAlign w:val="superscript"/>
        </w:rPr>
        <w:instrText xml:space="preserve"> ADDIN EN.CITE &lt;EndNote&gt;&lt;Cite&gt;&lt;Author&gt;Gordon&lt;/Author&gt;&lt;Year&gt;2012&lt;/Year&gt;&lt;RecNum&gt;4&lt;/RecNum&gt;&lt;DisplayText&gt;&lt;style face="superscript"&gt;4&lt;/style&gt;&lt;/DisplayText&gt;&lt;record&gt;&lt;rec-number&gt;4&lt;/rec-number&gt;&lt;foreign-keys&gt;&lt;key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 Am. Chem.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D704B6" w:rsidRPr="00D704B6">
        <w:rPr>
          <w:vertAlign w:val="superscript"/>
        </w:rPr>
        <w:fldChar w:fldCharType="separate"/>
      </w:r>
      <w:r w:rsidR="00D704B6" w:rsidRPr="00D704B6">
        <w:rPr>
          <w:noProof/>
          <w:vertAlign w:val="superscript"/>
        </w:rPr>
        <w:t>4</w:t>
      </w:r>
      <w:r w:rsidR="00D704B6" w:rsidRPr="00D704B6">
        <w:rPr>
          <w:vertAlign w:val="superscript"/>
        </w:rPr>
        <w:fldChar w:fldCharType="end"/>
      </w:r>
      <w:r w:rsidR="00D704B6" w:rsidRPr="00D704B6">
        <w:rPr>
          <w:vertAlign w:val="superscript"/>
        </w:rPr>
        <w:t>,</w:t>
      </w:r>
      <w:r w:rsidR="00D704B6" w:rsidRPr="00D704B6">
        <w:rPr>
          <w:vertAlign w:val="superscript"/>
        </w:rPr>
        <w:fldChar w:fldCharType="begin"/>
      </w:r>
      <w:r w:rsidR="00D704B6" w:rsidRPr="00D704B6">
        <w:rPr>
          <w:vertAlign w:val="superscript"/>
        </w:rPr>
        <w:instrText xml:space="preserve"> ADDIN EN.CITE &lt;EndNote&gt;&lt;Cite&gt;&lt;Author&gt;Marcheschi&lt;/Author&gt;&lt;Year&gt;2012&lt;/Year&gt;&lt;RecNum&gt;12&lt;/RecNum&gt;&lt;DisplayText&gt;&lt;style face="superscript"&gt;5&lt;/style&gt;&lt;/DisplayText&gt;&lt;record&gt;&lt;rec-number&gt;12&lt;/rec-number&gt;&lt;foreign-keys&gt;&lt;key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D704B6" w:rsidRPr="00D704B6">
        <w:rPr>
          <w:vertAlign w:val="superscript"/>
        </w:rPr>
        <w:fldChar w:fldCharType="separate"/>
      </w:r>
      <w:r w:rsidR="00D704B6" w:rsidRPr="00D704B6">
        <w:rPr>
          <w:noProof/>
          <w:vertAlign w:val="superscript"/>
        </w:rPr>
        <w:t>5</w:t>
      </w:r>
      <w:r w:rsidR="00D704B6" w:rsidRPr="00D704B6">
        <w:rPr>
          <w:vertAlign w:val="superscript"/>
        </w:rPr>
        <w:fldChar w:fldCharType="end"/>
      </w:r>
      <w:r w:rsidR="00D704B6" w:rsidRPr="00D704B6">
        <w:rPr>
          <w:vertAlign w:val="superscript"/>
        </w:rPr>
        <w:t>,</w:t>
      </w:r>
      <w:r w:rsidR="00D704B6" w:rsidRPr="00D704B6">
        <w:rPr>
          <w:vertAlign w:val="superscript"/>
        </w:rPr>
        <w:fldChar w:fldCharType="begin"/>
      </w:r>
      <w:r w:rsidR="00D704B6" w:rsidRPr="00D704B6">
        <w:rPr>
          <w:vertAlign w:val="superscript"/>
        </w:rPr>
        <w:instrText xml:space="preserve"> ADDIN EN.CITE &lt;EndNote&gt;&lt;Cite&gt;&lt;Author&gt;Khare&lt;/Author&gt;&lt;Year&gt;2012&lt;/Year&gt;&lt;RecNum&gt;6&lt;/RecNum&gt;&lt;DisplayText&gt;&lt;style face="superscript"&gt;6&lt;/style&gt;&lt;/DisplayText&gt;&lt;record&gt;&lt;rec-number&gt;6&lt;/rec-number&gt;&lt;foreign-keys&gt;&lt;key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D704B6" w:rsidRPr="00D704B6">
        <w:rPr>
          <w:vertAlign w:val="superscript"/>
        </w:rPr>
        <w:fldChar w:fldCharType="separate"/>
      </w:r>
      <w:r w:rsidR="00D704B6" w:rsidRPr="00D704B6">
        <w:rPr>
          <w:noProof/>
          <w:vertAlign w:val="superscript"/>
        </w:rPr>
        <w:t>6</w:t>
      </w:r>
      <w:proofErr w:type="spellEnd"/>
      <w:r w:rsidR="00D704B6" w:rsidRPr="00D704B6">
        <w:rPr>
          <w:vertAlign w:val="superscript"/>
        </w:rPr>
        <w:fldChar w:fldCharType="end"/>
      </w:r>
      <w:r>
        <w:t xml:space="preserve"> However, using this force-field based approach only a relatively small number of all designs tested have the intended functiona</w:t>
      </w:r>
      <w:r w:rsidR="00AF585E">
        <w:t xml:space="preserve">l effect. </w:t>
      </w:r>
      <w:r>
        <w:t>Furthermore, there have been no reports evaluating the predictive power of the Rosetta Molecular Modeling Suite on the functional effects of enzyme mutations. Therefore efforts to both evaluate and improve the predictive power of this computationally inexpensive and widely accessible algorithm is of the utmost importance.</w:t>
      </w:r>
      <w:r w:rsidR="00AF585E">
        <w:t xml:space="preserve"> </w:t>
      </w:r>
    </w:p>
    <w:p w14:paraId="26877676" w14:textId="59C5BF9A" w:rsidR="00DF34E5" w:rsidRDefault="00AF585E" w:rsidP="008C36CB">
      <w:pPr>
        <w:spacing w:line="480" w:lineRule="auto"/>
      </w:pPr>
      <w:r>
        <w:tab/>
      </w:r>
      <w:r w:rsidR="00DF34E5">
        <w:t>One likely reason for the low success rate of designs is that current algorithms are not directly trained on experimentally measured effects, but are trained on indirect measures such as sequence recovery (</w:t>
      </w:r>
      <w:r w:rsidR="00DF34E5" w:rsidRPr="00AF585E">
        <w:rPr>
          <w:i/>
        </w:rPr>
        <w:t>i.e.</w:t>
      </w:r>
      <w:r w:rsidR="00DF34E5">
        <w:t xml:space="preserve"> the ability to recapitulate a known active site after running a design simulation). These indirect measures are used because there are no reported datasets of kinetically characterized enzyme mutants that encompass a wide dynamic range of activity and have enough independent data points to enable training and cross validation of algorithms. This is likely also why there have been no reports on the predictive power of the Rosetta Molecular Modeling Suite on the effects of mutations on enzyme kinetics. Yet, there is significant precedence in the use of large datasets to train and evaluate force-field based algorithms for protein function.</w:t>
      </w:r>
      <w:r>
        <w:t xml:space="preserve"> </w:t>
      </w:r>
      <w:r w:rsidR="00DF34E5">
        <w:t xml:space="preserve">A closely related example is the </w:t>
      </w:r>
      <w:proofErr w:type="spellStart"/>
      <w:r w:rsidR="00DF34E5">
        <w:t>ProTherm</w:t>
      </w:r>
      <w:proofErr w:type="spellEnd"/>
      <w:r w:rsidR="00DF34E5">
        <w:t xml:space="preserve"> database which has over twenty thousands of measured effects o</w:t>
      </w:r>
      <w:r w:rsidR="00C65137">
        <w:t xml:space="preserve">f mutations on </w:t>
      </w:r>
      <w:proofErr w:type="spellStart"/>
      <w:r w:rsidR="00C65137">
        <w:t>thermostability</w:t>
      </w:r>
      <w:r w:rsidR="00DF34E5">
        <w:t>.</w:t>
      </w:r>
      <w:r w:rsidR="00C65137">
        <w:fldChar w:fldCharType="begin"/>
      </w:r>
      <w:r w:rsidR="00C65137">
        <w:instrText xml:space="preserve"> ADDIN EN.CITE &lt;EndNote&gt;&lt;Cite&gt;&lt;Author&gt;Kumar&lt;/Author&gt;&lt;Year&gt;2006&lt;/Year&gt;&lt;RecNum&gt;18&lt;/RecNum&gt;&lt;DisplayText&gt;&lt;style face="superscript"&gt;7&lt;/style&gt;&lt;/DisplayText&gt;&lt;record&gt;&lt;rec-number&gt;18&lt;/rec-number&gt;&lt;foreign-keys&gt;&lt;key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C65137">
        <w:fldChar w:fldCharType="separate"/>
      </w:r>
      <w:r w:rsidR="00C65137" w:rsidRPr="00C65137">
        <w:rPr>
          <w:noProof/>
          <w:vertAlign w:val="superscript"/>
        </w:rPr>
        <w:t>7</w:t>
      </w:r>
      <w:proofErr w:type="spellEnd"/>
      <w:r w:rsidR="00C65137">
        <w:fldChar w:fldCharType="end"/>
      </w:r>
      <w:r w:rsidR="00DF34E5">
        <w:t xml:space="preserve"> This database is the gold standard used for the development of numerous algorithms for predicting effects of mutat</w:t>
      </w:r>
      <w:r w:rsidR="00D27DC5">
        <w:t xml:space="preserve">ions on </w:t>
      </w:r>
      <w:proofErr w:type="spellStart"/>
      <w:r w:rsidR="00D27DC5">
        <w:t>thermostability</w:t>
      </w:r>
      <w:r w:rsidR="00DF34E5">
        <w:t>.</w:t>
      </w:r>
      <w:r w:rsidR="00C52DCD">
        <w:fldChar w:fldCharType="begin"/>
      </w:r>
      <w:r w:rsidR="00C52DCD">
        <w:instrText xml:space="preserve"> ADDIN EN.CITE &lt;EndNote&gt;&lt;Cite&gt;&lt;Author&gt;Kellogg&lt;/Author&gt;&lt;Year&gt;2011&lt;/Year&gt;&lt;RecNum&gt;19&lt;/RecNum&gt;&lt;DisplayText&gt;&lt;style face="superscript"&gt;8&lt;/style&gt;&lt;/DisplayText&gt;&lt;record&gt;&lt;rec-number&gt;19&lt;/rec-number&gt;&lt;foreign-keys&gt;&lt;key app="EN" db-id="d22eawd51p0xrpezwr7vdtw2vasp9sx0w</w:instrText>
      </w:r>
      <w:r w:rsidR="00C52DCD">
        <w:rPr>
          <w:rFonts w:hint="eastAsia"/>
        </w:rPr>
        <w:instrText>25d" timestamp="1431380770"&gt;19&lt;/key&gt;&lt;/foreign-keys&gt;&lt;ref-type name="Journal Article"&gt;17&lt;/ref-type&gt;&lt;contributors&gt;&lt;authors&gt;&lt;author&gt;Kellogg, Elizabeth H&lt;/author&gt;&lt;author&gt;Leaver</w:instrText>
      </w:r>
      <w:r w:rsidR="00C52DCD">
        <w:rPr>
          <w:rFonts w:hint="eastAsia"/>
        </w:rPr>
        <w:instrText>‐</w:instrText>
      </w:r>
      <w:r w:rsidR="00C52DCD">
        <w:rPr>
          <w:rFonts w:hint="eastAsia"/>
        </w:rPr>
        <w:instrText>Fay, Andrew&lt;/author&gt;&lt;author&gt;Baker, David&lt;/author&gt;&lt;/authors&gt;&lt;/contributors&gt;&lt;titles&gt;&lt;title&gt;Role of conformational sampling in computing mutation</w:instrText>
      </w:r>
      <w:r w:rsidR="00C52DCD">
        <w:rPr>
          <w:rFonts w:hint="eastAsia"/>
        </w:rPr>
        <w:instrText>‐</w:instrText>
      </w:r>
      <w:r w:rsidR="00C52DCD">
        <w:rPr>
          <w:rFonts w:hint="eastAsia"/>
        </w:rPr>
        <w:instrText>induced changes in protein structure and stability&lt;/title&gt;&lt;secondary-title&gt;Proteins: Structure, Function, and Bioinformatics&lt;/secondary-title&gt;&lt;/titles&gt;&lt;periodical&gt;&lt;full-title&gt;Proteins: Structure,</w:instrText>
      </w:r>
      <w:r w:rsidR="00C52DCD">
        <w:instrText xml:space="preserve"> Function, and Bioinformatics&lt;/full-title&gt;&lt;/periodical&gt;&lt;pages&gt;830-838&lt;/pages&gt;&lt;volume&gt;79&lt;/volume&gt;&lt;number&gt;3&lt;/number&gt;&lt;dates&gt;&lt;year&gt;2011&lt;/year&gt;&lt;/dates&gt;&lt;isbn&gt;1097-0134&lt;/isbn&gt;&lt;urls&gt;&lt;/urls&gt;&lt;/record&gt;&lt;/Cite&gt;&lt;/EndNote&gt;</w:instrText>
      </w:r>
      <w:r w:rsidR="00C52DCD">
        <w:fldChar w:fldCharType="separate"/>
      </w:r>
      <w:r w:rsidR="00C52DCD" w:rsidRPr="00C52DCD">
        <w:rPr>
          <w:noProof/>
          <w:vertAlign w:val="superscript"/>
        </w:rPr>
        <w:t>8</w:t>
      </w:r>
      <w:proofErr w:type="spellEnd"/>
      <w:r w:rsidR="00C52DCD">
        <w:fldChar w:fldCharType="end"/>
      </w:r>
      <w:r>
        <w:t xml:space="preserve"> </w:t>
      </w:r>
    </w:p>
    <w:p w14:paraId="35D850C1" w14:textId="6B73BF10" w:rsidR="00DF34E5" w:rsidRDefault="00C52DCD" w:rsidP="008C36CB">
      <w:pPr>
        <w:spacing w:line="480" w:lineRule="auto"/>
      </w:pPr>
      <w:r>
        <w:tab/>
      </w:r>
      <w:r w:rsidR="00DF34E5">
        <w:t>Here, we take the first key step towards developing a data set of enzyme mutants with measured effects on kinetic constants (</w:t>
      </w:r>
      <w:r w:rsidR="00DF34E5" w:rsidRPr="00C52DCD">
        <w:rPr>
          <w:i/>
        </w:rPr>
        <w:t>i.e.</w:t>
      </w:r>
      <w:r w:rsidR="00DF34E5">
        <w:t xml:space="preserve"> </w:t>
      </w:r>
      <w:proofErr w:type="spellStart"/>
      <w:r w:rsidR="004F15C1" w:rsidRPr="00AE71AE">
        <w:rPr>
          <w:i/>
        </w:rPr>
        <w:t>k</w:t>
      </w:r>
      <w:r w:rsidR="004F15C1" w:rsidRPr="00AE71AE">
        <w:rPr>
          <w:vertAlign w:val="subscript"/>
        </w:rPr>
        <w:t>cat</w:t>
      </w:r>
      <w:proofErr w:type="spellEnd"/>
      <w:r w:rsidR="004F15C1">
        <w:t xml:space="preserve"> and K</w:t>
      </w:r>
      <w:r w:rsidR="004F15C1" w:rsidRPr="004F15C1">
        <w:rPr>
          <w:vertAlign w:val="subscript"/>
        </w:rPr>
        <w:t>M</w:t>
      </w:r>
      <w:r w:rsidR="00DF34E5">
        <w:t>)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The family 1 glycoside hydrolases have been the subject of numerous structural and kinetic studies due to their importance as the penultimate step in cellular</w:t>
      </w:r>
      <w:r w:rsidR="00E95C64">
        <w:t xml:space="preserve"> </w:t>
      </w:r>
      <w:proofErr w:type="spellStart"/>
      <w:r w:rsidR="00E95C64">
        <w:t>ligno</w:t>
      </w:r>
      <w:proofErr w:type="spellEnd"/>
      <w:r w:rsidR="00E95C64">
        <w:t xml:space="preserve">-cellulose </w:t>
      </w:r>
      <w:proofErr w:type="spellStart"/>
      <w:r w:rsidR="00E95C64">
        <w:t>utilization.</w:t>
      </w:r>
      <w:r w:rsidR="00DE3799">
        <w:fldChar w:fldCharType="begin"/>
      </w:r>
      <w:r w:rsidR="00DE3799">
        <w:instrText xml:space="preserve"> ADDIN EN.CITE &lt;EndNote&gt;&lt;Cite&gt;&lt;Author&gt;Isorna&lt;/Author&gt;&lt;Year&gt;2007&lt;/Year&gt;&lt;RecNum&gt;11&lt;/RecNum&gt;&lt;DisplayText&gt;&lt;style face="superscript"&gt;9&lt;/style&gt;&lt;/DisplayText&gt;&lt;record&gt;&lt;rec-number&gt;11&lt;/rec-number&gt;&lt;foreign-keys&gt;&lt;key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DE3799" w:rsidRPr="00DE3799">
        <w:rPr>
          <w:noProof/>
          <w:vertAlign w:val="superscript"/>
        </w:rPr>
        <w:t>9</w:t>
      </w:r>
      <w:proofErr w:type="spellEnd"/>
      <w:r w:rsidR="00DE3799">
        <w:fldChar w:fldCharType="end"/>
      </w:r>
      <w:r w:rsidR="00DF34E5">
        <w:t xml:space="preserve"> An X-ray crystal structure of BglB indicates that BglB 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w:t>
      </w:r>
      <w:proofErr w:type="spellStart"/>
      <w:r w:rsidR="00DE3799">
        <w:t>bond.</w:t>
      </w:r>
      <w:r w:rsidR="00DE3799">
        <w:fldChar w:fldCharType="begin"/>
      </w:r>
      <w:r w:rsidR="00DE3799">
        <w:instrText xml:space="preserve"> ADDIN EN.CITE &lt;EndNote&gt;&lt;Cite&gt;&lt;Author&gt;Isorna&lt;/Author&gt;&lt;Year&gt;2007&lt;/Year&gt;&lt;RecNum&gt;11&lt;/RecNum&gt;&lt;DisplayText&gt;&lt;style face="superscript"&gt;9&lt;/style&gt;&lt;/DisplayText&gt;&lt;record&gt;&lt;rec-number&gt;11&lt;/rec-number&gt;&lt;foreign-keys&gt;&lt;key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DE3799" w:rsidRPr="00DE3799">
        <w:rPr>
          <w:noProof/>
          <w:vertAlign w:val="superscript"/>
        </w:rPr>
        <w:t>9</w:t>
      </w:r>
      <w:proofErr w:type="spellEnd"/>
      <w:r w:rsidR="00DE3799">
        <w:fldChar w:fldCharType="end"/>
      </w:r>
      <w:r w:rsidR="00DE3799">
        <w:t xml:space="preserve"> </w:t>
      </w:r>
      <w:r w:rsidR="00DF34E5">
        <w:t xml:space="preserve">The protein structure and reaction scheme are provided in Figure 1. </w:t>
      </w:r>
    </w:p>
    <w:p w14:paraId="469EC551" w14:textId="5A335200" w:rsidR="00DF34E5" w:rsidRDefault="00DE3799" w:rsidP="008C36CB">
      <w:pPr>
        <w:spacing w:line="480" w:lineRule="auto"/>
      </w:pPr>
      <w:r>
        <w:tab/>
      </w:r>
      <w:r w:rsidR="00DF34E5">
        <w:t xml:space="preserve">In this study we report the largest data set of its kind, in which 104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0E4A77" w:rsidRPr="000E4A77">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(i.e.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metrics derived from force-field based molecular modeling. Finally, we illustrate how machine learning can be used to 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8C36CB">
      <w:pPr>
        <w:spacing w:line="480" w:lineRule="auto"/>
      </w:pPr>
      <w:r>
        <w:t xml:space="preserve"> </w:t>
      </w:r>
    </w:p>
    <w:p w14:paraId="507BD9B9" w14:textId="77777777" w:rsidR="00DF34E5" w:rsidRPr="005815CD" w:rsidRDefault="00DF34E5" w:rsidP="008C36CB">
      <w:pPr>
        <w:spacing w:line="480" w:lineRule="auto"/>
        <w:rPr>
          <w:b/>
        </w:rPr>
      </w:pPr>
      <w:r w:rsidRPr="005815CD">
        <w:rPr>
          <w:b/>
        </w:rPr>
        <w:t xml:space="preserve">RESULTS </w:t>
      </w:r>
    </w:p>
    <w:p w14:paraId="3A5C7C5A" w14:textId="77777777" w:rsidR="00DF34E5" w:rsidRPr="005815CD" w:rsidRDefault="00DF34E5" w:rsidP="008C36CB">
      <w:pPr>
        <w:spacing w:line="480" w:lineRule="auto"/>
        <w:rPr>
          <w:b/>
        </w:rPr>
      </w:pPr>
      <w:r w:rsidRPr="005815CD">
        <w:rPr>
          <w:b/>
        </w:rPr>
        <w:t>Computationally-directed engineering of BglB</w:t>
      </w:r>
    </w:p>
    <w:p w14:paraId="091B62FD" w14:textId="0A2B8E15" w:rsidR="00DF34E5" w:rsidRDefault="00DF34E5" w:rsidP="008C36CB">
      <w:pPr>
        <w:spacing w:line="480" w:lineRule="auto"/>
      </w:pPr>
      <w:r>
        <w:t>The crystal structure (</w:t>
      </w:r>
      <w:proofErr w:type="spellStart"/>
      <w:r>
        <w:t>PDB</w:t>
      </w:r>
      <w:proofErr w:type="spellEnd"/>
      <w:r>
        <w:t xml:space="preserve"> </w:t>
      </w:r>
      <w:proofErr w:type="spellStart"/>
      <w:r>
        <w:t>2JIE</w:t>
      </w:r>
      <w:proofErr w:type="spellEnd"/>
      <w:r>
        <w:t>) of recombinant BglB with the substrate analog 2-</w:t>
      </w:r>
      <w:proofErr w:type="spellStart"/>
      <w:r>
        <w:t>deoxy</w:t>
      </w:r>
      <w:proofErr w:type="spellEnd"/>
      <w:r>
        <w:t>-2-</w:t>
      </w:r>
      <w:proofErr w:type="spellStart"/>
      <w:r>
        <w:t>fluoro</w:t>
      </w:r>
      <w:proofErr w:type="spellEnd"/>
      <w:r>
        <w:t>-alpha-D-</w:t>
      </w:r>
      <w:proofErr w:type="spellStart"/>
      <w:r>
        <w:t>glucopyranose</w:t>
      </w:r>
      <w:proofErr w:type="spellEnd"/>
      <w:r>
        <w:t xml:space="preserve"> bound was used to identify the substrate binding pocket and the catalytic residues. To generate a molecular model approximating the first proposed transition state for the hydrolysis of pNPG, an </w:t>
      </w:r>
      <w:proofErr w:type="spellStart"/>
      <w:r>
        <w:t>S</w:t>
      </w:r>
      <w:r w:rsidRPr="009C31AA">
        <w:rPr>
          <w:vertAlign w:val="subscript"/>
        </w:rPr>
        <w:t>N</w:t>
      </w:r>
      <w:r>
        <w:t>2</w:t>
      </w:r>
      <w:proofErr w:type="spellEnd"/>
      <w:r>
        <w:t xml:space="preserve">-like transition state 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stabilize 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 xml:space="preserve">-like mechanism. </w:t>
      </w:r>
    </w:p>
    <w:p w14:paraId="7AB132AA" w14:textId="6161B733" w:rsidR="00DF34E5" w:rsidRDefault="00DF34E5" w:rsidP="008C36CB">
      <w:pPr>
        <w:spacing w:line="480" w:lineRule="auto"/>
      </w:pPr>
      <w:r>
        <w:tab/>
        <w:t xml:space="preserve">Two approaches were used to establish a set of mutants to generate and kinetically characterize. The first approach was a systematic alanine scan of the BglB active site where each residue within 12 Å of the ligand in our model was individually mutated to alanine. In the second approach, mutations predicted to be compatible with the modeled pNPG transition state in BglB structure were selected through the program </w:t>
      </w:r>
      <w:proofErr w:type="spellStart"/>
      <w:r>
        <w:t>Foldit</w:t>
      </w:r>
      <w:proofErr w:type="spellEnd"/>
      <w:r>
        <w:t xml:space="preserve">, a graphical user interface to the Rosetta Molecular Modeling </w:t>
      </w:r>
      <w:proofErr w:type="spellStart"/>
      <w:r>
        <w:t>Suite</w:t>
      </w:r>
      <w:r w:rsidR="002A23EA">
        <w:t>.</w:t>
      </w:r>
      <w:r w:rsidR="002A23EA" w:rsidRPr="002A23EA">
        <w:rPr>
          <w:vertAlign w:val="superscript"/>
        </w:rPr>
        <w:fldChar w:fldCharType="begin"/>
      </w:r>
      <w:r w:rsidR="002A23EA" w:rsidRPr="002A23EA">
        <w:rPr>
          <w:vertAlign w:val="superscript"/>
        </w:rPr>
        <w:instrText xml:space="preserve"> ADDIN EN.CITE &lt;EndNote&gt;&lt;Cite&gt;&lt;Author&gt;Gordon&lt;/Author&gt;&lt;Year&gt;2012&lt;/Year&gt;&lt;RecNum&gt;4&lt;/RecNum&gt;&lt;DisplayText&gt;&lt;style face="superscript"&gt;4&lt;/style&gt;&lt;/DisplayText&gt;&lt;record&gt;&lt;rec-number&gt;4&lt;/rec-number&gt;&lt;foreign-keys&gt;&lt;key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 Am. Chem.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2A23EA" w:rsidRPr="002A23EA">
        <w:rPr>
          <w:vertAlign w:val="superscript"/>
        </w:rPr>
        <w:fldChar w:fldCharType="separate"/>
      </w:r>
      <w:r w:rsidR="002A23EA" w:rsidRPr="002A23EA">
        <w:rPr>
          <w:noProof/>
          <w:vertAlign w:val="superscript"/>
        </w:rPr>
        <w:t>4</w:t>
      </w:r>
      <w:r w:rsidR="002A23EA" w:rsidRPr="002A23EA">
        <w:rPr>
          <w:vertAlign w:val="superscript"/>
        </w:rPr>
        <w:fldChar w:fldCharType="end"/>
      </w:r>
      <w:r w:rsidR="002A23EA" w:rsidRPr="002A23EA">
        <w:rPr>
          <w:vertAlign w:val="superscript"/>
        </w:rPr>
        <w:t>,</w:t>
      </w:r>
      <w:r w:rsidR="002A23EA" w:rsidRPr="002A23EA">
        <w:rPr>
          <w:vertAlign w:val="superscript"/>
        </w:rPr>
        <w:fldChar w:fldCharType="begin"/>
      </w:r>
      <w:r w:rsidR="002A23EA" w:rsidRPr="002A23EA">
        <w:rPr>
          <w:vertAlign w:val="superscript"/>
        </w:rPr>
        <w:instrText xml:space="preserve"> ADDIN EN.CITE &lt;EndNote&gt;&lt;Cite&gt;&lt;Author&gt;Wu&lt;/Author&gt;&lt;Year&gt;2011&lt;/Year&gt;&lt;RecNum&gt;21&lt;/RecNum&gt;&lt;DisplayText&gt;&lt;style face="superscript"&gt;10&lt;/style&gt;&lt;/DisplayText&gt;&lt;record&gt;&lt;rec-number&gt;21&lt;/rec-number&gt;&lt;foreign-keys&gt;&lt;key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2A23EA">
        <w:rPr>
          <w:vertAlign w:val="superscript"/>
        </w:rPr>
        <w:fldChar w:fldCharType="separate"/>
      </w:r>
      <w:r w:rsidR="002A23EA" w:rsidRPr="002A23EA">
        <w:rPr>
          <w:noProof/>
          <w:vertAlign w:val="superscript"/>
        </w:rPr>
        <w:t>10</w:t>
      </w:r>
      <w:proofErr w:type="spellEnd"/>
      <w:r w:rsidR="002A23EA" w:rsidRPr="002A23EA">
        <w:rPr>
          <w:vertAlign w:val="superscript"/>
        </w:rPr>
        <w:fldChar w:fldCharType="end"/>
      </w:r>
      <w:r>
        <w:t xml:space="preserve"> Mutations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a full list of mutations selected is listed in Supplemental Table 1. A total of 69 positions were covered over the 104 mutants made. </w:t>
      </w:r>
    </w:p>
    <w:p w14:paraId="7AF18AC8" w14:textId="77777777" w:rsidR="00DF34E5" w:rsidRDefault="00DF34E5" w:rsidP="008C36CB">
      <w:pPr>
        <w:spacing w:line="480" w:lineRule="auto"/>
      </w:pPr>
    </w:p>
    <w:p w14:paraId="1F661192" w14:textId="77777777" w:rsidR="00DF34E5" w:rsidRPr="009F55F8" w:rsidRDefault="00DF34E5" w:rsidP="008C36CB">
      <w:pPr>
        <w:spacing w:line="480" w:lineRule="auto"/>
        <w:rPr>
          <w:b/>
        </w:rPr>
      </w:pPr>
      <w:r w:rsidRPr="009F55F8">
        <w:rPr>
          <w:b/>
        </w:rPr>
        <w:t>Protein production and purification</w:t>
      </w:r>
    </w:p>
    <w:p w14:paraId="29BCCBB5" w14:textId="2215A08E" w:rsidR="00DF34E5" w:rsidRDefault="00DF34E5" w:rsidP="008C36CB">
      <w:pPr>
        <w:spacing w:line="480" w:lineRule="auto"/>
      </w:pPr>
      <w:r>
        <w:t xml:space="preserve">Each of the 104 mutants was made via Kunkel </w:t>
      </w:r>
      <w:proofErr w:type="spellStart"/>
      <w:r>
        <w:t>mutagenesis</w:t>
      </w:r>
      <w:r w:rsidR="009F55F8">
        <w:fldChar w:fldCharType="begin"/>
      </w:r>
      <w:r w:rsidR="009F55F8">
        <w:instrText xml:space="preserve"> ADDIN EN.CITE &lt;EndNote&gt;&lt;Cite&gt;&lt;Author&gt;Kunkel&lt;/Author&gt;&lt;Year&gt;1985&lt;/Year&gt;&lt;RecNum&gt;1&lt;/RecNum&gt;&lt;DisplayText&gt;&lt;style face="superscript"&gt;11&lt;/style&gt;&lt;/DisplayText&gt;&lt;record&gt;&lt;rec-number&gt;1&lt;/rec-number&gt;&lt;foreign-keys&gt;&lt;key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9F55F8" w:rsidRPr="009F55F8">
        <w:rPr>
          <w:noProof/>
          <w:vertAlign w:val="superscript"/>
        </w:rPr>
        <w:t>11</w:t>
      </w:r>
      <w:proofErr w:type="spellEnd"/>
      <w:r w:rsidR="009F55F8">
        <w:fldChar w:fldCharType="end"/>
      </w:r>
      <w:r>
        <w:t xml:space="preserve"> using the </w:t>
      </w:r>
      <w:proofErr w:type="spellStart"/>
      <w:r>
        <w:t>Transcriptic</w:t>
      </w:r>
      <w:proofErr w:type="spellEnd"/>
      <w:r>
        <w:t xml:space="preserve"> cloud laboratory platform and sequence-verified. Mutant plasmids were transformed into </w:t>
      </w:r>
      <w:r w:rsidRPr="009F55F8">
        <w:rPr>
          <w:i/>
        </w:rPr>
        <w:t>Escherichia coli</w:t>
      </w:r>
      <w:r>
        <w:t xml:space="preserve"> </w:t>
      </w:r>
      <w:proofErr w:type="spellStart"/>
      <w:r>
        <w:t>BL21</w:t>
      </w:r>
      <w:proofErr w:type="spellEnd"/>
      <w:r>
        <w:t>(</w:t>
      </w:r>
      <w:proofErr w:type="spellStart"/>
      <w:r>
        <w:t>DE3</w:t>
      </w:r>
      <w:proofErr w:type="spellEnd"/>
      <w:r>
        <w:t xml:space="preserve">), and after expression proteins were purified via immobilized metal affinity chromatography. Absorbance at 280 nm was used to quantify protein yield and </w:t>
      </w:r>
      <w:proofErr w:type="spellStart"/>
      <w:r>
        <w:t>SDS</w:t>
      </w:r>
      <w:proofErr w:type="spellEnd"/>
      <w:r>
        <w:t xml:space="preserve">-PAGE was used to evaluate purity. All proteins used in this study were greater than 90% pure, and fresh resin was used for each mutant to prevent wild type contamination. </w:t>
      </w:r>
    </w:p>
    <w:p w14:paraId="4ADFA509" w14:textId="1714D6D0" w:rsidR="00DF34E5" w:rsidRDefault="00DF34E5" w:rsidP="008C36CB">
      <w:pPr>
        <w:spacing w:line="480" w:lineRule="auto"/>
      </w:pPr>
      <w:r>
        <w:tab/>
        <w:t>A total of ten biological replicates of the native BglB were used to assess expression and purification. The average yield is found to be 1.2 ± 0.4 mg/</w:t>
      </w:r>
      <w:proofErr w:type="spellStart"/>
      <w:r>
        <w:t>mL.</w:t>
      </w:r>
      <w:proofErr w:type="spellEnd"/>
      <w:r>
        <w:t xml:space="preserve"> Of the 104 mutants synthesized, 90 are found to express and purify as soluble protein (Figure 2). The yields for all 104 mutants </w:t>
      </w:r>
      <w:r w:rsidR="00B95A22">
        <w:t>are included in</w:t>
      </w:r>
      <w:r>
        <w:t xml:space="preserve"> </w:t>
      </w:r>
      <w:r w:rsidR="00B95A22">
        <w:t>Supplemental Table 1</w:t>
      </w:r>
      <w:r>
        <w:t xml:space="preserve">. Greater than 35% maintained the yields obtained for native BglB, and 15% are not expressed and purified as a soluble protein above our limit of detection (0.1 mg/mL) based on </w:t>
      </w:r>
      <w:proofErr w:type="spellStart"/>
      <w:r>
        <w:t>A280</w:t>
      </w:r>
      <w:proofErr w:type="spellEnd"/>
      <w:r>
        <w:t xml:space="preserve"> and </w:t>
      </w:r>
      <w:proofErr w:type="spellStart"/>
      <w:r>
        <w:t>SDS</w:t>
      </w:r>
      <w:proofErr w:type="spellEnd"/>
      <w:r>
        <w:t>-PAGE.</w:t>
      </w:r>
    </w:p>
    <w:p w14:paraId="00CB32A6" w14:textId="77777777" w:rsidR="00DF34E5" w:rsidRDefault="00DF34E5" w:rsidP="008C36CB">
      <w:pPr>
        <w:spacing w:line="480" w:lineRule="auto"/>
      </w:pPr>
    </w:p>
    <w:p w14:paraId="0E62BEC2" w14:textId="77777777" w:rsidR="00DF34E5" w:rsidRPr="006314A2" w:rsidRDefault="00DF34E5" w:rsidP="008C36CB">
      <w:pPr>
        <w:spacing w:line="480" w:lineRule="auto"/>
        <w:rPr>
          <w:b/>
        </w:rPr>
      </w:pPr>
      <w:r w:rsidRPr="006314A2">
        <w:rPr>
          <w:b/>
        </w:rPr>
        <w:t>Kinetic characterization of mutants</w:t>
      </w:r>
    </w:p>
    <w:p w14:paraId="7D3CD1A5" w14:textId="1F19EE5D" w:rsidR="00DF34E5" w:rsidRDefault="00DF34E5" w:rsidP="008C36CB">
      <w:pPr>
        <w:spacing w:line="480" w:lineRule="auto"/>
      </w:pPr>
      <w:proofErr w:type="spellStart"/>
      <w:r>
        <w:t>Michaelis-Menten</w:t>
      </w:r>
      <w:proofErr w:type="spellEnd"/>
      <w:r>
        <w:t xml:space="preserve"> kinetic constants for each of the 104 mutants were determined using the colorimetric assay of pNPG hydrolysis and are represented as a </w:t>
      </w:r>
      <w:proofErr w:type="spellStart"/>
      <w:r>
        <w:t>heatmap</w:t>
      </w:r>
      <w:proofErr w:type="spellEnd"/>
      <w:r>
        <w:t xml:space="preserve"> in Figure 2. Ten biological replicates of the wild type enzyme has 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 Experimentally measured kinetic constants</w:t>
      </w:r>
      <w:r w:rsidR="005625F4">
        <w:t xml:space="preserve"> </w:t>
      </w:r>
      <w:r w:rsidR="00AE4269">
        <w:t>and nonlinear regression analysi</w:t>
      </w:r>
      <w:r w:rsidR="005625F4">
        <w:t>s</w:t>
      </w:r>
      <w:r>
        <w:t xml:space="preserve"> for each mutant can </w:t>
      </w:r>
      <w:r w:rsidR="00C37BC1">
        <w:t>be found in Supplemental Table 1</w:t>
      </w:r>
      <w:r>
        <w:t xml:space="preserve">. </w:t>
      </w:r>
    </w:p>
    <w:p w14:paraId="2143A2FD" w14:textId="7EE7DECB" w:rsidR="00DF34E5" w:rsidRDefault="00DF34E5" w:rsidP="008C36CB">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90 </w:t>
      </w:r>
      <w:proofErr w:type="spellStart"/>
      <w:r>
        <w:t>solubly</w:t>
      </w:r>
      <w:proofErr w:type="spellEnd"/>
      <w:r>
        <w:t xml:space="preserve"> purified mutants, 6 are below the limit of detection. The highest catalytic efficiency observed is 5.6 x 105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1F1063" w:rsidRPr="001F1063">
        <w:rPr>
          <w:vertAlign w:val="subscript"/>
        </w:rPr>
        <w:t>I</w:t>
      </w:r>
      <w:r>
        <w:t xml:space="preserve"> for these mutants is </w:t>
      </w:r>
      <w:r w:rsidR="001F1063">
        <w:t>reported in Supplemental Table 1</w:t>
      </w:r>
      <w:r>
        <w:t xml:space="preserve">). </w:t>
      </w:r>
    </w:p>
    <w:p w14:paraId="3AD07F54" w14:textId="77777777" w:rsidR="00DF34E5" w:rsidRDefault="00DF34E5" w:rsidP="008C36CB">
      <w:pPr>
        <w:spacing w:line="480" w:lineRule="auto"/>
      </w:pPr>
    </w:p>
    <w:p w14:paraId="6BB194ED" w14:textId="77777777" w:rsidR="00DF34E5" w:rsidRPr="00957C69" w:rsidRDefault="00DF34E5" w:rsidP="008C36CB">
      <w:pPr>
        <w:spacing w:line="480" w:lineRule="auto"/>
        <w:rPr>
          <w:b/>
        </w:rPr>
      </w:pPr>
      <w:r w:rsidRPr="00957C69">
        <w:rPr>
          <w:b/>
        </w:rPr>
        <w:t>Observed sequence–structure–function relationships in BglB</w:t>
      </w:r>
    </w:p>
    <w:p w14:paraId="16AB3904" w14:textId="0237C9B7" w:rsidR="00DF34E5" w:rsidRDefault="00DF34E5" w:rsidP="008C36CB">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ligand revealed mutations which have an equivalent functional effect to mutating the established catalytic residues to alanine. </w:t>
      </w:r>
    </w:p>
    <w:p w14:paraId="41B71E1A" w14:textId="3DF7C916" w:rsidR="00DF34E5" w:rsidRDefault="00DF34E5" w:rsidP="008C36CB">
      <w:pPr>
        <w:spacing w:line="480" w:lineRule="auto"/>
      </w:pPr>
      <w:r>
        <w:tab/>
        <w:t xml:space="preserve">One mutation for which dramatic effects on function is observed is </w:t>
      </w:r>
      <w:proofErr w:type="spellStart"/>
      <w:r>
        <w:t>Q19A</w:t>
      </w:r>
      <w:proofErr w:type="spellEnd"/>
      <w:r>
        <w:t xml:space="preserve">, which decreases catalytic efficiency 57,000-fold. An analysis of the crystal structure of BglB illustrates that both the nitrogen and oxygen of the amide sidechain interact with hydroxyl groups on the substrate (Figure </w:t>
      </w:r>
      <w:proofErr w:type="spellStart"/>
      <w:r>
        <w:t>3A</w:t>
      </w:r>
      <w:proofErr w:type="spellEnd"/>
      <w:r>
        <w:t xml:space="preserve">). Based on a multiple sequence alignment of the </w:t>
      </w:r>
      <w:proofErr w:type="spellStart"/>
      <w:r>
        <w:t>Pfam</w:t>
      </w:r>
      <w:proofErr w:type="spellEnd"/>
      <w:r>
        <w:t xml:space="preserve"> database for the BglB enzyme family comprising 1,554 non-redundant proteins, </w:t>
      </w:r>
      <w:proofErr w:type="spellStart"/>
      <w:r>
        <w:t>Q19</w:t>
      </w:r>
      <w:proofErr w:type="spellEnd"/>
      <w:r>
        <w:t xml:space="preserve"> is 95% conserved (Figure </w:t>
      </w:r>
      <w:proofErr w:type="spellStart"/>
      <w:r>
        <w:t>3B</w:t>
      </w:r>
      <w:proofErr w:type="spellEnd"/>
      <w:r>
        <w:t xml:space="preserve">). While removing these interactions might be predicted to decrease catalytic efficiency, it was unexpected </w:t>
      </w:r>
      <w:r w:rsidR="00700366">
        <w:t xml:space="preserve">that this mutation has an </w:t>
      </w:r>
      <w:r>
        <w:t xml:space="preserve">almost equivalent </w:t>
      </w:r>
      <w:r w:rsidR="00C960AB">
        <w:t>e</w:t>
      </w:r>
      <w:r w:rsidR="00700366">
        <w:t xml:space="preserve">ffect </w:t>
      </w:r>
      <w:r>
        <w:t xml:space="preserve">to removing the established catalytic residue </w:t>
      </w:r>
      <w:proofErr w:type="spellStart"/>
      <w:r>
        <w:t>E353</w:t>
      </w:r>
      <w:proofErr w:type="spellEnd"/>
      <w:r>
        <w:t xml:space="preserve">. 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 involved in chemistry of the reaction. A crystal structure 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of the </w:t>
      </w:r>
      <w:proofErr w:type="spellStart"/>
      <w:r>
        <w:t>Q19A</w:t>
      </w:r>
      <w:proofErr w:type="spellEnd"/>
      <w:r>
        <w:t xml:space="preserve"> mutation may help elucidate the structural effect of this mutation. Based on molecular modeling, no major structural change for this mutant is </w:t>
      </w:r>
      <w:r w:rsidR="006927C5">
        <w:t xml:space="preserve">predicted (Supplemental Figure </w:t>
      </w:r>
      <w:proofErr w:type="spellStart"/>
      <w:r w:rsidR="006927C5">
        <w:t>2</w:t>
      </w:r>
      <w:r w:rsidR="005D2F49">
        <w:t>A</w:t>
      </w:r>
      <w:proofErr w:type="spellEnd"/>
      <w:r>
        <w:t xml:space="preserve">). </w:t>
      </w:r>
    </w:p>
    <w:p w14:paraId="290AA882" w14:textId="65AD068B" w:rsidR="00DF34E5" w:rsidRDefault="00DF34E5" w:rsidP="008C36CB">
      <w:pPr>
        <w:spacing w:line="480" w:lineRule="auto"/>
      </w:pPr>
      <w:r>
        <w:tab/>
        <w:t xml:space="preserve">Another unexpected 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adopts an alternative conformation in which the acid functional group of the glutamate is </w:t>
      </w:r>
      <w:r w:rsidR="001C54BB">
        <w:t>2 Å</w:t>
      </w:r>
      <w:r>
        <w:t xml:space="preserve"> closer to the ac</w:t>
      </w:r>
      <w:r w:rsidR="009E2237">
        <w:t xml:space="preserve">tive site (Supplemental Figure </w:t>
      </w:r>
      <w:proofErr w:type="spellStart"/>
      <w:r w:rsidR="00EE4854">
        <w:t>2</w:t>
      </w:r>
      <w:r w:rsidR="009E2237">
        <w:t>B</w:t>
      </w:r>
      <w:proofErr w:type="spellEnd"/>
      <w:r>
        <w:t xml:space="preserve">). This would result in a significant change of the electrostatic environment around the active site, suggesting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the previously proposed hypothesis that the electrostatic environment of the enzyme active site is of primary i</w:t>
      </w:r>
      <w:r w:rsidR="00E31C1E">
        <w:t xml:space="preserve">mportance to </w:t>
      </w:r>
      <w:proofErr w:type="spellStart"/>
      <w:r w:rsidR="00E31C1E">
        <w:t>catalysis</w:t>
      </w:r>
      <w:r>
        <w:t>.</w:t>
      </w:r>
      <w:r w:rsidR="002866B9">
        <w:fldChar w:fldCharType="begin"/>
      </w:r>
      <w:r w:rsidR="002866B9">
        <w:instrText xml:space="preserve"> ADDIN EN.CITE &lt;EndNote&gt;&lt;Cite&gt;&lt;Author&gt;Warshel&lt;/Author&gt;&lt;Year&gt;2006&lt;/Year&gt;&lt;RecNum&gt;7&lt;/RecNum&gt;&lt;DisplayText&gt;&lt;style face="superscript"&gt;12&lt;/style&gt;&lt;/DisplayText&gt;&lt;record&gt;&lt;rec-number&gt;7&lt;/rec-number&gt;&lt;foreign-keys&gt;&lt;key app="EN" db-id="d22eawd51p0xrpezwr7vdtw2vasp9sx0w25d" timestamp="1431378241"&gt;7&lt;/key&gt;&lt;/foreign-keys&gt;&lt;ref-type name="Bill"&gt;4&lt;/ref-type&gt;&lt;contributors&gt;&lt;authors&gt;&lt;author&gt;Warshel, A&lt;/author&gt;&lt;author&gt;Sharma, P K&lt;/author&gt;&lt;author&gt;Kato, M&lt;/author&gt;&lt;author&gt;Xiang, Y&lt;/author&gt;&lt;author&gt;Liu, H&lt;/author&gt;&lt;/authors&gt;&lt;/contributors&gt;&lt;titles&gt;&lt;title&gt;Electrostatic basis for enzyme catalysis&lt;/title&gt;&lt;secondary-title&gt;Chemical …&lt;/secondary-title&gt;&lt;/titles&gt;&lt;dates&gt;&lt;year&gt;2006&lt;/year&gt;&lt;/dates&gt;&lt;label&gt;r00028&lt;/label&gt;&lt;urls&gt;&lt;related-urls&gt;&lt;url&gt;http://pubs.acs.org/doi/pdf/10.1021/cr0503106&lt;/url&gt;&lt;/related-urls&gt;&lt;/urls&gt;&lt;/record&gt;&lt;/Cite&gt;&lt;/EndNote&gt;</w:instrText>
      </w:r>
      <w:r w:rsidR="002866B9">
        <w:fldChar w:fldCharType="separate"/>
      </w:r>
      <w:r w:rsidR="002866B9" w:rsidRPr="002866B9">
        <w:rPr>
          <w:noProof/>
          <w:vertAlign w:val="superscript"/>
        </w:rPr>
        <w:t>12</w:t>
      </w:r>
      <w:proofErr w:type="spellEnd"/>
      <w:r w:rsidR="002866B9">
        <w:fldChar w:fldCharType="end"/>
      </w:r>
      <w:r w:rsidR="00AF585E">
        <w:t xml:space="preserve"> </w:t>
      </w:r>
    </w:p>
    <w:p w14:paraId="18EF4DA2" w14:textId="77777777" w:rsidR="00DF34E5" w:rsidRDefault="00DF34E5" w:rsidP="008C36CB">
      <w:pPr>
        <w:spacing w:line="480" w:lineRule="auto"/>
      </w:pPr>
    </w:p>
    <w:p w14:paraId="2F82017D" w14:textId="77777777" w:rsidR="00DF34E5" w:rsidRPr="00B83E76" w:rsidRDefault="00DF34E5" w:rsidP="008C36CB">
      <w:pPr>
        <w:spacing w:line="480" w:lineRule="auto"/>
        <w:rPr>
          <w:b/>
        </w:rPr>
      </w:pPr>
      <w:r w:rsidRPr="00B83E76">
        <w:rPr>
          <w:b/>
        </w:rPr>
        <w:t>Conservation analysis of the BglB active site</w:t>
      </w:r>
    </w:p>
    <w:p w14:paraId="297FF6BF" w14:textId="19A09312" w:rsidR="00DF34E5" w:rsidRDefault="00DF34E5" w:rsidP="008C36CB">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(Supplemental Table 1</w:t>
      </w:r>
      <w:r>
        <w:t>). This supports the widely held assumption that highly conserved residues within an enzyme active site are functionally important. However, only 11 of the 44 residues within 12 Å of the active site are &gt;85% conserved. Of the 33 residues within 12 Å of the active site that are &lt;85% conserved, only 8 alanine mutations resulted in a decrease in catalytic efficiency of greater than 100-fold, and 10 of these 33 mutations w</w:t>
      </w:r>
      <w:r w:rsidR="00D22F0B">
        <w:t>ere not found to significantly a</w:t>
      </w:r>
      <w:r>
        <w:t xml:space="preserve">ffect catalytic efficiency. </w:t>
      </w:r>
    </w:p>
    <w:p w14:paraId="2D29CB2A" w14:textId="4036E657" w:rsidR="00DF34E5" w:rsidRDefault="00D22F0B" w:rsidP="008C36CB">
      <w:pPr>
        <w:spacing w:line="480" w:lineRule="auto"/>
      </w:pPr>
      <w:r>
        <w:tab/>
      </w:r>
      <w:r w:rsidR="00DF34E5">
        <w:t xml:space="preserve">Based on these findings, there does not appear to be a strong correlation between residue identity and function if a particular residue is &lt;85% conserved. Finally, the mutation </w:t>
      </w:r>
      <w:proofErr w:type="spellStart"/>
      <w:r w:rsidR="00DF34E5">
        <w:t>R240A</w:t>
      </w:r>
      <w:proofErr w:type="spellEnd"/>
      <w:r w:rsidR="00DF34E5">
        <w:t xml:space="preserve">, which is not observed in any natural variant in the </w:t>
      </w:r>
      <w:proofErr w:type="spellStart"/>
      <w:r w:rsidR="00DF34E5">
        <w:t>glycosyl</w:t>
      </w:r>
      <w:proofErr w:type="spellEnd"/>
      <w:r w:rsidR="00DF34E5">
        <w:t xml:space="preserve"> hydrolase 1 family, resulted in a 10-fold increase in </w:t>
      </w:r>
      <w:proofErr w:type="spellStart"/>
      <w:r w:rsidR="004F15C1" w:rsidRPr="00AE71AE">
        <w:rPr>
          <w:i/>
        </w:rPr>
        <w:t>k</w:t>
      </w:r>
      <w:r w:rsidR="004F15C1" w:rsidRPr="00AE71AE">
        <w:rPr>
          <w:vertAlign w:val="subscript"/>
        </w:rPr>
        <w:t>cat</w:t>
      </w:r>
      <w:proofErr w:type="spellEnd"/>
      <w:r w:rsidR="00DF34E5">
        <w:t>. This emphasizes the importance of not limiting design efforts to changes previously observed in nature when engineering function towards a non-natural substrate.</w:t>
      </w:r>
    </w:p>
    <w:p w14:paraId="3763D291" w14:textId="77777777" w:rsidR="00DF34E5" w:rsidRDefault="00DF34E5" w:rsidP="008C36CB">
      <w:pPr>
        <w:spacing w:line="480" w:lineRule="auto"/>
      </w:pPr>
    </w:p>
    <w:p w14:paraId="0B91C305" w14:textId="77777777" w:rsidR="00DF34E5" w:rsidRPr="00632C3C" w:rsidRDefault="00DF34E5" w:rsidP="008C36CB">
      <w:pPr>
        <w:spacing w:line="480" w:lineRule="auto"/>
        <w:rPr>
          <w:b/>
        </w:rPr>
      </w:pPr>
      <w:r w:rsidRPr="00632C3C">
        <w:rPr>
          <w:b/>
        </w:rPr>
        <w:t>Computational modeling and evaluation of predictive ability</w:t>
      </w:r>
    </w:p>
    <w:p w14:paraId="71F34F16" w14:textId="6D6B6A50" w:rsidR="00DF34E5" w:rsidRDefault="00DF34E5" w:rsidP="008C36CB">
      <w:pPr>
        <w:spacing w:line="480" w:lineRule="auto"/>
      </w:pPr>
      <w:r>
        <w:t>In order to evaluate the Rosetta Molecular Modeling Suite’s ability to evaluate the functional effects of mutations on BglB kinetic properties, molecular models were generated for each of the 104 BglB mutants. For each mutant, the modeled pNPG previously described was docked into the active site. A Monte Carlo simulation with random perturbation of the ligand followed by functional constraint optimization through rigid body minimization of the ligand, sidechain and ligand conformational sampling, and finally ligand, sidechain, and backbone minimization was used to approximate protocols used in successful enzym</w:t>
      </w:r>
      <w:r w:rsidR="000D16BA">
        <w:t xml:space="preserve">e reengineering </w:t>
      </w:r>
      <w:proofErr w:type="spellStart"/>
      <w:r w:rsidR="000D16BA">
        <w:t>efforts</w:t>
      </w:r>
      <w:r>
        <w:t>.</w:t>
      </w:r>
      <w:r w:rsidR="00D4719F">
        <w:fldChar w:fldCharType="begin"/>
      </w:r>
      <w:r w:rsidR="00D4719F">
        <w:instrText xml:space="preserve"> ADDIN EN.CITE &lt;EndNote&gt;&lt;Cite&gt;&lt;Author&gt;Siegel&lt;/Author&gt;&lt;Year&gt;2015&lt;/Year&gt;&lt;RecNum&gt;15&lt;/RecNum&gt;&lt;DisplayText&gt;&lt;style face="superscript"&gt;2&lt;/style&gt;&lt;/DisplayText&gt;&lt;record&gt;&lt;rec-number&gt;15&lt;/rec-number&gt;&lt;foreign-keys&gt;&lt;key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4719F">
        <w:fldChar w:fldCharType="separate"/>
      </w:r>
      <w:r w:rsidR="00D4719F" w:rsidRPr="00D4719F">
        <w:rPr>
          <w:noProof/>
          <w:vertAlign w:val="superscript"/>
        </w:rPr>
        <w:t>2</w:t>
      </w:r>
      <w:proofErr w:type="spellEnd"/>
      <w:r w:rsidR="00D4719F">
        <w:fldChar w:fldCharType="end"/>
      </w:r>
      <w:r>
        <w:t xml:space="preserve"> An example set of input files for wild type BglB are provided in the Supplemental Materials. </w:t>
      </w:r>
    </w:p>
    <w:p w14:paraId="1E2DE8A5" w14:textId="30201D5C" w:rsidR="00DF34E5" w:rsidRDefault="00DF34E5" w:rsidP="008C36CB">
      <w:pPr>
        <w:spacing w:line="480" w:lineRule="auto"/>
      </w:pPr>
      <w:r>
        <w:tab/>
        <w:t>For each mutant, 100 models were generated as described above and the lowest 10 in overall system energy were selected for subsequent structural analysis. A value for each of 59 potentially informative features, such as predicted interface energy, number of hydrogen bonds between protein and ligand, and change in solvent accessible surface area upon ligand binding, was calculated for each model. Correlation of the 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vailable in Supplemental Table 2</w:t>
      </w:r>
      <w:r>
        <w:t xml:space="preserve">. </w:t>
      </w:r>
    </w:p>
    <w:p w14:paraId="6242B9E9" w14:textId="77777777" w:rsidR="00DF34E5" w:rsidRDefault="00DF34E5" w:rsidP="008C36CB">
      <w:pPr>
        <w:spacing w:line="480" w:lineRule="auto"/>
      </w:pPr>
    </w:p>
    <w:p w14:paraId="34E313C9" w14:textId="77777777" w:rsidR="00DF34E5" w:rsidRPr="00CF1F2E" w:rsidRDefault="00DF34E5" w:rsidP="008C36CB">
      <w:pPr>
        <w:spacing w:line="480" w:lineRule="auto"/>
        <w:rPr>
          <w:b/>
        </w:rPr>
      </w:pPr>
      <w:r w:rsidRPr="00CF1F2E">
        <w:rPr>
          <w:b/>
        </w:rPr>
        <w:t>Machine learning prediction of kinetic constants</w:t>
      </w:r>
    </w:p>
    <w:p w14:paraId="067ACE54" w14:textId="75577597" w:rsidR="00DF34E5" w:rsidRDefault="00DF34E5" w:rsidP="008C36CB">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and predict each kinetic constant.. To increase robustness to sample size and remove bias, we used a bootstrapping aggregating (bagging) technique, where the predicted value was an average of 1000 elastic net models, each trained on a different subset of the data. </w:t>
      </w:r>
    </w:p>
    <w:p w14:paraId="304A2ADB" w14:textId="3DA593DE" w:rsidR="00DF34E5" w:rsidRDefault="00114C36" w:rsidP="008C36CB">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illustrates the correlations between machine learning predictions and experimentally-measured values. </w:t>
      </w:r>
    </w:p>
    <w:p w14:paraId="285AF232" w14:textId="0BDED751" w:rsidR="00DF34E5" w:rsidRDefault="00114C36" w:rsidP="008C36CB">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AF585E">
        <w:t xml:space="preserve"> </w:t>
      </w:r>
      <w:r w:rsidR="00DF34E5">
        <w:t>Interestingly, all of these packing features are positively correlated to 1/</w:t>
      </w:r>
      <w:r w:rsidR="004F15C1">
        <w:t>K</w:t>
      </w:r>
      <w:r w:rsidR="004F15C1" w:rsidRPr="004F15C1">
        <w:rPr>
          <w:vertAlign w:val="subscript"/>
        </w:rPr>
        <w:t>M</w:t>
      </w:r>
      <w:r w:rsidR="00DF34E5">
        <w:t xml:space="preserve">, indicating that BglB </w:t>
      </w:r>
      <w:commentRangeStart w:id="0"/>
      <w:r w:rsidR="00DF34E5">
        <w:t>requires room around each catalytic residue and the entire protein in order to optimally accommodate the substrate</w:t>
      </w:r>
      <w:commentRangeEnd w:id="0"/>
      <w:r w:rsidR="00981B20">
        <w:rPr>
          <w:rStyle w:val="CommentReference"/>
        </w:rPr>
        <w:commentReference w:id="0"/>
      </w:r>
      <w:r w:rsidR="00DF34E5">
        <w:t xml:space="preserve">. These features and interpretation of their selection is consistent with an induced fit mechanism. However, if BglB employs an induced fit mechanism, the structural changes would likely be relatively small since the </w:t>
      </w:r>
      <w:proofErr w:type="spellStart"/>
      <w:r w:rsidR="00DF34E5">
        <w:t>RMSD</w:t>
      </w:r>
      <w:proofErr w:type="spellEnd"/>
      <w:r w:rsidR="00DF34E5">
        <w:t xml:space="preserve"> between the </w:t>
      </w:r>
      <w:proofErr w:type="spellStart"/>
      <w:r w:rsidR="00DF34E5">
        <w:t>apo</w:t>
      </w:r>
      <w:proofErr w:type="spellEnd"/>
      <w:r w:rsidR="00DF34E5">
        <w:t xml:space="preserve"> and transition state analogue bound forms of BglB is &lt;</w:t>
      </w:r>
      <w:r w:rsidR="00DC381A">
        <w:t xml:space="preserve"> </w:t>
      </w:r>
      <w:r w:rsidR="00DF34E5">
        <w:t xml:space="preserve">0.2 Å. </w:t>
      </w:r>
    </w:p>
    <w:p w14:paraId="440A2B73" w14:textId="2BE8F630" w:rsidR="00DF34E5" w:rsidRDefault="00DF34E5" w:rsidP="008C36CB">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w:t>
      </w:r>
      <w:proofErr w:type="spellStart"/>
      <w:r>
        <w:t>state.</w:t>
      </w:r>
      <w:r w:rsidR="00F817CF">
        <w:fldChar w:fldCharType="begin"/>
      </w:r>
      <w:r w:rsidR="00F817CF">
        <w:instrText xml:space="preserve"> ADDIN EN.CITE &lt;EndNote&gt;&lt;Cite&gt;&lt;Author&gt;McCarter&lt;/Author&gt;&lt;Year&gt;1994&lt;/Year&gt;&lt;RecNum&gt;22&lt;/RecNum&gt;&lt;DisplayText&gt;&lt;style face="superscript"&gt;13&lt;/style&gt;&lt;/DisplayText&gt;&lt;record&gt;&lt;rec-number&gt;22&lt;/rec-number&gt;&lt;foreign-keys&gt;&lt;key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F817CF" w:rsidRPr="00F817CF">
        <w:rPr>
          <w:noProof/>
          <w:vertAlign w:val="superscript"/>
        </w:rPr>
        <w:t>13</w:t>
      </w:r>
      <w:proofErr w:type="spellEnd"/>
      <w:r w:rsidR="00F817CF">
        <w:fldChar w:fldCharType="end"/>
      </w:r>
      <w:r>
        <w:t xml:space="preserve"> Further supporting the importance of stabilizing the transition state is the selection of a ligand burial term (change in solvent accessible surface area on binding) by the elastic net algorithm, which indicates that tight packing and shape complementary are critical to catalysis. Taken together with the finding that residues such as </w:t>
      </w:r>
      <w:proofErr w:type="spellStart"/>
      <w:r>
        <w:t>E222</w:t>
      </w:r>
      <w:proofErr w:type="spellEnd"/>
      <w:r>
        <w:t xml:space="preserve"> which do not make direct molecular interactions with the substrate nonetheless play a key role in catalysis, the identification of these features as being important by the machine learning algorithm is consistent with the finely-tuned electrostatic environment of the BglB active site being of primary impo</w:t>
      </w:r>
      <w:r w:rsidR="00515B0C">
        <w:t xml:space="preserve">rtance for </w:t>
      </w:r>
      <w:proofErr w:type="spellStart"/>
      <w:r w:rsidR="00515B0C">
        <w:t>catalysis.</w:t>
      </w:r>
      <w:r w:rsidR="00955701">
        <w:fldChar w:fldCharType="begin"/>
      </w:r>
      <w:r w:rsidR="00955701">
        <w:instrText xml:space="preserve"> ADDIN EN.CITE &lt;EndNote&gt;&lt;Cite&gt;&lt;Author&gt;Warshel&lt;/Author&gt;&lt;Year&gt;2006&lt;/Year&gt;&lt;RecNum&gt;7&lt;/RecNum&gt;&lt;DisplayText&gt;&lt;style face="superscript"&gt;12&lt;/style&gt;&lt;/DisplayText&gt;&lt;record&gt;&lt;rec-number&gt;7&lt;/rec-number&gt;&lt;foreign-keys&gt;&lt;key app="EN" db-id="d22eawd51p0xrpezwr7vdtw2vasp9sx0w25d" timestamp="1431378241"&gt;7&lt;/key&gt;&lt;/foreign-keys&gt;&lt;ref-type name="Bill"&gt;4&lt;/ref-type&gt;&lt;contributors&gt;&lt;authors&gt;&lt;author&gt;Warshel, A&lt;/author&gt;&lt;author&gt;Sharma, P K&lt;/author&gt;&lt;author&gt;Kato, M&lt;/author&gt;&lt;author&gt;Xiang, Y&lt;/author&gt;&lt;author&gt;Liu, H&lt;/author&gt;&lt;/authors&gt;&lt;/contributors&gt;&lt;titles&gt;&lt;title&gt;Electrostatic basis for enzyme catalysis&lt;/title&gt;&lt;secondary-title&gt;Chemical …&lt;/secondary-title&gt;&lt;/titles&gt;&lt;dates&gt;&lt;year&gt;2006&lt;/year&gt;&lt;/dates&gt;&lt;label&gt;r00028&lt;/label&gt;&lt;urls&gt;&lt;related-urls&gt;&lt;url&gt;http://pubs.acs.org/doi/pdf/10.1021/cr0503106&lt;/url&gt;&lt;/related-urls&gt;&lt;/urls&gt;&lt;/record&gt;&lt;/Cite&gt;&lt;/EndNote&gt;</w:instrText>
      </w:r>
      <w:r w:rsidR="00955701">
        <w:fldChar w:fldCharType="separate"/>
      </w:r>
      <w:r w:rsidR="00955701" w:rsidRPr="00955701">
        <w:rPr>
          <w:noProof/>
          <w:vertAlign w:val="superscript"/>
        </w:rPr>
        <w:t>12</w:t>
      </w:r>
      <w:proofErr w:type="spellEnd"/>
      <w:r w:rsidR="00955701">
        <w:fldChar w:fldCharType="end"/>
      </w:r>
    </w:p>
    <w:p w14:paraId="5531B8F6" w14:textId="2F87E99F" w:rsidR="00DF34E5" w:rsidRDefault="00DF34E5" w:rsidP="008C36CB">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 indi</w:t>
      </w:r>
      <w:r w:rsidR="008E17CB">
        <w:t>cates the importance of protein-</w:t>
      </w:r>
      <w:r>
        <w:t>ligand hydrogen bond interactions for optimally positioning the substrate and the protein sidechains to enable catalysis ("orbital ste</w:t>
      </w:r>
      <w:r w:rsidR="005061E7">
        <w:t>ering")</w:t>
      </w:r>
      <w:r>
        <w:t>.</w:t>
      </w:r>
      <w:r w:rsidR="00D36C90">
        <w:fldChar w:fldCharType="begin">
          <w:fldData xml:space="preserve">PEVuZE5vdGU+PENpdGU+PEF1dGhvcj5NZXNlY2FyPC9BdXRob3I+PFllYXI+MTk5NzwvWWVhcj48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LlkuKTwvYWJici0xPjwvYWx0LXBlcmlvZGljYWw+PHBhZ2VzPjIwMi02PC9wYWdlcz48dm9sdW1l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</w:fldData>
        </w:fldChar>
      </w:r>
      <w:r w:rsidR="00D36C90">
        <w:instrText xml:space="preserve"> ADDIN EN.CITE </w:instrText>
      </w:r>
      <w:r w:rsidR="00D36C90">
        <w:fldChar w:fldCharType="begin">
          <w:fldData xml:space="preserve">PEVuZE5vdGU+PENpdGU+PEF1dGhvcj5NZXNlY2FyPC9BdXRob3I+PFllYXI+MTk5NzwvWWVhcj48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LlkuKTwvYWJici0xPjwvYWx0LXBlcmlvZGljYWw+PHBhZ2VzPjIwMi02PC9wYWdlcz48dm9sdW1l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</w:fldData>
        </w:fldChar>
      </w:r>
      <w:r w:rsidR="00D36C90">
        <w:instrText xml:space="preserve"> ADDIN EN.CITE.DATA </w:instrText>
      </w:r>
      <w:r w:rsidR="00D36C90">
        <w:fldChar w:fldCharType="end"/>
      </w:r>
      <w:r w:rsidR="00D36C90">
        <w:fldChar w:fldCharType="separate"/>
      </w:r>
      <w:r w:rsidR="00D36C90" w:rsidRPr="00D36C90">
        <w:rPr>
          <w:noProof/>
          <w:vertAlign w:val="superscript"/>
        </w:rPr>
        <w:t>14</w:t>
      </w:r>
      <w:r w:rsidR="00D36C90">
        <w:fldChar w:fldCharType="end"/>
      </w:r>
      <w:r>
        <w:t xml:space="preserve"> This is further supported by the finding that the mutation </w:t>
      </w:r>
      <w:proofErr w:type="spellStart"/>
      <w:r>
        <w:t>Q19A</w:t>
      </w:r>
      <w:proofErr w:type="spellEnd"/>
      <w:r>
        <w:t xml:space="preserve">, which removes two hydrogen bond interactions between </w:t>
      </w:r>
      <w:proofErr w:type="spellStart"/>
      <w:r>
        <w:t>Q19</w:t>
      </w:r>
      <w:proofErr w:type="spellEnd"/>
      <w:r>
        <w:t xml:space="preserve"> and pNPG is equivalent to the catalytic knockout </w:t>
      </w:r>
      <w:proofErr w:type="spellStart"/>
      <w:r>
        <w:t>E353A</w:t>
      </w:r>
      <w:proofErr w:type="spellEnd"/>
      <w:r>
        <w:t xml:space="preserve"> in reducing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152501">
        <w:t>.</w:t>
      </w:r>
    </w:p>
    <w:p w14:paraId="6F919B91" w14:textId="5E5A26A6" w:rsidR="00DF34E5" w:rsidRDefault="00152501" w:rsidP="008C36CB">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C54EC9">
        <w:t>T</w:t>
      </w:r>
      <w:r w:rsidR="00DF34E5">
        <w:t xml:space="preserve">his is not entirely unexpected since no significant correlation is observed between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w:t>
      </w:r>
      <w:r w:rsidR="00CD6A07">
        <w:t>for</w:t>
      </w:r>
      <w:r w:rsidR="00DF34E5">
        <w:t xml:space="preserve"> the mutants </w:t>
      </w:r>
      <w:r w:rsidR="009E3F2F">
        <w:t>in</w:t>
      </w:r>
      <w:r w:rsidR="00DF34E5">
        <w:t xml:space="preserve"> this dataset (Supplemental </w:t>
      </w:r>
      <w:r w:rsidR="00B21D0F">
        <w:t>Table</w:t>
      </w:r>
      <w:r w:rsidR="00DF34E5">
        <w:t xml:space="preserve"> </w:t>
      </w:r>
      <w:r w:rsidR="00B21D0F">
        <w:t>2</w:t>
      </w:r>
      <w:r w:rsidR="00DF34E5">
        <w:t xml:space="preserve">), suggesting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 </w:t>
      </w:r>
      <w:commentRangeStart w:id="1"/>
      <w:r w:rsidR="00DF34E5">
        <w:t xml:space="preserve">Therefore, selected features that are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would not be required to be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commentRangeEnd w:id="1"/>
      <w:r w:rsidR="000821C2">
        <w:rPr>
          <w:rStyle w:val="CommentReference"/>
        </w:rPr>
        <w:commentReference w:id="1"/>
      </w:r>
    </w:p>
    <w:p w14:paraId="400A0096" w14:textId="4F582841" w:rsidR="00DF34E5" w:rsidRDefault="000821C2" w:rsidP="008C36CB">
      <w:pPr>
        <w:spacing w:line="480" w:lineRule="auto"/>
      </w:pPr>
      <w:r>
        <w:tab/>
      </w:r>
      <w:r w:rsidR="00DF34E5">
        <w:t xml:space="preserve">A second unexpected observation is that the most common metric used for evaluating designs, interface </w:t>
      </w:r>
      <w:proofErr w:type="spellStart"/>
      <w:r w:rsidR="00DF34E5">
        <w:t>energy,</w:t>
      </w:r>
      <w:r w:rsidR="001112F9">
        <w:fldChar w:fldCharType="begin"/>
      </w:r>
      <w:r w:rsidR="001112F9">
        <w:instrText xml:space="preserve"> ADDIN EN.CITE &lt;EndNote&gt;&lt;Cite&gt;&lt;Author&gt;Siegel&lt;/Author&gt;&lt;Year&gt;2015&lt;/Year&gt;&lt;RecNum&gt;15&lt;/RecNum&gt;&lt;DisplayText&gt;&lt;style face="superscript"&gt;2&lt;/style&gt;&lt;/DisplayText&gt;&lt;record&gt;&lt;rec-number&gt;15&lt;/rec-number&gt;&lt;foreign-keys&gt;&lt;key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1112F9">
        <w:fldChar w:fldCharType="separate"/>
      </w:r>
      <w:r w:rsidR="001112F9" w:rsidRPr="00D704B6">
        <w:rPr>
          <w:noProof/>
          <w:vertAlign w:val="superscript"/>
        </w:rPr>
        <w:t>2</w:t>
      </w:r>
      <w:r w:rsidR="001112F9">
        <w:fldChar w:fldCharType="end"/>
      </w:r>
      <w:r w:rsidR="001112F9" w:rsidRPr="00D704B6">
        <w:rPr>
          <w:vertAlign w:val="superscript"/>
        </w:rPr>
        <w:t>,</w:t>
      </w:r>
      <w:r w:rsidR="001112F9" w:rsidRPr="00D704B6">
        <w:rPr>
          <w:vertAlign w:val="superscript"/>
        </w:rPr>
        <w:fldChar w:fldCharType="begin"/>
      </w:r>
      <w:r w:rsidR="001112F9" w:rsidRPr="00D704B6">
        <w:rPr>
          <w:vertAlign w:val="superscript"/>
        </w:rPr>
        <w:instrText xml:space="preserve"> ADDIN EN.CITE &lt;EndNote&gt;&lt;Cite&gt;&lt;Author&gt;Damborsky&lt;/Author&gt;&lt;Year&gt;2014&lt;/Year&gt;&lt;RecNum&gt;8&lt;/RecNum&gt;&lt;DisplayText&gt;&lt;style face="superscript"&gt;3&lt;/style&gt;&lt;/DisplayText&gt;&lt;record&gt;&lt;rec-number&gt;8&lt;/rec-number&gt;&lt;foreign-keys&gt;&lt;key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1112F9" w:rsidRPr="00D704B6">
        <w:rPr>
          <w:vertAlign w:val="superscript"/>
        </w:rPr>
        <w:fldChar w:fldCharType="separate"/>
      </w:r>
      <w:r w:rsidR="001112F9" w:rsidRPr="00D704B6">
        <w:rPr>
          <w:noProof/>
          <w:vertAlign w:val="superscript"/>
        </w:rPr>
        <w:t>3</w:t>
      </w:r>
      <w:r w:rsidR="001112F9" w:rsidRPr="00D704B6">
        <w:rPr>
          <w:vertAlign w:val="superscript"/>
        </w:rPr>
        <w:fldChar w:fldCharType="end"/>
      </w:r>
      <w:r w:rsidR="001112F9" w:rsidRPr="00D704B6">
        <w:rPr>
          <w:vertAlign w:val="superscript"/>
        </w:rPr>
        <w:t>,</w:t>
      </w:r>
      <w:r w:rsidR="001112F9" w:rsidRPr="00D704B6">
        <w:rPr>
          <w:vertAlign w:val="superscript"/>
        </w:rPr>
        <w:fldChar w:fldCharType="begin"/>
      </w:r>
      <w:r w:rsidR="001112F9" w:rsidRPr="00D704B6">
        <w:rPr>
          <w:vertAlign w:val="superscript"/>
        </w:rPr>
        <w:instrText xml:space="preserve"> ADDIN EN.CITE &lt;EndNote&gt;&lt;Cite&gt;&lt;Author&gt;Gordon&lt;/Author&gt;&lt;Year&gt;2012&lt;/Year&gt;&lt;RecNum&gt;4&lt;/RecNum&gt;&lt;DisplayText&gt;&lt;style face="superscript"&gt;4&lt;/style&gt;&lt;/DisplayText&gt;&lt;record&gt;&lt;rec-number&gt;4&lt;/rec-number&gt;&lt;foreign-keys&gt;&lt;key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 Am. Chem.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1112F9" w:rsidRPr="00D704B6">
        <w:rPr>
          <w:vertAlign w:val="superscript"/>
        </w:rPr>
        <w:fldChar w:fldCharType="separate"/>
      </w:r>
      <w:r w:rsidR="001112F9" w:rsidRPr="00D704B6">
        <w:rPr>
          <w:noProof/>
          <w:vertAlign w:val="superscript"/>
        </w:rPr>
        <w:t>4</w:t>
      </w:r>
      <w:r w:rsidR="001112F9" w:rsidRPr="00D704B6">
        <w:rPr>
          <w:vertAlign w:val="superscript"/>
        </w:rPr>
        <w:fldChar w:fldCharType="end"/>
      </w:r>
      <w:r w:rsidR="001112F9" w:rsidRPr="00D704B6">
        <w:rPr>
          <w:vertAlign w:val="superscript"/>
        </w:rPr>
        <w:t>,</w:t>
      </w:r>
      <w:r w:rsidR="001112F9" w:rsidRPr="00D704B6">
        <w:rPr>
          <w:vertAlign w:val="superscript"/>
        </w:rPr>
        <w:fldChar w:fldCharType="begin"/>
      </w:r>
      <w:r w:rsidR="001112F9" w:rsidRPr="00D704B6">
        <w:rPr>
          <w:vertAlign w:val="superscript"/>
        </w:rPr>
        <w:instrText xml:space="preserve"> ADDIN EN.CITE &lt;EndNote&gt;&lt;Cite&gt;&lt;Author&gt;Marcheschi&lt;/Author&gt;&lt;Year&gt;2012&lt;/Year&gt;&lt;RecNum&gt;12&lt;/RecNum&gt;&lt;DisplayText&gt;&lt;style face="superscript"&gt;5&lt;/style&gt;&lt;/DisplayText&gt;&lt;record&gt;&lt;rec-number&gt;12&lt;/rec-number&gt;&lt;foreign-keys&gt;&lt;key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1112F9" w:rsidRPr="00D704B6">
        <w:rPr>
          <w:vertAlign w:val="superscript"/>
        </w:rPr>
        <w:fldChar w:fldCharType="separate"/>
      </w:r>
      <w:r w:rsidR="001112F9" w:rsidRPr="00D704B6">
        <w:rPr>
          <w:noProof/>
          <w:vertAlign w:val="superscript"/>
        </w:rPr>
        <w:t>5</w:t>
      </w:r>
      <w:r w:rsidR="001112F9" w:rsidRPr="00D704B6">
        <w:rPr>
          <w:vertAlign w:val="superscript"/>
        </w:rPr>
        <w:fldChar w:fldCharType="end"/>
      </w:r>
      <w:r w:rsidR="001112F9" w:rsidRPr="00D704B6">
        <w:rPr>
          <w:vertAlign w:val="superscript"/>
        </w:rPr>
        <w:t>,</w:t>
      </w:r>
      <w:r w:rsidR="001112F9" w:rsidRPr="00D704B6">
        <w:rPr>
          <w:vertAlign w:val="superscript"/>
        </w:rPr>
        <w:fldChar w:fldCharType="begin"/>
      </w:r>
      <w:r w:rsidR="001112F9" w:rsidRPr="00D704B6">
        <w:rPr>
          <w:vertAlign w:val="superscript"/>
        </w:rPr>
        <w:instrText xml:space="preserve"> ADDIN EN.CITE &lt;EndNote&gt;&lt;Cite&gt;&lt;Author&gt;Khare&lt;/Author&gt;&lt;Year&gt;2012&lt;/Year&gt;&lt;RecNum&gt;6&lt;/RecNum&gt;&lt;DisplayText&gt;&lt;style face="superscript"&gt;6&lt;/style&gt;&lt;/DisplayText&gt;&lt;record&gt;&lt;rec-number&gt;6&lt;/rec-number&gt;&lt;foreign-keys&gt;&lt;key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1112F9" w:rsidRPr="00D704B6">
        <w:rPr>
          <w:vertAlign w:val="superscript"/>
        </w:rPr>
        <w:fldChar w:fldCharType="separate"/>
      </w:r>
      <w:r w:rsidR="001112F9" w:rsidRPr="00D704B6">
        <w:rPr>
          <w:noProof/>
          <w:vertAlign w:val="superscript"/>
        </w:rPr>
        <w:t>6</w:t>
      </w:r>
      <w:proofErr w:type="spellEnd"/>
      <w:r w:rsidR="001112F9" w:rsidRPr="00D704B6">
        <w:rPr>
          <w:vertAlign w:val="superscript"/>
        </w:rPr>
        <w:fldChar w:fldCharType="end"/>
      </w:r>
      <w:r w:rsidR="001112F9">
        <w:t xml:space="preserve"> </w:t>
      </w:r>
      <w:r w:rsidR="00DF34E5">
        <w:t xml:space="preserve">is not selected by the algorithm to be predictive of any kinetic constant. Ideally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the training of the current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8C36CB">
      <w:pPr>
        <w:spacing w:line="480" w:lineRule="auto"/>
      </w:pPr>
    </w:p>
    <w:p w14:paraId="5AC55E85" w14:textId="77777777" w:rsidR="00DF34E5" w:rsidRPr="00314013" w:rsidRDefault="00DF34E5" w:rsidP="008C36CB">
      <w:pPr>
        <w:spacing w:line="480" w:lineRule="auto"/>
        <w:rPr>
          <w:b/>
        </w:rPr>
      </w:pPr>
      <w:r w:rsidRPr="00314013">
        <w:rPr>
          <w:b/>
        </w:rPr>
        <w:t>DISCUSSION</w:t>
      </w:r>
    </w:p>
    <w:p w14:paraId="60C800F6" w14:textId="77777777" w:rsidR="00DF34E5" w:rsidRDefault="00DF34E5" w:rsidP="008C36CB">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kinetically quantitative, and uniformly-collected dataset of the effects of mutations on kinetic parameters. Here, we construct the first such dataset and report statistically significant evaluation of our ability to predict the functional effects of enzyme mutations. </w:t>
      </w:r>
    </w:p>
    <w:p w14:paraId="73D9C5BD" w14:textId="33D175C3" w:rsidR="00DF34E5" w:rsidRDefault="00DF34E5" w:rsidP="008C36CB">
      <w:pPr>
        <w:spacing w:line="480" w:lineRule="auto"/>
      </w:pPr>
      <w:r>
        <w:tab/>
        <w:t>The data generated here uncovered new structure-function relationships in BglB, and provides the quantitative contribution towards catalysis of each amino acid in the active site. This systematic analysis revealed that several amino acids within the active site which are not directly involved in the reaction chemistry are almost as important to catalysis as the two residues which are directly involved in the chemistry. This highlights the interdependence of the entire active site to catalyze the reaction.</w:t>
      </w:r>
      <w:r w:rsidR="00AF585E">
        <w:t xml:space="preserve"> </w:t>
      </w:r>
      <w:r>
        <w:t xml:space="preserve">This is consistent with a recent report exploring the interconnectedness of a network of five residues in alkaline </w:t>
      </w:r>
      <w:proofErr w:type="spellStart"/>
      <w:r>
        <w:t>phosphatase.</w:t>
      </w:r>
      <w:r w:rsidR="00821017">
        <w:fldChar w:fldCharType="begin"/>
      </w:r>
      <w:r w:rsidR="00821017">
        <w:instrText xml:space="preserve"> ADDIN EN.CITE &lt;EndNote&gt;&lt;Cite&gt;&lt;Author&gt;Sunden&lt;/Author&gt;&lt;Year&gt;2015&lt;/Year&gt;&lt;RecNum&gt;3&lt;/RecNum&gt;&lt;DisplayText&gt;&lt;style face="superscript"&gt;15&lt;/style&gt;&lt;/DisplayText&gt;&lt;record&gt;&lt;rec-number&gt;3&lt;/rec-number&gt;&lt;foreign-keys&gt;&lt;key app="EN" db-id="d22eawd51p0xrpezwr7vdtw2vasp9sx0w25d" timestamp="1431378241"&gt;3&lt;/key&gt;&lt;/foreign-keys&gt;&lt;ref-type name="Bill"&gt;4&lt;/ref-type&gt;&lt;contributors&gt;&lt;authors&gt;&lt;author&gt;Sunden, Fanny&lt;/author&gt;&lt;author&gt;Peck, Ariana&lt;/author&gt;&lt;author&gt;Salzman, Julia&lt;/author&gt;&lt;author&gt;Ressl, Susanne&lt;/author&gt;&lt;author&gt;Herschlag, Daniel&lt;/author&gt;&lt;author&gt;Kuriyan, John&lt;/author&gt;&lt;/authors&gt;&lt;/contributors&gt;&lt;titles&gt;&lt;title&gt;Extensive site-directed mutagenesis reveals interconnected functional units in the Alkaline Phosphatase active site&lt;/title&gt;&lt;secondary-title&gt;eLife Sciences&lt;/secondary-title&gt;&lt;/titles&gt;&lt;pages&gt;e06181&lt;/pages&gt;&lt;volume&gt;4&lt;/volume&gt;&lt;dates&gt;&lt;year&gt;2015&lt;/year&gt;&lt;pub-dates&gt;&lt;date&gt;Apr 22&lt;/date&gt;&lt;/pub-dates&gt;&lt;/dates&gt;&lt;publisher&gt;eLife Sciences Publications Limited&lt;/publisher&gt;&lt;label&gt;r00001&lt;/label&gt;&lt;urls&gt;&lt;related-urls&gt;&lt;url&gt;http://elifesciences.org/lookup/doi/10.7554/eLife.06181&lt;/url&gt;&lt;/related-urls&gt;&lt;/urls&gt;&lt;/record&gt;&lt;/Cite&gt;&lt;/EndNote&gt;</w:instrText>
      </w:r>
      <w:r w:rsidR="00821017">
        <w:fldChar w:fldCharType="separate"/>
      </w:r>
      <w:r w:rsidR="00821017" w:rsidRPr="00821017">
        <w:rPr>
          <w:noProof/>
          <w:vertAlign w:val="superscript"/>
        </w:rPr>
        <w:t>15</w:t>
      </w:r>
      <w:proofErr w:type="spellEnd"/>
      <w:r w:rsidR="00821017">
        <w:fldChar w:fldCharType="end"/>
      </w:r>
    </w:p>
    <w:p w14:paraId="0483E4D7" w14:textId="77777777" w:rsidR="00DF34E5" w:rsidRDefault="00DF34E5" w:rsidP="008C36CB">
      <w:pPr>
        <w:spacing w:line="480" w:lineRule="auto"/>
      </w:pPr>
      <w:r>
        <w:tab/>
        <w:t>The large dataset of kinetic constants generated enabled the use of machine learning techniques to select structural features that are predictive of function. It was unexpected to observe that the calculated interface energy is not found to be predictive of any kinetic parameter, and was not a feature identified by machine learning as predictive of function. This has significant implications for future design strategies since the interface energy is one of the most common metrics currently used to evaluate enzyme designs. It may be pertinent to develop additional training datasets, such as we have done for BglB, in order to further quantify the appropriate metrics to be used for selecting designed mutants to functionally characterize in other enzyme systems. While the dataset generated here enabled the development of a machine learning–based scoring function, it is unclear if the features selected by machine learning for BglB will be useful for prediction in other enzyme systems. More datasets of standardized kinetic constants are needed to determine if our results and the resultant machine learning–based scoring function is applicable to every family 1 glycoside hydrolase, or even to other classes of hydrolase. Further work is needed to integrate these large data sets into enzyme redesign algorithms to enable data driven design of novel enzymatic catalysts.</w:t>
      </w:r>
    </w:p>
    <w:p w14:paraId="121ED17B" w14:textId="77777777" w:rsidR="00DF763B" w:rsidRDefault="00DF763B" w:rsidP="008C36CB">
      <w:pPr>
        <w:spacing w:line="480" w:lineRule="auto"/>
      </w:pPr>
    </w:p>
    <w:p w14:paraId="52EEC546" w14:textId="77777777" w:rsidR="00DF34E5" w:rsidRPr="00DF763B" w:rsidRDefault="00DF34E5" w:rsidP="008C36CB">
      <w:pPr>
        <w:spacing w:line="480" w:lineRule="auto"/>
        <w:rPr>
          <w:b/>
        </w:rPr>
      </w:pPr>
      <w:r w:rsidRPr="00DF763B">
        <w:rPr>
          <w:b/>
        </w:rPr>
        <w:t>CONCLUSION</w:t>
      </w:r>
    </w:p>
    <w:p w14:paraId="2D12FEF9" w14:textId="77777777" w:rsidR="00DF34E5" w:rsidRDefault="00DF34E5" w:rsidP="008C36CB">
      <w:pPr>
        <w:spacing w:line="480" w:lineRule="auto"/>
      </w:pPr>
      <w:r>
        <w:t xml:space="preserve">In this work, over 100 computationally-designed mutants of a family 1 </w:t>
      </w:r>
      <w:proofErr w:type="spellStart"/>
      <w:r>
        <w:t>glucosidase</w:t>
      </w:r>
      <w:proofErr w:type="spellEnd"/>
      <w:r>
        <w:t xml:space="preserve"> were produced, purified, and kinetically characterized. This dataset revealed new insights into structure-function relationships in BglB. Using readily calculated structural features machine learning protocols were employed to select a subset of features that are highly predictive of kinetic properties.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8C36CB">
      <w:pPr>
        <w:spacing w:line="480" w:lineRule="auto"/>
        <w:rPr>
          <w:b/>
        </w:rPr>
      </w:pPr>
    </w:p>
    <w:p w14:paraId="4CCC698D" w14:textId="77777777" w:rsidR="00DF34E5" w:rsidRPr="00457A0B" w:rsidRDefault="00DF34E5" w:rsidP="008C36CB">
      <w:pPr>
        <w:spacing w:line="480" w:lineRule="auto"/>
        <w:rPr>
          <w:b/>
        </w:rPr>
      </w:pPr>
      <w:r w:rsidRPr="00457A0B">
        <w:rPr>
          <w:b/>
        </w:rPr>
        <w:t>METHODS</w:t>
      </w:r>
    </w:p>
    <w:p w14:paraId="58FA30EB" w14:textId="77777777" w:rsidR="00DF34E5" w:rsidRPr="00457A0B" w:rsidRDefault="00DF34E5" w:rsidP="008C36CB">
      <w:pPr>
        <w:spacing w:line="480" w:lineRule="auto"/>
        <w:rPr>
          <w:b/>
        </w:rPr>
      </w:pPr>
      <w:r w:rsidRPr="00457A0B">
        <w:rPr>
          <w:b/>
        </w:rPr>
        <w:t>Molecular modeling for mutant selection</w:t>
      </w:r>
    </w:p>
    <w:p w14:paraId="11339A64" w14:textId="77777777" w:rsidR="00DF34E5" w:rsidRDefault="00DF34E5" w:rsidP="008C36CB">
      <w:pPr>
        <w:spacing w:line="480" w:lineRule="auto"/>
      </w:pPr>
      <w:r>
        <w:t>The crystal structure of recombinant BglB with the substrate analog 2-</w:t>
      </w:r>
      <w:proofErr w:type="spellStart"/>
      <w:r>
        <w:t>deoxy</w:t>
      </w:r>
      <w:proofErr w:type="spellEnd"/>
      <w:r>
        <w:t>-2-</w:t>
      </w:r>
      <w:proofErr w:type="spellStart"/>
      <w:r>
        <w:t>fluoro</w:t>
      </w:r>
      <w:proofErr w:type="spellEnd"/>
      <w:r>
        <w:t>-alpha-D-</w:t>
      </w:r>
      <w:proofErr w:type="spellStart"/>
      <w:r>
        <w:t>glucopyranose</w:t>
      </w:r>
      <w:proofErr w:type="spellEnd"/>
      <w:r>
        <w:t xml:space="preserve"> bound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8C36CB">
      <w:pPr>
        <w:spacing w:line="480" w:lineRule="auto"/>
      </w:pPr>
    </w:p>
    <w:p w14:paraId="0F5ED98A" w14:textId="77777777" w:rsidR="00DF34E5" w:rsidRPr="00F475B9" w:rsidRDefault="00DF34E5" w:rsidP="008C36CB">
      <w:pPr>
        <w:spacing w:line="480" w:lineRule="auto"/>
        <w:rPr>
          <w:b/>
        </w:rPr>
      </w:pPr>
      <w:r w:rsidRPr="00F475B9">
        <w:rPr>
          <w:b/>
        </w:rPr>
        <w:t>Mutagenesis, expression, and purification</w:t>
      </w:r>
    </w:p>
    <w:p w14:paraId="44CC35C9" w14:textId="1CD18017" w:rsidR="00DF34E5" w:rsidRDefault="00DF34E5" w:rsidP="008C36CB">
      <w:pPr>
        <w:spacing w:line="480" w:lineRule="auto"/>
      </w:pPr>
      <w:r>
        <w:t xml:space="preserve">The BglB gene was codon-optimized for E. coli, synthesized as a DNA String by Life Technologies, and cloned into a </w:t>
      </w:r>
      <w:proofErr w:type="spellStart"/>
      <w:r>
        <w:t>pET29b</w:t>
      </w:r>
      <w:proofErr w:type="spellEnd"/>
      <w:r>
        <w:t xml:space="preserve">+ vector using Gibson </w:t>
      </w:r>
      <w:proofErr w:type="spellStart"/>
      <w:r>
        <w:t>assembly.</w:t>
      </w:r>
      <w:r w:rsidR="00291C66">
        <w:fldChar w:fldCharType="begin"/>
      </w:r>
      <w:r w:rsidR="00291C66">
        <w:instrText xml:space="preserve"> ADDIN EN.CITE &lt;EndNote&gt;&lt;Cite&gt;&lt;Author&gt;Gibson&lt;/Author&gt;&lt;Year&gt;2009&lt;/Year&gt;&lt;RecNum&gt;24&lt;/RecNum&gt;&lt;DisplayText&gt;&lt;style face="superscript"&gt;16&lt;/style&gt;&lt;/DisplayText&gt;&lt;record&gt;&lt;rec-number&gt;24&lt;/rec-number&gt;&lt;foreign-keys&gt;&lt;key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291C66" w:rsidRPr="00291C66">
        <w:rPr>
          <w:noProof/>
          <w:vertAlign w:val="superscript"/>
        </w:rPr>
        <w:t>16</w:t>
      </w:r>
      <w:proofErr w:type="spellEnd"/>
      <w:r w:rsidR="00291C66">
        <w:fldChar w:fldCharType="end"/>
      </w:r>
      <w:r>
        <w:t xml:space="preserve"> Site-directed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p>
    <w:p w14:paraId="693831C4" w14:textId="77777777" w:rsidR="00DF34E5" w:rsidRDefault="00DF34E5" w:rsidP="008C36CB">
      <w:pPr>
        <w:spacing w:line="480" w:lineRule="auto"/>
      </w:pPr>
    </w:p>
    <w:p w14:paraId="2BDA0C90" w14:textId="77777777" w:rsidR="00DF34E5" w:rsidRPr="007F744E" w:rsidRDefault="00DF34E5" w:rsidP="008C36CB">
      <w:pPr>
        <w:spacing w:line="480" w:lineRule="auto"/>
        <w:rPr>
          <w:b/>
        </w:rPr>
      </w:pPr>
      <w:r w:rsidRPr="007F744E">
        <w:rPr>
          <w:b/>
        </w:rPr>
        <w:t>Kinetic characterization</w:t>
      </w:r>
    </w:p>
    <w:p w14:paraId="6720BA6A" w14:textId="77777777" w:rsidR="00DF34E5" w:rsidRDefault="00DF34E5" w:rsidP="008C36CB">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8C36CB">
      <w:pPr>
        <w:spacing w:line="480" w:lineRule="auto"/>
      </w:pPr>
    </w:p>
    <w:p w14:paraId="24283375" w14:textId="77777777" w:rsidR="00DF34E5" w:rsidRPr="00DF046C" w:rsidRDefault="00DF34E5" w:rsidP="008C36CB">
      <w:pPr>
        <w:spacing w:line="480" w:lineRule="auto"/>
        <w:rPr>
          <w:b/>
        </w:rPr>
      </w:pPr>
      <w:r w:rsidRPr="00DF046C">
        <w:rPr>
          <w:b/>
        </w:rPr>
        <w:t>Predictive modeling</w:t>
      </w:r>
    </w:p>
    <w:p w14:paraId="354ADBDB" w14:textId="780006AE" w:rsidR="00DF34E5" w:rsidRDefault="00DF34E5" w:rsidP="008C36CB">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8C36CB">
      <w:pPr>
        <w:spacing w:line="480" w:lineRule="auto"/>
      </w:pPr>
    </w:p>
    <w:p w14:paraId="13E13DEC" w14:textId="77777777" w:rsidR="00DF34E5" w:rsidRPr="00721840" w:rsidRDefault="00DF34E5" w:rsidP="008C36CB">
      <w:pPr>
        <w:spacing w:line="480" w:lineRule="auto"/>
        <w:rPr>
          <w:b/>
        </w:rPr>
      </w:pPr>
      <w:r w:rsidRPr="00721840">
        <w:rPr>
          <w:b/>
        </w:rPr>
        <w:t xml:space="preserve">ASSOCIATED CONTENT </w:t>
      </w:r>
    </w:p>
    <w:p w14:paraId="3919B4D9" w14:textId="05F5EFF1" w:rsidR="00AE71AE" w:rsidRPr="00721840" w:rsidRDefault="00DF34E5" w:rsidP="008C36CB">
      <w:pPr>
        <w:spacing w:line="480" w:lineRule="auto"/>
        <w:rPr>
          <w:b/>
        </w:rPr>
      </w:pPr>
      <w:r w:rsidRPr="00721840">
        <w:rPr>
          <w:b/>
        </w:rPr>
        <w:t>Supporting Information</w:t>
      </w:r>
    </w:p>
    <w:p w14:paraId="08D025D3" w14:textId="4D91B8BD" w:rsidR="00DF34E5" w:rsidRDefault="00DF34E5" w:rsidP="008C36CB">
      <w:pPr>
        <w:spacing w:line="480" w:lineRule="auto"/>
      </w:pPr>
      <w:r>
        <w:t>A full list of mutations selected, the distribution of yields for all 104 mutants, experimentally measured kinetic constants for each mutant, nonlinear regression analyses, the inh</w:t>
      </w:r>
      <w:r w:rsidR="00721840">
        <w:t>ibition parameter K</w:t>
      </w:r>
      <w:r w:rsidR="00721840" w:rsidRPr="00721840">
        <w:rPr>
          <w:vertAlign w:val="subscript"/>
        </w:rPr>
        <w:t>I</w:t>
      </w:r>
      <w:r>
        <w:t xml:space="preserve"> for mutants exhibiting substrate inhibition, models of </w:t>
      </w:r>
      <w:proofErr w:type="spellStart"/>
      <w:r>
        <w:t>Q19A</w:t>
      </w:r>
      <w:proofErr w:type="spellEnd"/>
      <w:r>
        <w:t xml:space="preserve"> and </w:t>
      </w:r>
      <w:proofErr w:type="spellStart"/>
      <w:r>
        <w:t>R240A</w:t>
      </w:r>
      <w:proofErr w:type="spellEnd"/>
      <w:r>
        <w:t xml:space="preserve">, an example set of Rosetta input files for wild type BglB, and </w:t>
      </w:r>
      <w:proofErr w:type="spellStart"/>
      <w:r>
        <w:t>PCC</w:t>
      </w:r>
      <w:proofErr w:type="spellEnd"/>
      <w:r>
        <w:t xml:space="preserve"> and </w:t>
      </w:r>
      <w:proofErr w:type="spellStart"/>
      <w:r>
        <w:t>SRC</w:t>
      </w:r>
      <w:proofErr w:type="spellEnd"/>
      <w:r>
        <w:t xml:space="preserve"> values for all features are included as supporting information. This material is available free of charge via the Internet at http://</w:t>
      </w:r>
      <w:proofErr w:type="spellStart"/>
      <w:r>
        <w:t>pubs.acs.org</w:t>
      </w:r>
      <w:proofErr w:type="spellEnd"/>
      <w:r>
        <w:t>.</w:t>
      </w:r>
    </w:p>
    <w:p w14:paraId="688D3E0F" w14:textId="77777777" w:rsidR="00AE71AE" w:rsidRPr="00726317" w:rsidRDefault="00AE71AE" w:rsidP="008C36CB">
      <w:pPr>
        <w:spacing w:line="480" w:lineRule="auto"/>
        <w:rPr>
          <w:b/>
        </w:rPr>
      </w:pPr>
    </w:p>
    <w:p w14:paraId="52EBBF90" w14:textId="42F59B6F" w:rsidR="00AE71AE" w:rsidRPr="00726317" w:rsidRDefault="00DF34E5" w:rsidP="008C36CB">
      <w:pPr>
        <w:spacing w:line="480" w:lineRule="auto"/>
        <w:rPr>
          <w:b/>
        </w:rPr>
      </w:pPr>
      <w:r w:rsidRPr="00726317">
        <w:rPr>
          <w:b/>
        </w:rPr>
        <w:t>AUTHOR INFORMATION</w:t>
      </w:r>
    </w:p>
    <w:p w14:paraId="0EBA6C0A" w14:textId="61DB2030" w:rsidR="00AE71AE" w:rsidRDefault="009F05B6" w:rsidP="008C36CB">
      <w:pPr>
        <w:spacing w:line="480" w:lineRule="auto"/>
      </w:pPr>
      <w:r>
        <w:t xml:space="preserve">Corresponding Author: </w:t>
      </w:r>
      <w:proofErr w:type="spellStart"/>
      <w:r w:rsidR="00DF34E5">
        <w:t>jbsiegel@ucdavis.edu</w:t>
      </w:r>
      <w:proofErr w:type="spellEnd"/>
    </w:p>
    <w:p w14:paraId="4D503129" w14:textId="7E2162E0" w:rsidR="00DF34E5" w:rsidRDefault="009F05B6" w:rsidP="008C36CB">
      <w:pPr>
        <w:spacing w:line="480" w:lineRule="auto"/>
      </w:pPr>
      <w:r>
        <w:t xml:space="preserve">Author Contributions: </w:t>
      </w:r>
      <w:proofErr w:type="spellStart"/>
      <w:r>
        <w:t>DAC</w:t>
      </w:r>
      <w:proofErr w:type="spellEnd"/>
      <w:r>
        <w:t xml:space="preserve"> and </w:t>
      </w:r>
      <w:proofErr w:type="spellStart"/>
      <w:r>
        <w:t>RWC</w:t>
      </w:r>
      <w:proofErr w:type="spellEnd"/>
      <w:r w:rsidR="00DF34E5">
        <w:t xml:space="preserve"> contributed equally. </w:t>
      </w:r>
    </w:p>
    <w:p w14:paraId="41D0641A" w14:textId="77777777" w:rsidR="00AE71AE" w:rsidRDefault="00AE71AE" w:rsidP="008C36CB">
      <w:pPr>
        <w:spacing w:line="480" w:lineRule="auto"/>
      </w:pPr>
    </w:p>
    <w:p w14:paraId="7E7EBDC7" w14:textId="77777777" w:rsidR="00AE71AE" w:rsidRPr="00726317" w:rsidRDefault="00DF34E5" w:rsidP="008C36CB">
      <w:pPr>
        <w:spacing w:line="480" w:lineRule="auto"/>
        <w:rPr>
          <w:b/>
        </w:rPr>
      </w:pPr>
      <w:r w:rsidRPr="00726317">
        <w:rPr>
          <w:b/>
        </w:rPr>
        <w:t>ACKNOWLEDGMENT</w:t>
      </w:r>
      <w:r w:rsidR="00AE71AE" w:rsidRPr="00726317">
        <w:rPr>
          <w:b/>
        </w:rPr>
        <w:t>S</w:t>
      </w:r>
    </w:p>
    <w:p w14:paraId="187ABF13" w14:textId="5F4384DC" w:rsidR="00DF34E5" w:rsidRDefault="00DF34E5" w:rsidP="008C36CB">
      <w:pPr>
        <w:spacing w:line="480" w:lineRule="auto"/>
      </w:pPr>
      <w:r>
        <w:t xml:space="preserve"> </w:t>
      </w:r>
    </w:p>
    <w:p w14:paraId="3800F2D3" w14:textId="77777777" w:rsidR="00DF34E5" w:rsidRDefault="00DF34E5" w:rsidP="008C36CB">
      <w:pPr>
        <w:spacing w:line="480" w:lineRule="auto"/>
      </w:pPr>
      <w:r>
        <w:t xml:space="preserve">This work was supported by </w:t>
      </w:r>
      <w:proofErr w:type="spellStart"/>
      <w:r>
        <w:t>ARO</w:t>
      </w:r>
      <w:proofErr w:type="spellEnd"/>
      <w:r>
        <w:t xml:space="preserve"> #201121557 and NSF #1254205 (IT) and Sloan #</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p>
    <w:p w14:paraId="18A30A57" w14:textId="77777777" w:rsidR="00AE71AE" w:rsidRDefault="00AE71AE" w:rsidP="008C36CB">
      <w:pPr>
        <w:spacing w:line="480" w:lineRule="auto"/>
      </w:pPr>
    </w:p>
    <w:p w14:paraId="3C4CD8A5" w14:textId="6839F97A" w:rsidR="00AE71AE" w:rsidRPr="00224C00" w:rsidRDefault="00DF34E5" w:rsidP="008C36CB">
      <w:pPr>
        <w:spacing w:line="480" w:lineRule="auto"/>
        <w:rPr>
          <w:b/>
        </w:rPr>
      </w:pPr>
      <w:r w:rsidRPr="00224C00">
        <w:rPr>
          <w:b/>
        </w:rPr>
        <w:t>ABBREVIATIONS</w:t>
      </w:r>
    </w:p>
    <w:p w14:paraId="4E512401" w14:textId="77777777" w:rsidR="00DF34E5" w:rsidRDefault="00DF34E5" w:rsidP="008C36CB">
      <w:pPr>
        <w:spacing w:line="480" w:lineRule="auto"/>
      </w:pPr>
      <w:r>
        <w:t xml:space="preserve">pNPG, </w:t>
      </w:r>
      <w:r w:rsidRPr="00AD4DE1">
        <w:rPr>
          <w:i/>
        </w:rPr>
        <w:t>p</w:t>
      </w:r>
      <w:r>
        <w:t>-</w:t>
      </w:r>
      <w:proofErr w:type="spellStart"/>
      <w:r>
        <w:t>nitrophenyl</w:t>
      </w:r>
      <w:proofErr w:type="spellEnd"/>
      <w:r>
        <w:t>-ß-D-</w:t>
      </w:r>
      <w:proofErr w:type="spellStart"/>
      <w:r>
        <w:t>glucoside</w:t>
      </w:r>
      <w:proofErr w:type="spellEnd"/>
      <w:r>
        <w:t xml:space="preserve">, </w:t>
      </w:r>
      <w:proofErr w:type="spellStart"/>
      <w:r>
        <w:t>RMSD</w:t>
      </w:r>
      <w:proofErr w:type="spellEnd"/>
      <w:r>
        <w:t xml:space="preserve"> root-mean-square deviation</w:t>
      </w:r>
    </w:p>
    <w:p w14:paraId="44EA066D" w14:textId="77777777" w:rsidR="00AE71AE" w:rsidRDefault="00AE71AE" w:rsidP="008C36CB">
      <w:pPr>
        <w:spacing w:line="480" w:lineRule="auto"/>
      </w:pPr>
    </w:p>
    <w:p w14:paraId="0FC7A150" w14:textId="61056394" w:rsidR="00DF34E5" w:rsidRPr="00224C00" w:rsidRDefault="00AE71AE" w:rsidP="008C36CB">
      <w:pPr>
        <w:spacing w:line="480" w:lineRule="auto"/>
        <w:rPr>
          <w:b/>
        </w:rPr>
      </w:pPr>
      <w:r w:rsidRPr="00224C00">
        <w:rPr>
          <w:b/>
        </w:rPr>
        <w:t>FIGURES</w:t>
      </w:r>
    </w:p>
    <w:p w14:paraId="7884413E" w14:textId="77777777" w:rsidR="00DF34E5" w:rsidRDefault="00DF34E5" w:rsidP="008C36CB">
      <w:pPr>
        <w:spacing w:line="480" w:lineRule="auto"/>
      </w:pPr>
    </w:p>
    <w:p w14:paraId="04C7D6CC" w14:textId="77777777" w:rsidR="00DF34E5" w:rsidRPr="00794F66" w:rsidRDefault="00DF34E5" w:rsidP="008C36CB">
      <w:pPr>
        <w:spacing w:line="480" w:lineRule="auto"/>
        <w:rPr>
          <w:b/>
        </w:rPr>
      </w:pPr>
      <w:r w:rsidRPr="00794F66">
        <w:rPr>
          <w:b/>
        </w:rPr>
        <w:t xml:space="preserve">Figure 1. Structure and catalyzed reaction of BglB </w:t>
      </w:r>
    </w:p>
    <w:p w14:paraId="0187F98D" w14:textId="77777777" w:rsidR="00DF34E5" w:rsidRDefault="00DF34E5" w:rsidP="008C36CB">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used for design. Alpha carbons of residues mutated shown as blue spheres (B) The BglB–catalyzed reaction on p-</w:t>
      </w:r>
      <w:proofErr w:type="spellStart"/>
      <w:r>
        <w:t>nitrophenyl</w:t>
      </w:r>
      <w:proofErr w:type="spellEnd"/>
      <w:r>
        <w:t>-ß-D-</w:t>
      </w:r>
      <w:proofErr w:type="spellStart"/>
      <w:r>
        <w:t>glucoside</w:t>
      </w:r>
      <w:proofErr w:type="spellEnd"/>
      <w:r>
        <w:t xml:space="preserve"> used to evaluate kinetic constants of designed mutants</w:t>
      </w:r>
    </w:p>
    <w:p w14:paraId="587D347E" w14:textId="77777777" w:rsidR="00DF34E5" w:rsidRDefault="00DF34E5" w:rsidP="008C36CB">
      <w:pPr>
        <w:spacing w:line="480" w:lineRule="auto"/>
      </w:pPr>
    </w:p>
    <w:p w14:paraId="5653AE4C" w14:textId="77777777" w:rsidR="00DF34E5" w:rsidRPr="00794F66" w:rsidRDefault="00DF34E5" w:rsidP="008C36CB">
      <w:pPr>
        <w:spacing w:line="480" w:lineRule="auto"/>
        <w:rPr>
          <w:b/>
        </w:rPr>
      </w:pPr>
      <w:r w:rsidRPr="00794F66">
        <w:rPr>
          <w:b/>
        </w:rPr>
        <w:t>Figure 2. Log scale relative kinetic constants of 104 BglB mutants</w:t>
      </w:r>
    </w:p>
    <w:p w14:paraId="63528DD2" w14:textId="6DDF23FD" w:rsidR="00DF34E5" w:rsidRDefault="00DF34E5" w:rsidP="008C36CB">
      <w:pPr>
        <w:spacing w:line="480" w:lineRule="auto"/>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If the kinetic constant was not measurable, an X is depicted in the box. Proteins that were expressed as soluble protein with a purification yield of &gt;0.1 mg/mL,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min-1 (</w:t>
      </w:r>
      <w:proofErr w:type="spellStart"/>
      <w:r w:rsidR="004F15C1" w:rsidRPr="00AE71AE">
        <w:rPr>
          <w:i/>
        </w:rPr>
        <w:t>k</w:t>
      </w:r>
      <w:r w:rsidR="004F15C1" w:rsidRPr="00AE71AE">
        <w:rPr>
          <w:vertAlign w:val="subscript"/>
        </w:rPr>
        <w:t>cat</w:t>
      </w:r>
      <w:proofErr w:type="spellEnd"/>
      <w:r>
        <w:t xml:space="preserve">), 0.6–85 </w:t>
      </w:r>
      <w:proofErr w:type="spellStart"/>
      <w:r>
        <w:t>mM</w:t>
      </w:r>
      <w:proofErr w:type="spellEnd"/>
      <w:r>
        <w:t xml:space="preserve"> (</w:t>
      </w:r>
      <w:r w:rsidR="004F15C1">
        <w:t>K</w:t>
      </w:r>
      <w:r w:rsidR="004F15C1" w:rsidRPr="004F15C1">
        <w:rPr>
          <w:vertAlign w:val="subscript"/>
        </w:rPr>
        <w:t>M</w:t>
      </w:r>
      <w:r>
        <w:t>), and 10–560,000 M-</w:t>
      </w:r>
      <w:proofErr w:type="spellStart"/>
      <w:r>
        <w:t>1min</w:t>
      </w:r>
      <w:proofErr w:type="spellEnd"/>
      <w:r>
        <w:t>-1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wild type constants of 880 ± 10 min–1, 5.0 ± 0.2 </w:t>
      </w:r>
      <w:proofErr w:type="spellStart"/>
      <w:r>
        <w:t>mM</w:t>
      </w:r>
      <w:proofErr w:type="spellEnd"/>
      <w:r>
        <w:t xml:space="preserve">, and 171,000 ± 8000 M-1 min-1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respectively. A full table of kinetic constants and substrate versus velocity curves for each are provided in the Supplemental Materials.</w:t>
      </w:r>
    </w:p>
    <w:p w14:paraId="7117A6EC" w14:textId="77777777" w:rsidR="00DF34E5" w:rsidRDefault="00DF34E5" w:rsidP="008C36CB">
      <w:pPr>
        <w:spacing w:line="480" w:lineRule="auto"/>
      </w:pPr>
    </w:p>
    <w:p w14:paraId="336BB2AE" w14:textId="77777777" w:rsidR="00DF34E5" w:rsidRDefault="00DF34E5" w:rsidP="008C36CB">
      <w:pPr>
        <w:spacing w:line="480" w:lineRule="auto"/>
      </w:pPr>
    </w:p>
    <w:p w14:paraId="45B29C4B" w14:textId="77777777" w:rsidR="00DF34E5" w:rsidRPr="00794F66" w:rsidRDefault="00DF34E5" w:rsidP="008C36CB">
      <w:pPr>
        <w:spacing w:line="480" w:lineRule="auto"/>
        <w:rPr>
          <w:b/>
        </w:rPr>
      </w:pPr>
      <w:r w:rsidRPr="00794F66">
        <w:rPr>
          <w:b/>
        </w:rPr>
        <w:t xml:space="preserve">Figure 3. Active site model and conservation analysis of BglB </w:t>
      </w:r>
    </w:p>
    <w:p w14:paraId="7022D657" w14:textId="77777777" w:rsidR="00DF34E5" w:rsidRDefault="00DF34E5" w:rsidP="008C36CB">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385B36E" w14:textId="77777777" w:rsidR="00DF34E5" w:rsidRDefault="00DF34E5" w:rsidP="008C36CB">
      <w:pPr>
        <w:spacing w:line="480" w:lineRule="auto"/>
      </w:pPr>
    </w:p>
    <w:p w14:paraId="3B414520" w14:textId="77777777" w:rsidR="00DF34E5" w:rsidRDefault="00DF34E5" w:rsidP="008C36CB">
      <w:pPr>
        <w:spacing w:line="480" w:lineRule="auto"/>
      </w:pPr>
    </w:p>
    <w:p w14:paraId="52059F03" w14:textId="77777777" w:rsidR="00DF34E5" w:rsidRPr="00794F66" w:rsidRDefault="00DF34E5" w:rsidP="008C36CB">
      <w:pPr>
        <w:spacing w:line="480" w:lineRule="auto"/>
        <w:rPr>
          <w:b/>
        </w:rPr>
      </w:pPr>
      <w:r w:rsidRPr="00794F66">
        <w:rPr>
          <w:b/>
        </w:rPr>
        <w:t>Figure 4. Correlation between machine learning predictions and experimentally-determined kinetic constants</w:t>
      </w:r>
    </w:p>
    <w:p w14:paraId="3CB20D62" w14:textId="39130B51" w:rsidR="00DF34E5" w:rsidRDefault="00DF34E5" w:rsidP="008C36CB">
      <w:pPr>
        <w:spacing w:line="480" w:lineRule="auto"/>
      </w:pPr>
      <w:r>
        <w:t xml:space="preserve">The log value corresponding to the relative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(A), </w:t>
      </w:r>
      <w:proofErr w:type="spellStart"/>
      <w:r w:rsidR="004F15C1" w:rsidRPr="00AE71AE">
        <w:rPr>
          <w:i/>
        </w:rPr>
        <w:t>k</w:t>
      </w:r>
      <w:r w:rsidR="004F15C1" w:rsidRPr="00AE71AE">
        <w:rPr>
          <w:vertAlign w:val="subscript"/>
        </w:rPr>
        <w:t>cat</w:t>
      </w:r>
      <w:proofErr w:type="spellEnd"/>
      <w:r>
        <w:t xml:space="preserve"> (B), and 1/</w:t>
      </w:r>
      <w:r w:rsidR="004F15C1" w:rsidRPr="004F15C1">
        <w:t xml:space="preserve"> </w:t>
      </w:r>
      <w:r w:rsidR="004F15C1">
        <w:t>K</w:t>
      </w:r>
      <w:r w:rsidR="004F15C1" w:rsidRPr="004F15C1">
        <w:rPr>
          <w:vertAlign w:val="subscript"/>
        </w:rPr>
        <w:t>M</w:t>
      </w:r>
      <w:r>
        <w:t xml:space="preserve"> (C) for each mutant’s experimentally-determined kinetic constants (equivalent to the values depicted in Figure 2) are shown on the x axis and machine learning predictions ± standard deviation are shown on the y axis. The standard deviation was calculated based on the prediction by 1000-fold cross validation for each point. All values are normalized relative to wild type BglB and are in log scale. Inset histograms display the distribution of experimentally-determined values in the data set (90, 80 and 80 samples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respectively).</w:t>
      </w:r>
    </w:p>
    <w:p w14:paraId="15B83388" w14:textId="77777777" w:rsidR="00DF34E5" w:rsidRDefault="00DF34E5" w:rsidP="008C36CB">
      <w:pPr>
        <w:spacing w:line="480" w:lineRule="auto"/>
      </w:pPr>
    </w:p>
    <w:p w14:paraId="569DB475" w14:textId="77777777" w:rsidR="00DF34E5" w:rsidRPr="00794F66" w:rsidRDefault="00DF34E5" w:rsidP="008C36CB">
      <w:pPr>
        <w:spacing w:line="480" w:lineRule="auto"/>
        <w:rPr>
          <w:b/>
        </w:rPr>
      </w:pPr>
      <w:r w:rsidRPr="00794F66">
        <w:rPr>
          <w:b/>
        </w:rPr>
        <w:t>Table 1. Most informative structural features predicting each kinetic constant</w:t>
      </w:r>
    </w:p>
    <w:p w14:paraId="2BEDDDAD" w14:textId="29B5AAD5" w:rsidR="000D05AB" w:rsidRDefault="00DF34E5" w:rsidP="008C36CB">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8 for </w:t>
      </w:r>
      <w:proofErr w:type="spellStart"/>
      <w:r w:rsidR="004F15C1" w:rsidRPr="00AE71AE">
        <w:rPr>
          <w:i/>
        </w:rPr>
        <w:t>k</w:t>
      </w:r>
      <w:r w:rsidR="004F15C1" w:rsidRPr="00AE71AE">
        <w:rPr>
          <w:vertAlign w:val="subscript"/>
        </w:rPr>
        <w:t>cat</w:t>
      </w:r>
      <w:proofErr w:type="spellEnd"/>
      <w:r>
        <w:t xml:space="preserve">, 10 for </w:t>
      </w:r>
      <w:r w:rsidR="004F15C1">
        <w:t>K</w:t>
      </w:r>
      <w:r w:rsidR="004F15C1" w:rsidRPr="004F15C1">
        <w:rPr>
          <w:vertAlign w:val="subscript"/>
        </w:rPr>
        <w:t>M</w:t>
      </w:r>
      <w:r>
        <w:t>).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Supplemental Table X.</w:t>
      </w:r>
      <w:r w:rsidR="00AF585E">
        <w:t xml:space="preserve"> </w:t>
      </w:r>
      <w:r>
        <w:t>ns=featu</w:t>
      </w:r>
      <w:r w:rsidR="00781200">
        <w:t>re not selected by the algorithm</w:t>
      </w:r>
    </w:p>
    <w:p w14:paraId="70BB8EDB" w14:textId="77777777" w:rsidR="00696E24" w:rsidRDefault="00696E24" w:rsidP="008C36CB">
      <w:pPr>
        <w:spacing w:line="480" w:lineRule="auto"/>
      </w:pPr>
      <w:bookmarkStart w:id="2" w:name="_GoBack"/>
      <w:bookmarkEnd w:id="2"/>
    </w:p>
    <w:p w14:paraId="33F080F8" w14:textId="7DA29810" w:rsidR="00696E24" w:rsidRPr="00781200" w:rsidRDefault="00781200" w:rsidP="008C36CB">
      <w:pPr>
        <w:spacing w:line="480" w:lineRule="auto"/>
        <w:rPr>
          <w:b/>
        </w:rPr>
      </w:pPr>
      <w:r w:rsidRPr="00781200">
        <w:rPr>
          <w:b/>
        </w:rPr>
        <w:t>REFERENCES</w:t>
      </w:r>
    </w:p>
    <w:p w14:paraId="4FACDE09" w14:textId="77777777" w:rsidR="00291C66" w:rsidRPr="00291C66" w:rsidRDefault="00696E24" w:rsidP="008C36CB">
      <w:pPr>
        <w:pStyle w:val="EndNoteBibliography"/>
        <w:spacing w:line="480" w:lineRule="auto"/>
        <w:rPr>
          <w:noProof/>
        </w:rPr>
      </w:pPr>
      <w:r>
        <w:fldChar w:fldCharType="begin"/>
      </w:r>
      <w:r>
        <w:instrText xml:space="preserve"> ADDIN EN.REFLIST </w:instrText>
      </w:r>
      <w:r>
        <w:fldChar w:fldCharType="separate"/>
      </w:r>
      <w:r w:rsidR="00291C66" w:rsidRPr="00291C66">
        <w:rPr>
          <w:noProof/>
        </w:rPr>
        <w:t>1.</w:t>
      </w:r>
      <w:r w:rsidR="00291C66" w:rsidRPr="00291C66">
        <w:rPr>
          <w:noProof/>
        </w:rPr>
        <w:tab/>
        <w:t xml:space="preserve">Mak, W. S.; Siegel, J. B., Computational enzyme design: Transitioning from catalytic proteins to enzymes. </w:t>
      </w:r>
      <w:r w:rsidR="00291C66" w:rsidRPr="00291C66">
        <w:rPr>
          <w:i/>
          <w:noProof/>
        </w:rPr>
        <w:t xml:space="preserve">Current opinion in structural biology </w:t>
      </w:r>
      <w:r w:rsidR="00291C66" w:rsidRPr="00291C66">
        <w:rPr>
          <w:b/>
          <w:noProof/>
        </w:rPr>
        <w:t>2014,</w:t>
      </w:r>
      <w:r w:rsidR="00291C66" w:rsidRPr="00291C66">
        <w:rPr>
          <w:noProof/>
        </w:rPr>
        <w:t xml:space="preserve"> </w:t>
      </w:r>
      <w:r w:rsidR="00291C66" w:rsidRPr="00291C66">
        <w:rPr>
          <w:i/>
          <w:noProof/>
        </w:rPr>
        <w:t>27</w:t>
      </w:r>
      <w:r w:rsidR="00291C66" w:rsidRPr="00291C66">
        <w:rPr>
          <w:noProof/>
        </w:rPr>
        <w:t>, 87-94.</w:t>
      </w:r>
    </w:p>
    <w:p w14:paraId="79068CFA" w14:textId="77777777" w:rsidR="00291C66" w:rsidRPr="00291C66" w:rsidRDefault="00291C66" w:rsidP="008C36CB">
      <w:pPr>
        <w:pStyle w:val="EndNoteBibliography"/>
        <w:spacing w:line="480" w:lineRule="auto"/>
        <w:rPr>
          <w:noProof/>
        </w:rPr>
      </w:pPr>
      <w:r w:rsidRPr="00291C66">
        <w:rPr>
          <w:noProof/>
        </w:rPr>
        <w:t>2.</w:t>
      </w:r>
      <w:r w:rsidRPr="00291C66">
        <w:rPr>
          <w:noProof/>
        </w:rPr>
        <w:tab/>
        <w:t xml:space="preserve">Siegel, J. B.; Smith, A. L.; Poust, S.; Wargacki, A. J.; Bar-Even, A.; Louw, C.; Shen, B. W.; Eiben, C. B.; Tran, H. M.; Noor, E.; Gallaher, J. L.; Bale, J.; Yoshikuni, Y.; Gelb, M. H.; Keasling, J. D.; Stoddard, B. L.; Lidstrom, M. E.; Baker, D., Computational protein design enables a novel one-carbon assimilation pathway. In </w:t>
      </w:r>
      <w:r w:rsidRPr="00291C66">
        <w:rPr>
          <w:i/>
          <w:noProof/>
        </w:rPr>
        <w:t>PNAS</w:t>
      </w:r>
      <w:r w:rsidRPr="00291C66">
        <w:rPr>
          <w:noProof/>
        </w:rPr>
        <w:t>, National Acad Sciences: 2015; Vol. 112, pp 3704-3709.</w:t>
      </w:r>
    </w:p>
    <w:p w14:paraId="4A5BD59D" w14:textId="77777777" w:rsidR="00291C66" w:rsidRPr="00291C66" w:rsidRDefault="00291C66" w:rsidP="008C36CB">
      <w:pPr>
        <w:pStyle w:val="EndNoteBibliography"/>
        <w:spacing w:line="480" w:lineRule="auto"/>
        <w:rPr>
          <w:noProof/>
        </w:rPr>
      </w:pPr>
      <w:r w:rsidRPr="00291C66">
        <w:rPr>
          <w:noProof/>
        </w:rPr>
        <w:t>3.</w:t>
      </w:r>
      <w:r w:rsidRPr="00291C66">
        <w:rPr>
          <w:noProof/>
        </w:rPr>
        <w:tab/>
        <w:t xml:space="preserve">Damborsky, J.; Brezovsky, J., Computational tools for designing and engineering enzymes. In </w:t>
      </w:r>
      <w:r w:rsidRPr="00291C66">
        <w:rPr>
          <w:i/>
          <w:noProof/>
        </w:rPr>
        <w:t>Current Opinion in Chemical Biology</w:t>
      </w:r>
      <w:r w:rsidRPr="00291C66">
        <w:rPr>
          <w:noProof/>
        </w:rPr>
        <w:t>, 2014; Vol. 19, pp 8-16.</w:t>
      </w:r>
    </w:p>
    <w:p w14:paraId="7893635D" w14:textId="77777777" w:rsidR="00291C66" w:rsidRPr="00291C66" w:rsidRDefault="00291C66" w:rsidP="008C36CB">
      <w:pPr>
        <w:pStyle w:val="EndNoteBibliography"/>
        <w:spacing w:line="480" w:lineRule="auto"/>
        <w:rPr>
          <w:noProof/>
        </w:rPr>
      </w:pPr>
      <w:r w:rsidRPr="00291C66">
        <w:rPr>
          <w:noProof/>
        </w:rPr>
        <w:t>4.</w:t>
      </w:r>
      <w:r w:rsidRPr="00291C66">
        <w:rPr>
          <w:noProof/>
        </w:rPr>
        <w:tab/>
        <w:t xml:space="preserve">Gordon, S. R.; Stanley, E. J.; Wolf, S.; Toland, A.; Wu, S. J.; Hadidi, D.; Mills, J. H.; Baker, D.; Pultz, I. S.; Siegel, J. B., Computational Design of an α-Gliadin Peptidase. In </w:t>
      </w:r>
      <w:r w:rsidRPr="00291C66">
        <w:rPr>
          <w:i/>
          <w:noProof/>
        </w:rPr>
        <w:t>J. Am. Chem. Soc.</w:t>
      </w:r>
      <w:r w:rsidRPr="00291C66">
        <w:rPr>
          <w:noProof/>
        </w:rPr>
        <w:t>, American Chemical Society: 2012; Vol. 134, pp 20513-20520.</w:t>
      </w:r>
    </w:p>
    <w:p w14:paraId="078D1964" w14:textId="77777777" w:rsidR="00291C66" w:rsidRPr="00291C66" w:rsidRDefault="00291C66" w:rsidP="008C36CB">
      <w:pPr>
        <w:pStyle w:val="EndNoteBibliography"/>
        <w:spacing w:line="480" w:lineRule="auto"/>
        <w:rPr>
          <w:noProof/>
        </w:rPr>
      </w:pPr>
      <w:r w:rsidRPr="00291C66">
        <w:rPr>
          <w:noProof/>
        </w:rPr>
        <w:t>5.</w:t>
      </w:r>
      <w:r w:rsidRPr="00291C66">
        <w:rPr>
          <w:noProof/>
        </w:rPr>
        <w:tab/>
        <w:t xml:space="preserve">Marcheschi, R. J.; Li, H.; Zhang, K.; Noey, E. L.; Kim, S.; Chaubey, A.; Houk, K. N.; Liao, J. C., A Synthetic Recursive “+1” Pathway for Carbon Chain Elongation. In </w:t>
      </w:r>
      <w:r w:rsidRPr="00291C66">
        <w:rPr>
          <w:i/>
          <w:noProof/>
        </w:rPr>
        <w:t>ACS Chem. Biol.</w:t>
      </w:r>
      <w:r w:rsidRPr="00291C66">
        <w:rPr>
          <w:noProof/>
        </w:rPr>
        <w:t>, American Chemical Society: 2012; Vol. 7, pp 689-697.</w:t>
      </w:r>
    </w:p>
    <w:p w14:paraId="61BD5FF9" w14:textId="77777777" w:rsidR="00291C66" w:rsidRPr="00291C66" w:rsidRDefault="00291C66" w:rsidP="008C36CB">
      <w:pPr>
        <w:pStyle w:val="EndNoteBibliography"/>
        <w:spacing w:line="480" w:lineRule="auto"/>
        <w:rPr>
          <w:noProof/>
        </w:rPr>
      </w:pPr>
      <w:r w:rsidRPr="00291C66">
        <w:rPr>
          <w:noProof/>
        </w:rPr>
        <w:t>6.</w:t>
      </w:r>
      <w:r w:rsidRPr="00291C66">
        <w:rPr>
          <w:noProof/>
        </w:rPr>
        <w:tab/>
        <w:t xml:space="preserve">Khare, S. D.; Kipnis, Y.; Greisen, P. J.; Takeuchi, R.; Ashani, Y.; Goldsmith, M.; Song, Y.; Gallaher, J. L.; Silman, I.; Leader, H.; Sussman, J. L.; Stoddard, B. L.; Tawfik, D. S.; Baker, D., Computational redesign of a mononuclear zinc metalloenzyme for organophosphate hydrolysis. In </w:t>
      </w:r>
      <w:r w:rsidRPr="00291C66">
        <w:rPr>
          <w:i/>
          <w:noProof/>
        </w:rPr>
        <w:t>Nature Chemical Biology</w:t>
      </w:r>
      <w:r w:rsidRPr="00291C66">
        <w:rPr>
          <w:noProof/>
        </w:rPr>
        <w:t>, Nature Publishing Group: 2012; Vol. 8, pp 294-300.</w:t>
      </w:r>
    </w:p>
    <w:p w14:paraId="2CC5F15E" w14:textId="77777777" w:rsidR="00291C66" w:rsidRPr="00291C66" w:rsidRDefault="00291C66" w:rsidP="008C36CB">
      <w:pPr>
        <w:pStyle w:val="EndNoteBibliography"/>
        <w:spacing w:line="480" w:lineRule="auto"/>
        <w:rPr>
          <w:noProof/>
        </w:rPr>
      </w:pPr>
      <w:r w:rsidRPr="00291C66">
        <w:rPr>
          <w:noProof/>
        </w:rPr>
        <w:t>7.</w:t>
      </w:r>
      <w:r w:rsidRPr="00291C66">
        <w:rPr>
          <w:noProof/>
        </w:rPr>
        <w:tab/>
        <w:t xml:space="preserve">Kumar, M. S.; Bava, K. A.; Gromiha, M. M.; Prabakaran, P.; Kitajima, K.; Uedaira, H.; Sarai, A., ProTherm and ProNIT: thermodynamic databases for proteins and protein–nucleic acid interactions. </w:t>
      </w:r>
      <w:r w:rsidRPr="00291C66">
        <w:rPr>
          <w:i/>
          <w:noProof/>
        </w:rPr>
        <w:t xml:space="preserve">Nucleic Acids Research </w:t>
      </w:r>
      <w:r w:rsidRPr="00291C66">
        <w:rPr>
          <w:b/>
          <w:noProof/>
        </w:rPr>
        <w:t>2006,</w:t>
      </w:r>
      <w:r w:rsidRPr="00291C66">
        <w:rPr>
          <w:noProof/>
        </w:rPr>
        <w:t xml:space="preserve"> </w:t>
      </w:r>
      <w:r w:rsidRPr="00291C66">
        <w:rPr>
          <w:i/>
          <w:noProof/>
        </w:rPr>
        <w:t>34</w:t>
      </w:r>
      <w:r w:rsidRPr="00291C66">
        <w:rPr>
          <w:noProof/>
        </w:rPr>
        <w:t xml:space="preserve"> (suppl 1), D204-D206.</w:t>
      </w:r>
    </w:p>
    <w:p w14:paraId="0C51E285" w14:textId="77777777" w:rsidR="00291C66" w:rsidRPr="00291C66" w:rsidRDefault="00291C66" w:rsidP="008C36CB">
      <w:pPr>
        <w:pStyle w:val="EndNoteBibliography"/>
        <w:spacing w:line="480" w:lineRule="auto"/>
        <w:rPr>
          <w:noProof/>
        </w:rPr>
      </w:pPr>
      <w:r w:rsidRPr="00291C66">
        <w:rPr>
          <w:rFonts w:hint="eastAsia"/>
          <w:noProof/>
        </w:rPr>
        <w:t>8.</w:t>
      </w:r>
      <w:r w:rsidRPr="00291C66">
        <w:rPr>
          <w:rFonts w:hint="eastAsia"/>
          <w:noProof/>
        </w:rPr>
        <w:tab/>
        <w:t>Kellogg, E. H.; Leaver</w:t>
      </w:r>
      <w:r w:rsidRPr="00291C66">
        <w:rPr>
          <w:rFonts w:hint="eastAsia"/>
          <w:noProof/>
        </w:rPr>
        <w:t>‐</w:t>
      </w:r>
      <w:r w:rsidRPr="00291C66">
        <w:rPr>
          <w:rFonts w:hint="eastAsia"/>
          <w:noProof/>
        </w:rPr>
        <w:t>Fay, A.; Baker, D., Role of conformational sampling in computing mutation</w:t>
      </w:r>
      <w:r w:rsidRPr="00291C66">
        <w:rPr>
          <w:rFonts w:hint="eastAsia"/>
          <w:noProof/>
        </w:rPr>
        <w:t>‐</w:t>
      </w:r>
      <w:r w:rsidRPr="00291C66">
        <w:rPr>
          <w:rFonts w:hint="eastAsia"/>
          <w:noProof/>
        </w:rPr>
        <w:t xml:space="preserve">induced changes in protein structure and stability. </w:t>
      </w:r>
      <w:r w:rsidRPr="00291C66">
        <w:rPr>
          <w:rFonts w:hint="eastAsia"/>
          <w:i/>
          <w:noProof/>
        </w:rPr>
        <w:t xml:space="preserve">Proteins: Structure, Function, and Bioinformatics </w:t>
      </w:r>
      <w:r w:rsidRPr="00291C66">
        <w:rPr>
          <w:rFonts w:hint="eastAsia"/>
          <w:b/>
          <w:noProof/>
        </w:rPr>
        <w:t>2011,</w:t>
      </w:r>
      <w:r w:rsidRPr="00291C66">
        <w:rPr>
          <w:rFonts w:hint="eastAsia"/>
          <w:noProof/>
        </w:rPr>
        <w:t xml:space="preserve"> </w:t>
      </w:r>
      <w:r w:rsidRPr="00291C66">
        <w:rPr>
          <w:rFonts w:hint="eastAsia"/>
          <w:i/>
          <w:noProof/>
        </w:rPr>
        <w:t>79</w:t>
      </w:r>
      <w:r w:rsidRPr="00291C66">
        <w:rPr>
          <w:noProof/>
        </w:rPr>
        <w:t xml:space="preserve"> (3), 830-838.</w:t>
      </w:r>
    </w:p>
    <w:p w14:paraId="5947BB4C" w14:textId="77777777" w:rsidR="00291C66" w:rsidRPr="00291C66" w:rsidRDefault="00291C66" w:rsidP="008C36CB">
      <w:pPr>
        <w:pStyle w:val="EndNoteBibliography"/>
        <w:spacing w:line="480" w:lineRule="auto"/>
        <w:rPr>
          <w:noProof/>
        </w:rPr>
      </w:pPr>
      <w:r w:rsidRPr="00291C66">
        <w:rPr>
          <w:noProof/>
        </w:rPr>
        <w:t>9.</w:t>
      </w:r>
      <w:r w:rsidRPr="00291C66">
        <w:rPr>
          <w:noProof/>
        </w:rPr>
        <w:tab/>
        <w:t xml:space="preserve">Isorna, P.; Polaina, J.; Latorre-García, L.; Cañada, F. J.; González, B.; Sanz-Aparicio, J., Crystal Structures of Paenibacillus polymyxa β-Glucosidase B Complexes Reveal the Molecular Basis of Substrate Specificity and Give New Insights into the Catalytic Machinery of Family I Glycosidases. In </w:t>
      </w:r>
      <w:r w:rsidRPr="00291C66">
        <w:rPr>
          <w:i/>
          <w:noProof/>
        </w:rPr>
        <w:t>Journal of Molecular Biology</w:t>
      </w:r>
      <w:r w:rsidRPr="00291C66">
        <w:rPr>
          <w:noProof/>
        </w:rPr>
        <w:t>, 2007; Vol. 371, pp 1204-1218.</w:t>
      </w:r>
    </w:p>
    <w:p w14:paraId="7DDEC64A" w14:textId="77777777" w:rsidR="00291C66" w:rsidRPr="00291C66" w:rsidRDefault="00291C66" w:rsidP="008C36CB">
      <w:pPr>
        <w:pStyle w:val="EndNoteBibliography"/>
        <w:spacing w:line="480" w:lineRule="auto"/>
        <w:rPr>
          <w:noProof/>
        </w:rPr>
      </w:pPr>
      <w:r w:rsidRPr="00291C66">
        <w:rPr>
          <w:noProof/>
        </w:rPr>
        <w:t>10.</w:t>
      </w:r>
      <w:r w:rsidRPr="00291C66">
        <w:rPr>
          <w:noProof/>
        </w:rPr>
        <w:tab/>
        <w:t xml:space="preserve">Wu, S. J.; Eiben, C. B.; Carra, J. H.; Huang, I.; Zong, D.; Liu, P.; Wu, C. T.; Nivala, J.; Dunbar, J.; Huber, T., Improvement of a potential anthrax therapeutic by computational protein design. </w:t>
      </w:r>
      <w:r w:rsidRPr="00291C66">
        <w:rPr>
          <w:i/>
          <w:noProof/>
        </w:rPr>
        <w:t xml:space="preserve">Journal of Biological Chemistry </w:t>
      </w:r>
      <w:r w:rsidRPr="00291C66">
        <w:rPr>
          <w:b/>
          <w:noProof/>
        </w:rPr>
        <w:t>2011,</w:t>
      </w:r>
      <w:r w:rsidRPr="00291C66">
        <w:rPr>
          <w:noProof/>
        </w:rPr>
        <w:t xml:space="preserve"> </w:t>
      </w:r>
      <w:r w:rsidRPr="00291C66">
        <w:rPr>
          <w:i/>
          <w:noProof/>
        </w:rPr>
        <w:t>286</w:t>
      </w:r>
      <w:r w:rsidRPr="00291C66">
        <w:rPr>
          <w:noProof/>
        </w:rPr>
        <w:t xml:space="preserve"> (37), 32586-32592.</w:t>
      </w:r>
    </w:p>
    <w:p w14:paraId="2F098882" w14:textId="77777777" w:rsidR="00291C66" w:rsidRPr="00291C66" w:rsidRDefault="00291C66" w:rsidP="008C36CB">
      <w:pPr>
        <w:pStyle w:val="EndNoteBibliography"/>
        <w:spacing w:line="480" w:lineRule="auto"/>
        <w:rPr>
          <w:noProof/>
        </w:rPr>
      </w:pPr>
      <w:r w:rsidRPr="00291C66">
        <w:rPr>
          <w:noProof/>
        </w:rPr>
        <w:t>11.</w:t>
      </w:r>
      <w:r w:rsidRPr="00291C66">
        <w:rPr>
          <w:noProof/>
        </w:rPr>
        <w:tab/>
        <w:t xml:space="preserve">Kunkel, T. A., Rapid and efficient site-specific mutagenesis without phenotypic selection. </w:t>
      </w:r>
      <w:r w:rsidRPr="00291C66">
        <w:rPr>
          <w:i/>
          <w:noProof/>
        </w:rPr>
        <w:t xml:space="preserve">Proceedings of the National Academy of Sciences </w:t>
      </w:r>
      <w:r w:rsidRPr="00291C66">
        <w:rPr>
          <w:b/>
          <w:noProof/>
        </w:rPr>
        <w:t>1985,</w:t>
      </w:r>
      <w:r w:rsidRPr="00291C66">
        <w:rPr>
          <w:noProof/>
        </w:rPr>
        <w:t xml:space="preserve"> </w:t>
      </w:r>
      <w:r w:rsidRPr="00291C66">
        <w:rPr>
          <w:i/>
          <w:noProof/>
        </w:rPr>
        <w:t>82</w:t>
      </w:r>
      <w:r w:rsidRPr="00291C66">
        <w:rPr>
          <w:noProof/>
        </w:rPr>
        <w:t xml:space="preserve"> (2), 488-492.</w:t>
      </w:r>
    </w:p>
    <w:p w14:paraId="31085598" w14:textId="77777777" w:rsidR="00291C66" w:rsidRPr="00291C66" w:rsidRDefault="00291C66" w:rsidP="008C36CB">
      <w:pPr>
        <w:pStyle w:val="EndNoteBibliography"/>
        <w:spacing w:line="480" w:lineRule="auto"/>
        <w:rPr>
          <w:noProof/>
        </w:rPr>
      </w:pPr>
      <w:r w:rsidRPr="00291C66">
        <w:rPr>
          <w:noProof/>
        </w:rPr>
        <w:t>12.</w:t>
      </w:r>
      <w:r w:rsidRPr="00291C66">
        <w:rPr>
          <w:noProof/>
        </w:rPr>
        <w:tab/>
        <w:t xml:space="preserve">Warshel, A.; Sharma, P. K.; Kato, M.; Xiang, Y.; Liu, H., Electrostatic basis for enzyme catalysis. In </w:t>
      </w:r>
      <w:r w:rsidRPr="00291C66">
        <w:rPr>
          <w:i/>
          <w:noProof/>
        </w:rPr>
        <w:t>Chemical …</w:t>
      </w:r>
      <w:r w:rsidRPr="00291C66">
        <w:rPr>
          <w:noProof/>
        </w:rPr>
        <w:t>, 2006.</w:t>
      </w:r>
    </w:p>
    <w:p w14:paraId="12A69884" w14:textId="77777777" w:rsidR="00291C66" w:rsidRPr="00291C66" w:rsidRDefault="00291C66" w:rsidP="008C36CB">
      <w:pPr>
        <w:pStyle w:val="EndNoteBibliography"/>
        <w:spacing w:line="480" w:lineRule="auto"/>
        <w:rPr>
          <w:noProof/>
        </w:rPr>
      </w:pPr>
      <w:r w:rsidRPr="00291C66">
        <w:rPr>
          <w:noProof/>
        </w:rPr>
        <w:t>13.</w:t>
      </w:r>
      <w:r w:rsidRPr="00291C66">
        <w:rPr>
          <w:noProof/>
        </w:rPr>
        <w:tab/>
        <w:t xml:space="preserve">McCarter, J. D.; Withers, S. G., Mechanisms of enzymatic glycoside hydrolysis. </w:t>
      </w:r>
      <w:r w:rsidRPr="00291C66">
        <w:rPr>
          <w:i/>
          <w:noProof/>
        </w:rPr>
        <w:t xml:space="preserve">Curr Opin Struct Biol </w:t>
      </w:r>
      <w:r w:rsidRPr="00291C66">
        <w:rPr>
          <w:b/>
          <w:noProof/>
        </w:rPr>
        <w:t>1994,</w:t>
      </w:r>
      <w:r w:rsidRPr="00291C66">
        <w:rPr>
          <w:noProof/>
        </w:rPr>
        <w:t xml:space="preserve"> </w:t>
      </w:r>
      <w:r w:rsidRPr="00291C66">
        <w:rPr>
          <w:i/>
          <w:noProof/>
        </w:rPr>
        <w:t>4</w:t>
      </w:r>
      <w:r w:rsidRPr="00291C66">
        <w:rPr>
          <w:noProof/>
        </w:rPr>
        <w:t xml:space="preserve"> (6), 885-92.</w:t>
      </w:r>
    </w:p>
    <w:p w14:paraId="5270BD4C" w14:textId="77777777" w:rsidR="00291C66" w:rsidRPr="00291C66" w:rsidRDefault="00291C66" w:rsidP="008C36CB">
      <w:pPr>
        <w:pStyle w:val="EndNoteBibliography"/>
        <w:spacing w:line="480" w:lineRule="auto"/>
        <w:rPr>
          <w:noProof/>
        </w:rPr>
      </w:pPr>
      <w:r w:rsidRPr="00291C66">
        <w:rPr>
          <w:noProof/>
        </w:rPr>
        <w:t>14.</w:t>
      </w:r>
      <w:r w:rsidRPr="00291C66">
        <w:rPr>
          <w:noProof/>
        </w:rPr>
        <w:tab/>
        <w:t xml:space="preserve">Mesecar, A. D.; Stoddard, B. L.; Koshland, D. E., Jr., Orbital steering in the catalytic power of enzymes: small structural changes with large catalytic consequences. </w:t>
      </w:r>
      <w:r w:rsidRPr="00291C66">
        <w:rPr>
          <w:i/>
          <w:noProof/>
        </w:rPr>
        <w:t xml:space="preserve">Science (New York, N.Y.) </w:t>
      </w:r>
      <w:r w:rsidRPr="00291C66">
        <w:rPr>
          <w:b/>
          <w:noProof/>
        </w:rPr>
        <w:t>1997,</w:t>
      </w:r>
      <w:r w:rsidRPr="00291C66">
        <w:rPr>
          <w:noProof/>
        </w:rPr>
        <w:t xml:space="preserve"> </w:t>
      </w:r>
      <w:r w:rsidRPr="00291C66">
        <w:rPr>
          <w:i/>
          <w:noProof/>
        </w:rPr>
        <w:t>277</w:t>
      </w:r>
      <w:r w:rsidRPr="00291C66">
        <w:rPr>
          <w:noProof/>
        </w:rPr>
        <w:t xml:space="preserve"> (5323), 202-6.</w:t>
      </w:r>
    </w:p>
    <w:p w14:paraId="5AD8571C" w14:textId="77777777" w:rsidR="00291C66" w:rsidRPr="00291C66" w:rsidRDefault="00291C66" w:rsidP="008C36CB">
      <w:pPr>
        <w:pStyle w:val="EndNoteBibliography"/>
        <w:spacing w:line="480" w:lineRule="auto"/>
        <w:rPr>
          <w:noProof/>
        </w:rPr>
      </w:pPr>
      <w:r w:rsidRPr="00291C66">
        <w:rPr>
          <w:noProof/>
        </w:rPr>
        <w:t>15.</w:t>
      </w:r>
      <w:r w:rsidRPr="00291C66">
        <w:rPr>
          <w:noProof/>
        </w:rPr>
        <w:tab/>
        <w:t xml:space="preserve">Sunden, F.; Peck, A.; Salzman, J.; Ressl, S.; Herschlag, D.; Kuriyan, J., Extensive site-directed mutagenesis reveals interconnected functional units in the Alkaline Phosphatase active site. In </w:t>
      </w:r>
      <w:r w:rsidRPr="00291C66">
        <w:rPr>
          <w:i/>
          <w:noProof/>
        </w:rPr>
        <w:t>eLife Sciences</w:t>
      </w:r>
      <w:r w:rsidRPr="00291C66">
        <w:rPr>
          <w:noProof/>
        </w:rPr>
        <w:t>, eLife Sciences Publications Limited: 2015; Vol. 4, p e06181.</w:t>
      </w:r>
    </w:p>
    <w:p w14:paraId="6C9F7573" w14:textId="77777777" w:rsidR="00291C66" w:rsidRPr="00291C66" w:rsidRDefault="00291C66" w:rsidP="008C36CB">
      <w:pPr>
        <w:pStyle w:val="EndNoteBibliography"/>
        <w:spacing w:line="480" w:lineRule="auto"/>
        <w:rPr>
          <w:noProof/>
        </w:rPr>
      </w:pPr>
      <w:r w:rsidRPr="00291C66">
        <w:rPr>
          <w:noProof/>
        </w:rPr>
        <w:t>16.</w:t>
      </w:r>
      <w:r w:rsidRPr="00291C66">
        <w:rPr>
          <w:noProof/>
        </w:rPr>
        <w:tab/>
        <w:t xml:space="preserve">Gibson, D. G.; Young, L.; Chuang, R.-Y.; Venter, J. C.; Hutchison, C. A.; Smith, H. O., Enzymatic assembly of DNA molecules up to several hundred kilobases. </w:t>
      </w:r>
      <w:r w:rsidRPr="00291C66">
        <w:rPr>
          <w:i/>
          <w:noProof/>
        </w:rPr>
        <w:t xml:space="preserve">Nature methods </w:t>
      </w:r>
      <w:r w:rsidRPr="00291C66">
        <w:rPr>
          <w:b/>
          <w:noProof/>
        </w:rPr>
        <w:t>2009,</w:t>
      </w:r>
      <w:r w:rsidRPr="00291C66">
        <w:rPr>
          <w:noProof/>
        </w:rPr>
        <w:t xml:space="preserve"> </w:t>
      </w:r>
      <w:r w:rsidRPr="00291C66">
        <w:rPr>
          <w:i/>
          <w:noProof/>
        </w:rPr>
        <w:t>6</w:t>
      </w:r>
      <w:r w:rsidRPr="00291C66">
        <w:rPr>
          <w:noProof/>
        </w:rPr>
        <w:t xml:space="preserve"> (5), 343-345.</w:t>
      </w:r>
    </w:p>
    <w:p w14:paraId="5F5E00A0" w14:textId="3892A3B7" w:rsidR="000D05AB" w:rsidRDefault="00696E24" w:rsidP="008C36CB">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 w:date="2015-05-11T15:10:00Z" w:initials="A">
    <w:p w14:paraId="5AF3BAA1" w14:textId="2009C1C2" w:rsidR="00C54EC9" w:rsidRDefault="00C54EC9">
      <w:pPr>
        <w:pStyle w:val="CommentText"/>
      </w:pPr>
      <w:r>
        <w:rPr>
          <w:rStyle w:val="CommentReference"/>
        </w:rPr>
        <w:annotationRef/>
      </w:r>
      <w:r>
        <w:t>What do we mean by this?</w:t>
      </w:r>
    </w:p>
  </w:comment>
  <w:comment w:id="1" w:author="Alex" w:date="2015-05-11T15:15:00Z" w:initials="A">
    <w:p w14:paraId="554A02E6" w14:textId="1CE770D6" w:rsidR="000821C2" w:rsidRDefault="000821C2">
      <w:pPr>
        <w:pStyle w:val="CommentText"/>
      </w:pPr>
      <w:r>
        <w:rPr>
          <w:rStyle w:val="CommentReference"/>
        </w:rPr>
        <w:annotationRef/>
      </w:r>
      <w:r>
        <w:t>I think we can delete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3&lt;/item&gt;&lt;item&gt;4&lt;/item&gt;&lt;item&gt;6&lt;/item&gt;&lt;item&gt;7&lt;/item&gt;&lt;item&gt;8&lt;/item&gt;&lt;item&gt;11&lt;/item&gt;&lt;item&gt;12&lt;/item&gt;&lt;item&gt;15&lt;/item&gt;&lt;item&gt;17&lt;/item&gt;&lt;item&gt;18&lt;/item&gt;&lt;item&gt;19&lt;/item&gt;&lt;item&gt;21&lt;/item&gt;&lt;item&gt;22&lt;/item&gt;&lt;item&gt;23&lt;/item&gt;&lt;item&gt;24&lt;/item&gt;&lt;/record-ids&gt;&lt;/item&gt;&lt;/Libraries&gt;"/>
  </w:docVars>
  <w:rsids>
    <w:rsidRoot w:val="00DF34E5"/>
    <w:rsid w:val="00014BDA"/>
    <w:rsid w:val="0002524B"/>
    <w:rsid w:val="00045EB9"/>
    <w:rsid w:val="00077F77"/>
    <w:rsid w:val="000821C2"/>
    <w:rsid w:val="000C62FC"/>
    <w:rsid w:val="000D05AB"/>
    <w:rsid w:val="000D16BA"/>
    <w:rsid w:val="000E4A77"/>
    <w:rsid w:val="001112F9"/>
    <w:rsid w:val="00114C36"/>
    <w:rsid w:val="00132354"/>
    <w:rsid w:val="00152501"/>
    <w:rsid w:val="00197777"/>
    <w:rsid w:val="001A2DA7"/>
    <w:rsid w:val="001C54BB"/>
    <w:rsid w:val="001F1063"/>
    <w:rsid w:val="00224C00"/>
    <w:rsid w:val="00226CF0"/>
    <w:rsid w:val="0026341F"/>
    <w:rsid w:val="002866B9"/>
    <w:rsid w:val="00291C66"/>
    <w:rsid w:val="002A23EA"/>
    <w:rsid w:val="002D7F81"/>
    <w:rsid w:val="00314013"/>
    <w:rsid w:val="003B2366"/>
    <w:rsid w:val="0040061F"/>
    <w:rsid w:val="00457A0B"/>
    <w:rsid w:val="004A52E3"/>
    <w:rsid w:val="004F15C1"/>
    <w:rsid w:val="005003CC"/>
    <w:rsid w:val="005061E7"/>
    <w:rsid w:val="00515B0C"/>
    <w:rsid w:val="005625F4"/>
    <w:rsid w:val="005815CD"/>
    <w:rsid w:val="005D2F49"/>
    <w:rsid w:val="006314A2"/>
    <w:rsid w:val="00632B58"/>
    <w:rsid w:val="00632C3C"/>
    <w:rsid w:val="006927C5"/>
    <w:rsid w:val="00696E24"/>
    <w:rsid w:val="00700366"/>
    <w:rsid w:val="00721840"/>
    <w:rsid w:val="00726317"/>
    <w:rsid w:val="0075290A"/>
    <w:rsid w:val="00775C69"/>
    <w:rsid w:val="00781200"/>
    <w:rsid w:val="00794F66"/>
    <w:rsid w:val="007D70EE"/>
    <w:rsid w:val="007E6A5B"/>
    <w:rsid w:val="007F744E"/>
    <w:rsid w:val="00821017"/>
    <w:rsid w:val="00841818"/>
    <w:rsid w:val="008542E8"/>
    <w:rsid w:val="008C36CB"/>
    <w:rsid w:val="008E17CB"/>
    <w:rsid w:val="00920108"/>
    <w:rsid w:val="00927A5F"/>
    <w:rsid w:val="00955701"/>
    <w:rsid w:val="00957C69"/>
    <w:rsid w:val="00981B20"/>
    <w:rsid w:val="009C31AA"/>
    <w:rsid w:val="009E2237"/>
    <w:rsid w:val="009E3F2F"/>
    <w:rsid w:val="009F05B6"/>
    <w:rsid w:val="009F55F8"/>
    <w:rsid w:val="00A03694"/>
    <w:rsid w:val="00A94C91"/>
    <w:rsid w:val="00AA5F63"/>
    <w:rsid w:val="00AD3EB3"/>
    <w:rsid w:val="00AD4DE1"/>
    <w:rsid w:val="00AE4269"/>
    <w:rsid w:val="00AE71AE"/>
    <w:rsid w:val="00AF585E"/>
    <w:rsid w:val="00B21D0F"/>
    <w:rsid w:val="00B83E76"/>
    <w:rsid w:val="00B95A22"/>
    <w:rsid w:val="00BA2FA2"/>
    <w:rsid w:val="00BA3F96"/>
    <w:rsid w:val="00BA6497"/>
    <w:rsid w:val="00BC275E"/>
    <w:rsid w:val="00C34241"/>
    <w:rsid w:val="00C37BC1"/>
    <w:rsid w:val="00C42201"/>
    <w:rsid w:val="00C52DCD"/>
    <w:rsid w:val="00C54EC9"/>
    <w:rsid w:val="00C65137"/>
    <w:rsid w:val="00C75703"/>
    <w:rsid w:val="00C960AB"/>
    <w:rsid w:val="00CA4931"/>
    <w:rsid w:val="00CB5BE9"/>
    <w:rsid w:val="00CB78D9"/>
    <w:rsid w:val="00CD3D91"/>
    <w:rsid w:val="00CD6A07"/>
    <w:rsid w:val="00CF1F2E"/>
    <w:rsid w:val="00D0749A"/>
    <w:rsid w:val="00D21241"/>
    <w:rsid w:val="00D22F0B"/>
    <w:rsid w:val="00D27DC5"/>
    <w:rsid w:val="00D36C90"/>
    <w:rsid w:val="00D4719F"/>
    <w:rsid w:val="00D704B6"/>
    <w:rsid w:val="00D73DA9"/>
    <w:rsid w:val="00D94B95"/>
    <w:rsid w:val="00DA1BAA"/>
    <w:rsid w:val="00DC381A"/>
    <w:rsid w:val="00DE3799"/>
    <w:rsid w:val="00DF046C"/>
    <w:rsid w:val="00DF34E5"/>
    <w:rsid w:val="00DF763B"/>
    <w:rsid w:val="00E31C1E"/>
    <w:rsid w:val="00E647F9"/>
    <w:rsid w:val="00E71933"/>
    <w:rsid w:val="00E95C64"/>
    <w:rsid w:val="00EA5D71"/>
    <w:rsid w:val="00EB4AF5"/>
    <w:rsid w:val="00EE4854"/>
    <w:rsid w:val="00F31748"/>
    <w:rsid w:val="00F475B9"/>
    <w:rsid w:val="00F81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9400</Words>
  <Characters>53584</Characters>
  <Application>Microsoft Macintosh Word</Application>
  <DocSecurity>0</DocSecurity>
  <Lines>446</Lines>
  <Paragraphs>125</Paragraphs>
  <ScaleCrop>false</ScaleCrop>
  <Company/>
  <LinksUpToDate>false</LinksUpToDate>
  <CharactersWithSpaces>62859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118</cp:revision>
  <dcterms:created xsi:type="dcterms:W3CDTF">2015-05-11T21:06:00Z</dcterms:created>
  <dcterms:modified xsi:type="dcterms:W3CDTF">2015-05-11T22:21:00Z</dcterms:modified>
</cp:coreProperties>
</file>