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DF489" w14:textId="77777777" w:rsidR="005E0366" w:rsidRPr="0009264F" w:rsidRDefault="005E0366" w:rsidP="005E0366">
      <w:pPr>
        <w:pStyle w:val="Title"/>
        <w:rPr>
          <w:rFonts w:ascii="Times New Roman" w:hAnsi="Times New Roman" w:cs="Times New Roman"/>
          <w:b/>
          <w:sz w:val="32"/>
        </w:rPr>
      </w:pPr>
      <w:r w:rsidRPr="0009264F">
        <w:rPr>
          <w:rFonts w:ascii="Times New Roman" w:hAnsi="Times New Roman" w:cs="Times New Roman"/>
          <w:b/>
          <w:sz w:val="32"/>
        </w:rPr>
        <w:t>Supplemental Information for:</w:t>
      </w:r>
    </w:p>
    <w:p w14:paraId="000B17BF" w14:textId="77777777" w:rsidR="005E0366" w:rsidRPr="0009264F" w:rsidRDefault="005E0366" w:rsidP="005E0366">
      <w:pPr>
        <w:pStyle w:val="BATitle"/>
        <w:rPr>
          <w:rFonts w:ascii="Times New Roman" w:hAnsi="Times New Roman"/>
        </w:rPr>
      </w:pPr>
      <w:r w:rsidRPr="0009264F">
        <w:rPr>
          <w:rFonts w:ascii="Times New Roman" w:hAnsi="Times New Roman"/>
        </w:rPr>
        <w:t>Design and kinetic characterization of over 100 glyc</w:t>
      </w:r>
      <w:r w:rsidR="00032A59" w:rsidRPr="0009264F">
        <w:rPr>
          <w:rFonts w:ascii="Times New Roman" w:hAnsi="Times New Roman"/>
        </w:rPr>
        <w:t>oside hydrolase mutants enables</w:t>
      </w:r>
      <w:r w:rsidRPr="0009264F">
        <w:rPr>
          <w:rFonts w:ascii="Times New Roman" w:hAnsi="Times New Roman"/>
        </w:rPr>
        <w:t xml:space="preserve"> the discovery of specific structural features correlated with kinetic constants</w:t>
      </w:r>
    </w:p>
    <w:p w14:paraId="449AA40C" w14:textId="77777777" w:rsidR="005E0366" w:rsidRPr="0009264F" w:rsidRDefault="005E0366" w:rsidP="005E0366">
      <w:pPr>
        <w:pStyle w:val="BBAuthorName"/>
        <w:rPr>
          <w:rFonts w:ascii="Times New Roman" w:hAnsi="Times New Roman"/>
        </w:rPr>
      </w:pPr>
      <w:r w:rsidRPr="0009264F">
        <w:rPr>
          <w:rFonts w:ascii="Times New Roman" w:hAnsi="Times New Roman"/>
        </w:rPr>
        <w:t>DA Carlin‡</w:t>
      </w:r>
      <w:r w:rsidRPr="0009264F">
        <w:rPr>
          <w:rFonts w:ascii="Baoli SC Regular" w:hAnsi="Baoli SC Regular" w:cs="Baoli SC Regular"/>
        </w:rPr>
        <w:t>⊥</w:t>
      </w:r>
      <w:r w:rsidRPr="0009264F">
        <w:rPr>
          <w:rFonts w:ascii="Times New Roman" w:hAnsi="Times New Roman"/>
        </w:rPr>
        <w:t xml:space="preserve">, RW Caster‡†, XK Wang *†, SA </w:t>
      </w:r>
      <w:proofErr w:type="spellStart"/>
      <w:r w:rsidRPr="0009264F">
        <w:rPr>
          <w:rFonts w:ascii="Times New Roman" w:hAnsi="Times New Roman"/>
        </w:rPr>
        <w:t>Betzenderfer</w:t>
      </w:r>
      <w:proofErr w:type="spellEnd"/>
      <w:r w:rsidRPr="0009264F">
        <w:rPr>
          <w:rFonts w:ascii="Times New Roman" w:hAnsi="Times New Roman"/>
        </w:rPr>
        <w:t xml:space="preserve">†, CX Chen†, VM Duong†, CV </w:t>
      </w:r>
      <w:proofErr w:type="spellStart"/>
      <w:r w:rsidRPr="0009264F">
        <w:rPr>
          <w:rFonts w:ascii="Times New Roman" w:hAnsi="Times New Roman"/>
        </w:rPr>
        <w:t>Ryklansky</w:t>
      </w:r>
      <w:proofErr w:type="spellEnd"/>
      <w:r w:rsidRPr="0009264F">
        <w:rPr>
          <w:rFonts w:ascii="Times New Roman" w:hAnsi="Times New Roman"/>
        </w:rPr>
        <w:t xml:space="preserve">†, A </w:t>
      </w:r>
      <w:proofErr w:type="spellStart"/>
      <w:r w:rsidRPr="0009264F">
        <w:rPr>
          <w:rFonts w:ascii="Times New Roman" w:hAnsi="Times New Roman"/>
        </w:rPr>
        <w:t>Alpekin</w:t>
      </w:r>
      <w:proofErr w:type="spellEnd"/>
      <w:r w:rsidRPr="0009264F">
        <w:rPr>
          <w:rFonts w:ascii="Times New Roman" w:hAnsi="Times New Roman"/>
        </w:rPr>
        <w:t xml:space="preserve">†, N Beaumont†, H Kapoor†, N Kim†, H </w:t>
      </w:r>
      <w:proofErr w:type="spellStart"/>
      <w:r w:rsidRPr="0009264F">
        <w:rPr>
          <w:rFonts w:ascii="Times New Roman" w:hAnsi="Times New Roman"/>
        </w:rPr>
        <w:t>Mohabbot</w:t>
      </w:r>
      <w:proofErr w:type="spellEnd"/>
      <w:r w:rsidRPr="0009264F">
        <w:rPr>
          <w:rFonts w:ascii="Times New Roman" w:hAnsi="Times New Roman"/>
        </w:rPr>
        <w:t xml:space="preserve">†, B Pang†, R Teel †, L </w:t>
      </w:r>
      <w:proofErr w:type="spellStart"/>
      <w:r w:rsidRPr="0009264F">
        <w:rPr>
          <w:rFonts w:ascii="Times New Roman" w:hAnsi="Times New Roman"/>
        </w:rPr>
        <w:t>Whithaus</w:t>
      </w:r>
      <w:proofErr w:type="spellEnd"/>
      <w:r w:rsidRPr="0009264F">
        <w:rPr>
          <w:rFonts w:ascii="Times New Roman" w:hAnsi="Times New Roman"/>
        </w:rPr>
        <w:t xml:space="preserve">†, I </w:t>
      </w:r>
      <w:proofErr w:type="spellStart"/>
      <w:r w:rsidRPr="0009264F">
        <w:rPr>
          <w:rFonts w:ascii="Times New Roman" w:hAnsi="Times New Roman"/>
        </w:rPr>
        <w:t>Tagkopoulos</w:t>
      </w:r>
      <w:proofErr w:type="spellEnd"/>
      <w:r w:rsidRPr="0009264F">
        <w:rPr>
          <w:rFonts w:ascii="Times New Roman" w:hAnsi="Times New Roman"/>
        </w:rPr>
        <w:t>^†, JB Siegel†</w:t>
      </w:r>
      <w:r w:rsidRPr="0009264F">
        <w:rPr>
          <w:rFonts w:ascii="Baoli SC Regular" w:hAnsi="Baoli SC Regular" w:cs="Baoli SC Regular"/>
        </w:rPr>
        <w:t>∥</w:t>
      </w:r>
      <w:r w:rsidRPr="0009264F">
        <w:rPr>
          <w:rFonts w:ascii="Times New Roman" w:hAnsi="Times New Roman"/>
        </w:rPr>
        <w:t>▽</w:t>
      </w:r>
    </w:p>
    <w:p w14:paraId="7B9439E6" w14:textId="77777777" w:rsidR="005E0366" w:rsidRPr="0009264F" w:rsidRDefault="005E0366" w:rsidP="005E0366">
      <w:pPr>
        <w:pStyle w:val="BCAuthorAddress"/>
        <w:rPr>
          <w:rFonts w:ascii="Times New Roman" w:hAnsi="Times New Roman"/>
        </w:rPr>
      </w:pPr>
      <w:r w:rsidRPr="0009264F">
        <w:rPr>
          <w:rFonts w:ascii="Times New Roman" w:hAnsi="Times New Roman"/>
        </w:rPr>
        <w:t>† Genome Center, University of California, Davis</w:t>
      </w:r>
      <w:r w:rsidRPr="0009264F">
        <w:rPr>
          <w:rFonts w:ascii="Baoli SC Regular" w:hAnsi="Baoli SC Regular" w:cs="Baoli SC Regular"/>
        </w:rPr>
        <w:t>⊥</w:t>
      </w:r>
      <w:r w:rsidRPr="0009264F">
        <w:rPr>
          <w:rFonts w:ascii="Times New Roman" w:hAnsi="Times New Roman"/>
        </w:rPr>
        <w:t xml:space="preserve"> Biophysics Graduate Group</w:t>
      </w:r>
      <w:r w:rsidRPr="0009264F">
        <w:rPr>
          <w:rFonts w:ascii="Baoli SC Regular" w:hAnsi="Baoli SC Regular" w:cs="Baoli SC Regular"/>
        </w:rPr>
        <w:t>∥</w:t>
      </w:r>
      <w:r w:rsidRPr="0009264F">
        <w:rPr>
          <w:rFonts w:ascii="Times New Roman" w:hAnsi="Times New Roman"/>
        </w:rPr>
        <w:t xml:space="preserve"> Department of Chemistry▽ Department of Biochemistry &amp; Molecular Medicine, University of California, Davis * Department of Biomedical Engineering, University of California, Davis ^ Department of Computer Science, University of California, Davis </w:t>
      </w:r>
    </w:p>
    <w:p w14:paraId="007E165C" w14:textId="77777777" w:rsidR="005E0366" w:rsidRPr="0009264F" w:rsidRDefault="005E0366">
      <w:pPr>
        <w:spacing w:after="160" w:line="259" w:lineRule="auto"/>
        <w:jc w:val="left"/>
        <w:rPr>
          <w:rFonts w:ascii="Times New Roman" w:hAnsi="Times New Roman"/>
          <w:sz w:val="19"/>
        </w:rPr>
      </w:pPr>
      <w:r w:rsidRPr="0009264F">
        <w:rPr>
          <w:rFonts w:ascii="Times New Roman" w:hAnsi="Times New Roman"/>
        </w:rPr>
        <w:br w:type="page"/>
      </w:r>
    </w:p>
    <w:p w14:paraId="002C66D2" w14:textId="77777777" w:rsidR="005E0366" w:rsidRPr="0009264F" w:rsidRDefault="005E0366" w:rsidP="005E0366">
      <w:pPr>
        <w:pStyle w:val="StyleBIEmailAddress95pt"/>
        <w:rPr>
          <w:rFonts w:ascii="Times New Roman" w:hAnsi="Times New Roman"/>
        </w:rPr>
        <w:sectPr w:rsidR="005E0366" w:rsidRPr="0009264F" w:rsidSect="005E0366">
          <w:footerReference w:type="even" r:id="rId7"/>
          <w:footerReference w:type="default" r:id="rId8"/>
          <w:pgSz w:w="12240" w:h="15840" w:code="1"/>
          <w:pgMar w:top="720" w:right="1094" w:bottom="720" w:left="1094" w:header="720" w:footer="720" w:gutter="0"/>
          <w:cols w:space="720"/>
          <w:titlePg/>
        </w:sectPr>
      </w:pPr>
    </w:p>
    <w:p w14:paraId="42713DE3" w14:textId="77777777" w:rsidR="001F2F49" w:rsidRPr="0009264F" w:rsidRDefault="005E0366" w:rsidP="00544EEE">
      <w:pPr>
        <w:pStyle w:val="Title"/>
        <w:rPr>
          <w:rFonts w:ascii="Times New Roman" w:hAnsi="Times New Roman" w:cs="Times New Roman"/>
          <w:b/>
          <w:sz w:val="44"/>
        </w:rPr>
      </w:pPr>
      <w:r w:rsidRPr="0009264F">
        <w:rPr>
          <w:rFonts w:ascii="Times New Roman" w:hAnsi="Times New Roman" w:cs="Times New Roman"/>
          <w:b/>
          <w:sz w:val="44"/>
        </w:rPr>
        <w:lastRenderedPageBreak/>
        <w:t>Table of Contents</w:t>
      </w:r>
    </w:p>
    <w:p w14:paraId="0D600A44" w14:textId="77777777" w:rsidR="00223E63" w:rsidRPr="0009264F" w:rsidRDefault="00223E63" w:rsidP="00223E63">
      <w:pPr>
        <w:rPr>
          <w:rStyle w:val="Strong"/>
          <w:rFonts w:ascii="Times New Roman" w:hAnsi="Times New Roman"/>
          <w:sz w:val="28"/>
        </w:rPr>
      </w:pPr>
    </w:p>
    <w:p w14:paraId="387683C8" w14:textId="77777777" w:rsidR="00223E63" w:rsidRPr="0009264F" w:rsidRDefault="00E339F9" w:rsidP="00223E63">
      <w:pPr>
        <w:spacing w:line="276" w:lineRule="auto"/>
        <w:rPr>
          <w:rFonts w:ascii="Times New Roman" w:hAnsi="Times New Roman"/>
        </w:rPr>
      </w:pPr>
      <w:r w:rsidRPr="0009264F">
        <w:rPr>
          <w:rStyle w:val="Strong"/>
          <w:rFonts w:ascii="Times New Roman" w:hAnsi="Times New Roman"/>
          <w:sz w:val="28"/>
        </w:rPr>
        <w:t>Supplementary Results</w:t>
      </w:r>
      <w:r w:rsidRPr="0009264F">
        <w:rPr>
          <w:rFonts w:ascii="Times New Roman" w:hAnsi="Times New Roman"/>
          <w:sz w:val="28"/>
        </w:rPr>
        <w:t xml:space="preserve"> </w:t>
      </w:r>
    </w:p>
    <w:p w14:paraId="35AA6886" w14:textId="77777777" w:rsidR="00223E63" w:rsidRPr="0009264F" w:rsidRDefault="00223E63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Supplementary Table 1</w:t>
      </w:r>
      <w:r w:rsidR="003558AA" w:rsidRPr="0009264F">
        <w:rPr>
          <w:rFonts w:ascii="Times New Roman" w:hAnsi="Times New Roman"/>
        </w:rPr>
        <w:t xml:space="preserve"> (list of mutants)</w:t>
      </w:r>
      <w:r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ab/>
      </w:r>
      <w:r w:rsidR="00E339F9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ab/>
      </w:r>
      <w:r w:rsidR="00E339F9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ab/>
      </w:r>
      <w:r w:rsidR="00E339F9" w:rsidRPr="0009264F">
        <w:rPr>
          <w:rFonts w:ascii="Times New Roman" w:hAnsi="Times New Roman"/>
        </w:rPr>
        <w:t>.</w:t>
      </w:r>
      <w:r w:rsidRPr="0009264F">
        <w:rPr>
          <w:rFonts w:ascii="Times New Roman" w:hAnsi="Times New Roman"/>
        </w:rPr>
        <w:t xml:space="preserve"> S</w:t>
      </w:r>
      <w:r w:rsidR="00E339F9" w:rsidRPr="0009264F">
        <w:rPr>
          <w:rFonts w:ascii="Times New Roman" w:hAnsi="Times New Roman"/>
        </w:rPr>
        <w:t xml:space="preserve"> </w:t>
      </w:r>
    </w:p>
    <w:p w14:paraId="6578A07D" w14:textId="77777777" w:rsidR="00EB1860" w:rsidRPr="0009264F" w:rsidRDefault="00EB1860" w:rsidP="00EB1860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Supplementary Figure 1 (Gel images)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 S</w:t>
      </w:r>
    </w:p>
    <w:p w14:paraId="5FB1C402" w14:textId="77777777" w:rsidR="00223E63" w:rsidRPr="0009264F" w:rsidRDefault="00E339F9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Su</w:t>
      </w:r>
      <w:r w:rsidR="003558AA" w:rsidRPr="0009264F">
        <w:rPr>
          <w:rFonts w:ascii="Times New Roman" w:hAnsi="Times New Roman"/>
        </w:rPr>
        <w:t>pplementary Figure 2</w:t>
      </w:r>
      <w:r w:rsidR="00223E63" w:rsidRPr="0009264F">
        <w:rPr>
          <w:rFonts w:ascii="Times New Roman" w:hAnsi="Times New Roman"/>
        </w:rPr>
        <w:t xml:space="preserve"> </w:t>
      </w:r>
      <w:r w:rsidR="003558AA" w:rsidRPr="0009264F">
        <w:rPr>
          <w:rFonts w:ascii="Times New Roman" w:hAnsi="Times New Roman"/>
        </w:rPr>
        <w:t>(Q19 and R240A)</w:t>
      </w:r>
      <w:r w:rsidR="00223E63"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="00223E63" w:rsidRPr="0009264F">
        <w:rPr>
          <w:rFonts w:ascii="Times New Roman" w:hAnsi="Times New Roman"/>
        </w:rPr>
        <w:tab/>
        <w:t>.</w:t>
      </w:r>
      <w:r w:rsidR="00223E63"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="00223E63" w:rsidRPr="0009264F">
        <w:rPr>
          <w:rFonts w:ascii="Times New Roman" w:hAnsi="Times New Roman"/>
        </w:rPr>
        <w:tab/>
        <w:t>.</w:t>
      </w:r>
      <w:r w:rsidR="00223E63"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>.</w:t>
      </w:r>
      <w:r w:rsidR="00223E63" w:rsidRPr="0009264F">
        <w:rPr>
          <w:rFonts w:ascii="Times New Roman" w:hAnsi="Times New Roman"/>
        </w:rPr>
        <w:tab/>
        <w:t>. S</w:t>
      </w:r>
    </w:p>
    <w:p w14:paraId="41B97072" w14:textId="77777777" w:rsidR="00223E63" w:rsidRPr="0009264F" w:rsidRDefault="00FE5FF7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Example</w:t>
      </w:r>
      <w:r w:rsidR="00E4757E" w:rsidRPr="0009264F">
        <w:rPr>
          <w:rFonts w:ascii="Times New Roman" w:hAnsi="Times New Roman"/>
        </w:rPr>
        <w:t xml:space="preserve"> </w:t>
      </w:r>
      <w:r w:rsidRPr="0009264F">
        <w:rPr>
          <w:rFonts w:ascii="Times New Roman" w:hAnsi="Times New Roman"/>
        </w:rPr>
        <w:t xml:space="preserve">Wild Type </w:t>
      </w:r>
      <w:r w:rsidR="003558AA" w:rsidRPr="0009264F">
        <w:rPr>
          <w:rFonts w:ascii="Times New Roman" w:hAnsi="Times New Roman"/>
        </w:rPr>
        <w:t>R</w:t>
      </w:r>
      <w:r w:rsidR="00E4757E" w:rsidRPr="0009264F">
        <w:rPr>
          <w:rFonts w:ascii="Times New Roman" w:hAnsi="Times New Roman"/>
        </w:rPr>
        <w:t>osetta F</w:t>
      </w:r>
      <w:r w:rsidR="003558AA" w:rsidRPr="0009264F">
        <w:rPr>
          <w:rFonts w:ascii="Times New Roman" w:hAnsi="Times New Roman"/>
        </w:rPr>
        <w:t>iles</w:t>
      </w:r>
      <w:r w:rsidR="00E4757E" w:rsidRPr="0009264F">
        <w:rPr>
          <w:rFonts w:ascii="Times New Roman" w:hAnsi="Times New Roman"/>
        </w:rPr>
        <w:tab/>
        <w:t>.</w:t>
      </w:r>
      <w:r w:rsidR="00E4757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 xml:space="preserve">. </w:t>
      </w:r>
      <w:r w:rsidR="00223E63" w:rsidRPr="0009264F">
        <w:rPr>
          <w:rFonts w:ascii="Times New Roman" w:hAnsi="Times New Roman"/>
        </w:rPr>
        <w:t>S</w:t>
      </w:r>
      <w:r w:rsidR="00E339F9" w:rsidRPr="0009264F">
        <w:rPr>
          <w:rFonts w:ascii="Times New Roman" w:hAnsi="Times New Roman"/>
        </w:rPr>
        <w:t xml:space="preserve"> </w:t>
      </w:r>
    </w:p>
    <w:p w14:paraId="021B9897" w14:textId="77777777" w:rsidR="00223E63" w:rsidRPr="0009264F" w:rsidRDefault="00E339F9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Su</w:t>
      </w:r>
      <w:r w:rsidR="007C627A" w:rsidRPr="0009264F">
        <w:rPr>
          <w:rFonts w:ascii="Times New Roman" w:hAnsi="Times New Roman"/>
        </w:rPr>
        <w:t>pplementary Table 2</w:t>
      </w:r>
      <w:r w:rsidR="003558AA" w:rsidRPr="0009264F">
        <w:rPr>
          <w:rFonts w:ascii="Times New Roman" w:hAnsi="Times New Roman"/>
        </w:rPr>
        <w:t xml:space="preserve"> (PCC and SRC values)</w:t>
      </w:r>
      <w:r w:rsidR="00223E63" w:rsidRPr="0009264F">
        <w:rPr>
          <w:rFonts w:ascii="Times New Roman" w:hAnsi="Times New Roman"/>
        </w:rPr>
        <w:t xml:space="preserve"> 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 xml:space="preserve">. </w:t>
      </w:r>
      <w:r w:rsidR="00223E63" w:rsidRPr="0009264F">
        <w:rPr>
          <w:rFonts w:ascii="Times New Roman" w:hAnsi="Times New Roman"/>
        </w:rPr>
        <w:t>S</w:t>
      </w:r>
      <w:r w:rsidRPr="0009264F">
        <w:rPr>
          <w:rFonts w:ascii="Times New Roman" w:hAnsi="Times New Roman"/>
        </w:rPr>
        <w:t xml:space="preserve"> </w:t>
      </w:r>
    </w:p>
    <w:p w14:paraId="77B97DCB" w14:textId="77777777" w:rsidR="00223E63" w:rsidRPr="0009264F" w:rsidRDefault="00E339F9" w:rsidP="00223E63">
      <w:pPr>
        <w:spacing w:line="276" w:lineRule="auto"/>
        <w:rPr>
          <w:rStyle w:val="Strong"/>
          <w:rFonts w:ascii="Times New Roman" w:hAnsi="Times New Roman"/>
          <w:sz w:val="28"/>
        </w:rPr>
      </w:pPr>
      <w:r w:rsidRPr="0009264F">
        <w:rPr>
          <w:rStyle w:val="Strong"/>
          <w:rFonts w:ascii="Times New Roman" w:hAnsi="Times New Roman"/>
          <w:sz w:val="28"/>
        </w:rPr>
        <w:t xml:space="preserve">Supplementary Methods </w:t>
      </w:r>
    </w:p>
    <w:p w14:paraId="221BC3A5" w14:textId="77777777" w:rsidR="00223E63" w:rsidRPr="0009264F" w:rsidRDefault="00E339F9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 xml:space="preserve">Enzyme </w:t>
      </w:r>
      <w:r w:rsidR="00E4757E" w:rsidRPr="0009264F">
        <w:rPr>
          <w:rFonts w:ascii="Times New Roman" w:hAnsi="Times New Roman"/>
        </w:rPr>
        <w:t>Design</w:t>
      </w:r>
      <w:r w:rsidRPr="0009264F">
        <w:rPr>
          <w:rFonts w:ascii="Times New Roman" w:hAnsi="Times New Roman"/>
        </w:rPr>
        <w:t xml:space="preserve"> and </w:t>
      </w:r>
      <w:r w:rsidR="00E4757E" w:rsidRPr="0009264F">
        <w:rPr>
          <w:rFonts w:ascii="Times New Roman" w:hAnsi="Times New Roman"/>
        </w:rPr>
        <w:t>Mutagenesis</w:t>
      </w:r>
      <w:r w:rsidR="00223E63" w:rsidRPr="0009264F">
        <w:rPr>
          <w:rFonts w:ascii="Times New Roman" w:hAnsi="Times New Roman"/>
        </w:rPr>
        <w:t xml:space="preserve"> Method</w:t>
      </w:r>
      <w:r w:rsidR="00E4757E" w:rsidRPr="0009264F">
        <w:rPr>
          <w:rFonts w:ascii="Times New Roman" w:hAnsi="Times New Roman"/>
        </w:rPr>
        <w:tab/>
        <w:t>.</w:t>
      </w:r>
      <w:r w:rsidR="00223E63" w:rsidRPr="0009264F">
        <w:rPr>
          <w:rFonts w:ascii="Times New Roman" w:hAnsi="Times New Roman"/>
        </w:rPr>
        <w:t xml:space="preserve"> 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23E63" w:rsidRPr="0009264F">
        <w:rPr>
          <w:rFonts w:ascii="Times New Roman" w:hAnsi="Times New Roman"/>
        </w:rPr>
        <w:t xml:space="preserve"> S</w:t>
      </w:r>
      <w:r w:rsidRPr="0009264F">
        <w:rPr>
          <w:rFonts w:ascii="Times New Roman" w:hAnsi="Times New Roman"/>
        </w:rPr>
        <w:t xml:space="preserve"> </w:t>
      </w:r>
    </w:p>
    <w:p w14:paraId="1E2D54E7" w14:textId="77777777" w:rsidR="00544EEE" w:rsidRPr="0009264F" w:rsidRDefault="00E339F9" w:rsidP="00223E63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Protein Expression and Purification</w:t>
      </w:r>
      <w:r w:rsidR="00E4757E" w:rsidRPr="0009264F">
        <w:rPr>
          <w:rFonts w:ascii="Times New Roman" w:hAnsi="Times New Roman"/>
        </w:rPr>
        <w:t xml:space="preserve"> Methods</w:t>
      </w:r>
      <w:r w:rsidR="00E4757E" w:rsidRPr="0009264F">
        <w:rPr>
          <w:rFonts w:ascii="Times New Roman" w:hAnsi="Times New Roman"/>
        </w:rPr>
        <w:tab/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</w:t>
      </w:r>
      <w:r w:rsidR="0025189E" w:rsidRPr="0009264F">
        <w:rPr>
          <w:rFonts w:ascii="Times New Roman" w:hAnsi="Times New Roman"/>
        </w:rPr>
        <w:tab/>
        <w:t>. S</w:t>
      </w:r>
    </w:p>
    <w:p w14:paraId="4C1EF217" w14:textId="77777777" w:rsidR="00E4757E" w:rsidRPr="0009264F" w:rsidRDefault="00E4757E" w:rsidP="00E4757E">
      <w:pPr>
        <w:spacing w:line="276" w:lineRule="auto"/>
        <w:ind w:firstLine="720"/>
        <w:rPr>
          <w:rFonts w:ascii="Times New Roman" w:hAnsi="Times New Roman"/>
        </w:rPr>
      </w:pPr>
      <w:r w:rsidRPr="0009264F">
        <w:rPr>
          <w:rFonts w:ascii="Times New Roman" w:hAnsi="Times New Roman"/>
        </w:rPr>
        <w:t>Protein Assay Methods</w:t>
      </w:r>
      <w:r w:rsidRPr="0009264F">
        <w:rPr>
          <w:rFonts w:ascii="Times New Roman" w:hAnsi="Times New Roman"/>
        </w:rPr>
        <w:tab/>
        <w:t xml:space="preserve">. 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</w:t>
      </w:r>
      <w:r w:rsidRPr="0009264F">
        <w:rPr>
          <w:rFonts w:ascii="Times New Roman" w:hAnsi="Times New Roman"/>
        </w:rPr>
        <w:tab/>
        <w:t>. S</w:t>
      </w:r>
    </w:p>
    <w:p w14:paraId="5A3A43D5" w14:textId="77777777" w:rsidR="00223E63" w:rsidRPr="0009264F" w:rsidRDefault="00223E63" w:rsidP="00223E63">
      <w:pPr>
        <w:spacing w:line="276" w:lineRule="auto"/>
        <w:rPr>
          <w:rStyle w:val="Strong"/>
          <w:rFonts w:ascii="Times New Roman" w:hAnsi="Times New Roman"/>
          <w:sz w:val="28"/>
        </w:rPr>
      </w:pPr>
      <w:r w:rsidRPr="0009264F">
        <w:rPr>
          <w:rStyle w:val="Strong"/>
          <w:rFonts w:ascii="Times New Roman" w:hAnsi="Times New Roman"/>
          <w:sz w:val="28"/>
        </w:rPr>
        <w:t>References</w:t>
      </w:r>
    </w:p>
    <w:p w14:paraId="0849164D" w14:textId="77777777" w:rsidR="00223E63" w:rsidRPr="0009264F" w:rsidRDefault="00223E63" w:rsidP="00223E63">
      <w:pPr>
        <w:rPr>
          <w:rStyle w:val="Strong"/>
          <w:rFonts w:ascii="Times New Roman" w:hAnsi="Times New Roman"/>
          <w:sz w:val="28"/>
        </w:rPr>
      </w:pPr>
      <w:r w:rsidRPr="0009264F">
        <w:rPr>
          <w:rStyle w:val="Strong"/>
          <w:rFonts w:ascii="Times New Roman" w:hAnsi="Times New Roman"/>
          <w:sz w:val="28"/>
        </w:rPr>
        <w:br w:type="page"/>
      </w:r>
    </w:p>
    <w:p w14:paraId="76E94C3B" w14:textId="77777777" w:rsidR="000C77AC" w:rsidRPr="0009264F" w:rsidRDefault="00FE5FF7" w:rsidP="00544EEE">
      <w:pPr>
        <w:rPr>
          <w:rStyle w:val="Strong"/>
          <w:rFonts w:ascii="Times New Roman" w:hAnsi="Times New Roman"/>
          <w:b w:val="0"/>
          <w:sz w:val="28"/>
        </w:rPr>
      </w:pPr>
      <w:r w:rsidRPr="0009264F">
        <w:rPr>
          <w:rStyle w:val="Strong"/>
          <w:rFonts w:ascii="Times New Roman" w:hAnsi="Times New Roman"/>
          <w:sz w:val="28"/>
        </w:rPr>
        <w:lastRenderedPageBreak/>
        <w:t xml:space="preserve">Supplementary Table 1: </w:t>
      </w:r>
      <w:r w:rsidR="00AB4DDA" w:rsidRPr="0009264F">
        <w:rPr>
          <w:rStyle w:val="Strong"/>
          <w:rFonts w:ascii="Times New Roman" w:hAnsi="Times New Roman"/>
          <w:sz w:val="28"/>
        </w:rPr>
        <w:t>List of 104 computationally designed</w:t>
      </w:r>
      <w:r w:rsidR="00A65664" w:rsidRPr="0009264F">
        <w:rPr>
          <w:rStyle w:val="Strong"/>
          <w:rFonts w:ascii="Times New Roman" w:hAnsi="Times New Roman"/>
          <w:sz w:val="28"/>
        </w:rPr>
        <w:t xml:space="preserve"> </w:t>
      </w:r>
      <w:r w:rsidR="00AB4DDA" w:rsidRPr="0009264F">
        <w:rPr>
          <w:rStyle w:val="Strong"/>
          <w:rFonts w:ascii="Times New Roman" w:hAnsi="Times New Roman"/>
          <w:sz w:val="28"/>
        </w:rPr>
        <w:t xml:space="preserve">mutants with their </w:t>
      </w:r>
      <w:r w:rsidR="00A65664" w:rsidRPr="0009264F">
        <w:rPr>
          <w:rStyle w:val="Strong"/>
          <w:rFonts w:ascii="Times New Roman" w:hAnsi="Times New Roman"/>
          <w:sz w:val="28"/>
        </w:rPr>
        <w:t>experimen</w:t>
      </w:r>
      <w:r w:rsidR="00AB4DDA" w:rsidRPr="0009264F">
        <w:rPr>
          <w:rStyle w:val="Strong"/>
          <w:rFonts w:ascii="Times New Roman" w:hAnsi="Times New Roman"/>
          <w:sz w:val="28"/>
        </w:rPr>
        <w:t>tally derived kinetic constants</w:t>
      </w:r>
      <w:r w:rsidR="00580AD9" w:rsidRPr="0009264F">
        <w:rPr>
          <w:rStyle w:val="Strong"/>
          <w:rFonts w:ascii="Times New Roman" w:hAnsi="Times New Roman"/>
          <w:sz w:val="28"/>
        </w:rPr>
        <w:t>,</w:t>
      </w:r>
      <w:r w:rsidR="0036331A" w:rsidRPr="0009264F">
        <w:rPr>
          <w:rStyle w:val="Strong"/>
          <w:rFonts w:ascii="Times New Roman" w:hAnsi="Times New Roman"/>
          <w:sz w:val="28"/>
        </w:rPr>
        <w:t xml:space="preserve"> nonlinear regression analysis, Ki for mutants that displayed substrate inhibition,</w:t>
      </w:r>
      <w:r w:rsidR="00AB4DDA" w:rsidRPr="0009264F">
        <w:rPr>
          <w:rStyle w:val="Strong"/>
          <w:rFonts w:ascii="Times New Roman" w:hAnsi="Times New Roman"/>
          <w:sz w:val="28"/>
        </w:rPr>
        <w:t xml:space="preserve"> and</w:t>
      </w:r>
      <w:r w:rsidR="00A65664" w:rsidRPr="0009264F">
        <w:rPr>
          <w:rStyle w:val="Strong"/>
          <w:rFonts w:ascii="Times New Roman" w:hAnsi="Times New Roman"/>
          <w:sz w:val="28"/>
        </w:rPr>
        <w:t xml:space="preserve"> t</w:t>
      </w:r>
      <w:r w:rsidRPr="0009264F">
        <w:rPr>
          <w:rStyle w:val="Strong"/>
          <w:rFonts w:ascii="Times New Roman" w:hAnsi="Times New Roman"/>
          <w:sz w:val="28"/>
        </w:rPr>
        <w:t>otal yields</w:t>
      </w:r>
      <w:r w:rsidR="00AB4DDA" w:rsidRPr="0009264F">
        <w:rPr>
          <w:rStyle w:val="Strong"/>
          <w:rFonts w:ascii="Times New Roman" w:hAnsi="Times New Roman"/>
          <w:sz w:val="28"/>
        </w:rPr>
        <w:t>.</w:t>
      </w:r>
      <w:r w:rsidR="00AB4DDA" w:rsidRPr="0009264F">
        <w:rPr>
          <w:rStyle w:val="Strong"/>
          <w:rFonts w:ascii="Times New Roman" w:hAnsi="Times New Roman"/>
          <w:b w:val="0"/>
          <w:sz w:val="28"/>
        </w:rPr>
        <w:t xml:space="preserve"> The comprehensive list of 104 mutants experimentally designed, built, and</w:t>
      </w:r>
      <w:r w:rsidR="000C77AC" w:rsidRPr="0009264F">
        <w:rPr>
          <w:rStyle w:val="Strong"/>
          <w:rFonts w:ascii="Times New Roman" w:hAnsi="Times New Roman"/>
          <w:b w:val="0"/>
          <w:sz w:val="28"/>
        </w:rPr>
        <w:t xml:space="preserve"> assayed using the</w:t>
      </w:r>
      <w:r w:rsidR="00AB4DDA" w:rsidRPr="0009264F">
        <w:rPr>
          <w:rStyle w:val="Strong"/>
          <w:rFonts w:ascii="Times New Roman" w:hAnsi="Times New Roman"/>
          <w:b w:val="0"/>
          <w:sz w:val="28"/>
        </w:rPr>
        <w:t xml:space="preserve"> standard procedure. </w:t>
      </w:r>
      <w:r w:rsidR="007161D9" w:rsidRPr="0009264F">
        <w:rPr>
          <w:rStyle w:val="Strong"/>
          <w:rFonts w:ascii="Times New Roman" w:hAnsi="Times New Roman"/>
          <w:b w:val="0"/>
          <w:sz w:val="28"/>
        </w:rPr>
        <w:t xml:space="preserve">All mutants were assayed </w:t>
      </w:r>
      <w:proofErr w:type="spellStart"/>
      <w:r w:rsidR="007161D9" w:rsidRPr="0009264F">
        <w:rPr>
          <w:rStyle w:val="Strong"/>
          <w:rFonts w:ascii="Times New Roman" w:hAnsi="Times New Roman"/>
          <w:b w:val="0"/>
          <w:sz w:val="28"/>
        </w:rPr>
        <w:t>photometrically</w:t>
      </w:r>
      <w:proofErr w:type="spellEnd"/>
      <w:r w:rsidR="007161D9" w:rsidRPr="0009264F">
        <w:rPr>
          <w:rStyle w:val="Strong"/>
          <w:rFonts w:ascii="Times New Roman" w:hAnsi="Times New Roman"/>
          <w:b w:val="0"/>
          <w:sz w:val="28"/>
        </w:rPr>
        <w:t xml:space="preserve"> at 420 nm at 1 minute intervals</w:t>
      </w:r>
    </w:p>
    <w:p w14:paraId="6F1E5F7A" w14:textId="77777777" w:rsidR="000C77AC" w:rsidRPr="0009264F" w:rsidRDefault="000C77AC" w:rsidP="000C77AC">
      <w:pPr>
        <w:rPr>
          <w:rStyle w:val="Strong"/>
          <w:rFonts w:ascii="Times New Roman" w:hAnsi="Times New Roman"/>
          <w:b w:val="0"/>
          <w:sz w:val="28"/>
        </w:rPr>
      </w:pPr>
      <w:r w:rsidRPr="0009264F">
        <w:rPr>
          <w:rStyle w:val="Strong"/>
          <w:rFonts w:ascii="Times New Roman" w:hAnsi="Times New Roman"/>
          <w:b w:val="0"/>
          <w:sz w:val="28"/>
        </w:rPr>
        <w:br w:type="page"/>
      </w:r>
    </w:p>
    <w:p w14:paraId="7B41C8D2" w14:textId="77777777" w:rsidR="00223E63" w:rsidRPr="0009264F" w:rsidRDefault="000C77AC" w:rsidP="00544EEE">
      <w:pPr>
        <w:rPr>
          <w:rStyle w:val="Strong"/>
          <w:rFonts w:ascii="Times New Roman" w:hAnsi="Times New Roman"/>
          <w:b w:val="0"/>
          <w:sz w:val="28"/>
        </w:rPr>
      </w:pPr>
      <w:r w:rsidRPr="0009264F">
        <w:rPr>
          <w:rFonts w:ascii="Times New Roman" w:hAnsi="Times New Roman"/>
          <w:bCs/>
          <w:noProof/>
          <w:sz w:val="28"/>
        </w:rPr>
        <w:lastRenderedPageBreak/>
        <w:drawing>
          <wp:inline distT="0" distB="0" distL="0" distR="0" wp14:anchorId="7691F8D2" wp14:editId="59038ADF">
            <wp:extent cx="23051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0.2015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77F36D24" wp14:editId="50AF0001">
            <wp:extent cx="1745322" cy="2057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5.2014_lowyield_redo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32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4A5"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649FFF00" wp14:editId="69069EA1">
            <wp:extent cx="966209" cy="20574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16.2014_2 (2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0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3E007B74" wp14:editId="338CD95F">
            <wp:extent cx="1891665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5.2014_lowyield_redos2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3D7BEF3F" wp14:editId="569626A4">
            <wp:extent cx="2829736" cy="2057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6.2014_Ascan1 (2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3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4A5"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59554ADA" wp14:editId="38256EE7">
            <wp:extent cx="1232115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9.14 (2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1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0F1C685E" wp14:editId="4FDC8676">
            <wp:extent cx="2155371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6.2014_Ascan2 (3)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37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5A1F2C11" wp14:editId="78EA61C9">
            <wp:extent cx="20574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.16.2014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lastRenderedPageBreak/>
        <w:drawing>
          <wp:inline distT="0" distB="0" distL="0" distR="0" wp14:anchorId="52B66583" wp14:editId="3A61386B">
            <wp:extent cx="1923105" cy="2057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21.2014 (2)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10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3EBE34F1" wp14:editId="2201D3C0">
            <wp:extent cx="1831194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21.2014_2 (2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9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3B252A31" wp14:editId="1BD0718B">
            <wp:extent cx="1637071" cy="20574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26.2014 (2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7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26A0AFDF" wp14:editId="7D87D7B3">
            <wp:extent cx="2125817" cy="20574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27.2014 (2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1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5F6AD820" wp14:editId="20F22542">
            <wp:extent cx="1688621" cy="20574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14.2014 2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62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64F">
        <w:rPr>
          <w:rFonts w:ascii="Times New Roman" w:hAnsi="Times New Roman"/>
          <w:bCs/>
          <w:noProof/>
          <w:sz w:val="28"/>
        </w:rPr>
        <w:drawing>
          <wp:inline distT="0" distB="0" distL="0" distR="0" wp14:anchorId="048C2275" wp14:editId="0F128EF1">
            <wp:extent cx="1603837" cy="2057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24.2014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837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2A16" w14:textId="77777777" w:rsidR="00EB1860" w:rsidRPr="0009264F" w:rsidRDefault="00512F87" w:rsidP="00E72008">
      <w:pPr>
        <w:rPr>
          <w:rStyle w:val="Strong"/>
          <w:rFonts w:ascii="Times New Roman" w:hAnsi="Times New Roman"/>
          <w:sz w:val="28"/>
        </w:rPr>
      </w:pPr>
      <w:r w:rsidRPr="0009264F">
        <w:rPr>
          <w:rStyle w:val="Strong"/>
          <w:rFonts w:ascii="Times New Roman" w:hAnsi="Times New Roman"/>
          <w:sz w:val="28"/>
        </w:rPr>
        <w:t xml:space="preserve">Supplemental Figure X. </w:t>
      </w:r>
      <w:r w:rsidR="0059109C" w:rsidRPr="0009264F">
        <w:rPr>
          <w:rStyle w:val="Strong"/>
          <w:rFonts w:ascii="Times New Roman" w:hAnsi="Times New Roman"/>
          <w:sz w:val="28"/>
        </w:rPr>
        <w:t>SDS-PAGE gel images for all mutants</w:t>
      </w:r>
      <w:r w:rsidRPr="0009264F">
        <w:rPr>
          <w:rStyle w:val="Strong"/>
          <w:rFonts w:ascii="Times New Roman" w:hAnsi="Times New Roman"/>
          <w:sz w:val="28"/>
        </w:rPr>
        <w:t xml:space="preserve">. </w:t>
      </w:r>
      <w:r w:rsidRPr="0009264F">
        <w:rPr>
          <w:rStyle w:val="Strong"/>
          <w:rFonts w:ascii="Times New Roman" w:hAnsi="Times New Roman"/>
          <w:b w:val="0"/>
          <w:sz w:val="28"/>
        </w:rPr>
        <w:t xml:space="preserve">SDS-PAGE gels showing greater than 90% </w:t>
      </w:r>
      <w:r w:rsidR="00EB30FD" w:rsidRPr="0009264F">
        <w:rPr>
          <w:rStyle w:val="Strong"/>
          <w:rFonts w:ascii="Times New Roman" w:hAnsi="Times New Roman"/>
          <w:b w:val="0"/>
          <w:sz w:val="28"/>
        </w:rPr>
        <w:t>purity</w:t>
      </w:r>
      <w:r w:rsidRPr="0009264F">
        <w:rPr>
          <w:rStyle w:val="Strong"/>
          <w:rFonts w:ascii="Times New Roman" w:hAnsi="Times New Roman"/>
          <w:b w:val="0"/>
          <w:sz w:val="28"/>
        </w:rPr>
        <w:t xml:space="preserve"> for all samples. Protein ladder used was </w:t>
      </w:r>
      <w:proofErr w:type="spellStart"/>
      <w:r w:rsidR="00E72008" w:rsidRPr="0009264F">
        <w:rPr>
          <w:rFonts w:ascii="Times New Roman" w:hAnsi="Times New Roman"/>
          <w:bCs/>
          <w:sz w:val="28"/>
        </w:rPr>
        <w:t>SeeBlue</w:t>
      </w:r>
      <w:proofErr w:type="spellEnd"/>
      <w:r w:rsidR="00E72008" w:rsidRPr="0009264F">
        <w:rPr>
          <w:rFonts w:ascii="Times New Roman" w:hAnsi="Times New Roman"/>
          <w:bCs/>
          <w:sz w:val="28"/>
        </w:rPr>
        <w:t xml:space="preserve">® Plus2 Pre-stained Protein Standard </w:t>
      </w:r>
      <w:r w:rsidRPr="0009264F">
        <w:rPr>
          <w:rStyle w:val="Strong"/>
          <w:rFonts w:ascii="Times New Roman" w:hAnsi="Times New Roman"/>
          <w:b w:val="0"/>
          <w:sz w:val="28"/>
        </w:rPr>
        <w:t>(Life</w:t>
      </w:r>
      <w:r w:rsidR="00E72008" w:rsidRPr="0009264F">
        <w:rPr>
          <w:rStyle w:val="Strong"/>
          <w:rFonts w:ascii="Times New Roman" w:hAnsi="Times New Roman"/>
          <w:sz w:val="28"/>
        </w:rPr>
        <w:t xml:space="preserve"> </w:t>
      </w:r>
      <w:r w:rsidR="00E72008" w:rsidRPr="0009264F">
        <w:rPr>
          <w:rStyle w:val="Strong"/>
          <w:rFonts w:ascii="Times New Roman" w:hAnsi="Times New Roman"/>
          <w:b w:val="0"/>
          <w:sz w:val="28"/>
        </w:rPr>
        <w:t>Technologies)</w:t>
      </w:r>
      <w:r w:rsidRPr="0009264F">
        <w:rPr>
          <w:rStyle w:val="Strong"/>
          <w:rFonts w:ascii="Times New Roman" w:hAnsi="Times New Roman"/>
          <w:b w:val="0"/>
          <w:sz w:val="28"/>
        </w:rPr>
        <w:t xml:space="preserve">. </w:t>
      </w:r>
      <w:r w:rsidR="009C03FA" w:rsidRPr="0009264F">
        <w:rPr>
          <w:rStyle w:val="Strong"/>
          <w:rFonts w:ascii="Times New Roman" w:hAnsi="Times New Roman"/>
          <w:b w:val="0"/>
          <w:sz w:val="28"/>
        </w:rPr>
        <w:t>Yields were also confirmed by comparing with visual gel yields.</w:t>
      </w:r>
    </w:p>
    <w:p w14:paraId="24D542F8" w14:textId="77777777" w:rsidR="00EB1860" w:rsidRPr="0009264F" w:rsidRDefault="00EB1860">
      <w:pPr>
        <w:spacing w:after="160" w:line="259" w:lineRule="auto"/>
        <w:jc w:val="left"/>
        <w:rPr>
          <w:rStyle w:val="Strong"/>
          <w:rFonts w:ascii="Times New Roman" w:hAnsi="Times New Roman"/>
          <w:b w:val="0"/>
          <w:sz w:val="28"/>
        </w:rPr>
      </w:pPr>
      <w:r w:rsidRPr="0009264F">
        <w:rPr>
          <w:rStyle w:val="Strong"/>
          <w:rFonts w:ascii="Times New Roman" w:hAnsi="Times New Roman"/>
          <w:b w:val="0"/>
          <w:sz w:val="28"/>
        </w:rPr>
        <w:br w:type="page"/>
      </w:r>
    </w:p>
    <w:p w14:paraId="2476E7AE" w14:textId="77777777" w:rsidR="00054DF3" w:rsidRPr="0009264F" w:rsidRDefault="00054DF3" w:rsidP="00054DF3">
      <w:pPr>
        <w:spacing w:before="200" w:after="0"/>
        <w:jc w:val="left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09264F">
        <w:rPr>
          <w:rFonts w:ascii="Times New Roman" w:eastAsia="Times New Roman" w:hAnsi="Times New Roman"/>
          <w:color w:val="000000"/>
          <w:kern w:val="36"/>
          <w:sz w:val="32"/>
          <w:szCs w:val="32"/>
        </w:rPr>
        <w:lastRenderedPageBreak/>
        <w:t>Materials and methods</w:t>
      </w:r>
    </w:p>
    <w:p w14:paraId="00A2D1E9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</w:p>
    <w:p w14:paraId="015B8701" w14:textId="77777777" w:rsidR="00054DF3" w:rsidRPr="0009264F" w:rsidRDefault="00054DF3" w:rsidP="00054DF3">
      <w:pPr>
        <w:spacing w:before="160" w:after="0"/>
        <w:jc w:val="left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09264F">
        <w:rPr>
          <w:rFonts w:ascii="Times New Roman" w:eastAsia="Times New Roman" w:hAnsi="Times New Roman"/>
          <w:b/>
          <w:bCs/>
          <w:color w:val="666666"/>
          <w:szCs w:val="24"/>
        </w:rPr>
        <w:t>Computational modeling and design</w:t>
      </w:r>
    </w:p>
    <w:p w14:paraId="2F56DD0D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Mutants were designed using the computer software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Foldit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, a protein design game based on Rosetta. The program predicts the stability of the mutant enzyme and offers a visual of the new chemical environment, including molecular interactions amongst varying single or double point mutations. Mutants were chosen based on proximity to the active site as well as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Foldit’s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predicted energy. When designing mutants, if the change increased the energy by less than 5 energy units it was selected for testing. </w:t>
      </w:r>
    </w:p>
    <w:p w14:paraId="326AF6BA" w14:textId="77777777" w:rsidR="00054DF3" w:rsidRPr="0009264F" w:rsidRDefault="00054DF3" w:rsidP="00054DF3">
      <w:pPr>
        <w:spacing w:before="160" w:after="0"/>
        <w:jc w:val="left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09264F">
        <w:rPr>
          <w:rFonts w:ascii="Times New Roman" w:eastAsia="Times New Roman" w:hAnsi="Times New Roman"/>
          <w:b/>
          <w:bCs/>
          <w:color w:val="666666"/>
          <w:szCs w:val="24"/>
        </w:rPr>
        <w:t>Build</w:t>
      </w:r>
    </w:p>
    <w:p w14:paraId="4C881533" w14:textId="77777777" w:rsidR="00054DF3" w:rsidRPr="0009264F" w:rsidRDefault="00054DF3" w:rsidP="00054DF3">
      <w:pPr>
        <w:spacing w:before="160" w:after="0"/>
        <w:jc w:val="left"/>
        <w:outlineLvl w:val="3"/>
        <w:rPr>
          <w:rFonts w:ascii="Times New Roman" w:eastAsia="Times New Roman" w:hAnsi="Times New Roman"/>
          <w:b/>
          <w:bCs/>
          <w:szCs w:val="24"/>
        </w:rPr>
      </w:pPr>
      <w:r w:rsidRPr="0009264F">
        <w:rPr>
          <w:rFonts w:ascii="Times New Roman" w:eastAsia="Times New Roman" w:hAnsi="Times New Roman"/>
          <w:color w:val="666666"/>
          <w:sz w:val="23"/>
          <w:szCs w:val="23"/>
          <w:u w:val="single"/>
        </w:rPr>
        <w:t>Creating plasmid</w:t>
      </w:r>
    </w:p>
    <w:p w14:paraId="1BA21CA2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A sequence coding for BglB (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Uniprot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P22505) was codon-optimized for </w:t>
      </w:r>
      <w:r w:rsidRPr="0009264F">
        <w:rPr>
          <w:rFonts w:ascii="Times New Roman" w:eastAsia="Times New Roman" w:hAnsi="Times New Roman"/>
          <w:i/>
          <w:iCs/>
          <w:color w:val="000000"/>
          <w:sz w:val="23"/>
          <w:szCs w:val="23"/>
        </w:rPr>
        <w:t>Escherichia coli</w:t>
      </w: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and manufactured as a DNA String by Life Technologies.  A synthetic gene coding for BglB (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UNiprot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# P22505) with an incorporated His-tag was cloned into pET29b using Gibson assembly. [Cite] (Life Technologies).  The gene was inserted between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NdeI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and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XhoI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to encode a C-terminal His tag onto the protein sequence.  Kunkel mutagenesis [] was used to create site-specific mutations, and all plasmids were sequence-verified on the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Transcriptic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cloud platform. </w:t>
      </w:r>
    </w:p>
    <w:p w14:paraId="35313F94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</w:p>
    <w:p w14:paraId="3D60EA9B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Transformation</w:t>
      </w:r>
    </w:p>
    <w:p w14:paraId="4A150DFB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20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of chemically-competent Escherichia coli BL21(DE3) (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Novagen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) were transformed on ice with 1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of plasmid in buffer at a concentration of 130 to 90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ng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/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. Next, the mixture was temperature shocked to induce plasmid uptake by heating at 42°C for one minute and then chilling on ice for one minute. Cells were recovered in 200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Terrific Broth (TB) media at 37 °C for one hour. They were then plated onto an LB agarose plate containing kanamycin, and incubated with shaking for 24 hours at 37 °C. Unless otherwise noted, all supplies were purchased from Sigma-Aldrich.</w:t>
      </w:r>
    </w:p>
    <w:p w14:paraId="24C62F93" w14:textId="77777777" w:rsidR="00054DF3" w:rsidRPr="0009264F" w:rsidRDefault="00054DF3" w:rsidP="00054DF3">
      <w:pPr>
        <w:spacing w:before="160" w:after="0"/>
        <w:jc w:val="left"/>
        <w:outlineLvl w:val="3"/>
        <w:rPr>
          <w:rFonts w:ascii="Times New Roman" w:eastAsia="Times New Roman" w:hAnsi="Times New Roman"/>
          <w:b/>
          <w:bCs/>
          <w:szCs w:val="24"/>
        </w:rPr>
      </w:pPr>
      <w:r w:rsidRPr="0009264F">
        <w:rPr>
          <w:rFonts w:ascii="Times New Roman" w:eastAsia="Times New Roman" w:hAnsi="Times New Roman"/>
          <w:color w:val="666666"/>
          <w:sz w:val="23"/>
          <w:szCs w:val="23"/>
          <w:u w:val="single"/>
        </w:rPr>
        <w:t>Growth cultures</w:t>
      </w:r>
    </w:p>
    <w:p w14:paraId="621BE8A0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For each mutant, a 50 mL Falcon t</w:t>
      </w:r>
      <w:bookmarkStart w:id="0" w:name="_GoBack"/>
      <w:bookmarkEnd w:id="0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ube containing 5 mL TB with 50 mg/mL kanamycin was inoculated with one colony from the plate. Tubes were covered with breathable seals and incubated with shaking for 24 hours at 37 °C.</w:t>
      </w:r>
    </w:p>
    <w:p w14:paraId="63B8343D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</w:p>
    <w:p w14:paraId="2CB8FA81" w14:textId="77777777" w:rsidR="00054DF3" w:rsidRPr="0009264F" w:rsidRDefault="00054DF3" w:rsidP="00054DF3">
      <w:pPr>
        <w:spacing w:before="160" w:after="0"/>
        <w:jc w:val="left"/>
        <w:outlineLvl w:val="3"/>
        <w:rPr>
          <w:rFonts w:ascii="Times New Roman" w:eastAsia="Times New Roman" w:hAnsi="Times New Roman"/>
          <w:b/>
          <w:bCs/>
          <w:szCs w:val="24"/>
        </w:rPr>
      </w:pPr>
      <w:r w:rsidRPr="0009264F">
        <w:rPr>
          <w:rFonts w:ascii="Times New Roman" w:eastAsia="Times New Roman" w:hAnsi="Times New Roman"/>
          <w:color w:val="666666"/>
          <w:sz w:val="23"/>
          <w:szCs w:val="23"/>
          <w:u w:val="single"/>
        </w:rPr>
        <w:t>Expression</w:t>
      </w:r>
    </w:p>
    <w:p w14:paraId="4F6EE162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Growth cultures were pelleted by centrifugation at 4700 RPM for 10 minutes and the supernatant was discarded. The cell pellet was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resuspended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in 5 mL of induction medium (TB with 1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isopropyl β-D-1-thiogalactopyranoside and 50 mg/mL kanamycin). The tubes were covered again with breathable seals and incubated with shaking at 18 °C for 24 hours. </w:t>
      </w:r>
    </w:p>
    <w:p w14:paraId="6BC9411E" w14:textId="77777777" w:rsidR="00054DF3" w:rsidRPr="0009264F" w:rsidRDefault="00054DF3" w:rsidP="00054DF3">
      <w:pPr>
        <w:spacing w:before="160" w:after="0"/>
        <w:jc w:val="left"/>
        <w:outlineLvl w:val="3"/>
        <w:rPr>
          <w:rFonts w:ascii="Times New Roman" w:eastAsia="Times New Roman" w:hAnsi="Times New Roman"/>
          <w:b/>
          <w:bCs/>
          <w:szCs w:val="24"/>
        </w:rPr>
      </w:pPr>
      <w:r w:rsidRPr="0009264F">
        <w:rPr>
          <w:rFonts w:ascii="Times New Roman" w:eastAsia="Times New Roman" w:hAnsi="Times New Roman"/>
          <w:color w:val="666666"/>
          <w:sz w:val="23"/>
          <w:szCs w:val="23"/>
          <w:u w:val="single"/>
        </w:rPr>
        <w:t>Protein Purification</w:t>
      </w:r>
    </w:p>
    <w:p w14:paraId="22D417E8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The 5 mL expression culture was pelleted by centrifugation at 4700 for 10 minutes and the supernatant was discarded. The resulting pellet was suspended in 500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wash buffer (50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HEPES, 150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sodium chloride, 15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imidazole, pH 7.50) and lysed with a mixture of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BugBuster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(Millipore), 1 mg lysozyme, 0.1 mg DNase, and 0.1 mg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  <w:shd w:val="clear" w:color="auto" w:fill="FFFFFF"/>
        </w:rPr>
        <w:t>phenylmethylsulfonyl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  <w:shd w:val="clear" w:color="auto" w:fill="FFFFFF"/>
        </w:rPr>
        <w:t xml:space="preserve"> fluoride. </w:t>
      </w: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The tubes were lysed for 20 minutes and then centrifuged at 14,700 RPM for ten minutes.</w:t>
      </w:r>
    </w:p>
    <w:p w14:paraId="3DA5EA6F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Protein micro-columns [Bio-Spin Chromatography Columns #732-6008] were prepared over a waste collector with 100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of 50% nickel resin slurry in each column. The nickel resin was washed with 500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wash buffer, then two 500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aliquots of supernatant were added to the columns.  Six rounds </w:t>
      </w:r>
      <w:r w:rsidRPr="0009264F">
        <w:rPr>
          <w:rFonts w:ascii="Times New Roman" w:eastAsia="Times New Roman" w:hAnsi="Times New Roman"/>
          <w:color w:val="000000"/>
          <w:sz w:val="23"/>
          <w:szCs w:val="23"/>
        </w:rPr>
        <w:lastRenderedPageBreak/>
        <w:t xml:space="preserve">of 500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wash buffer were then allowed to drip through the columns. Resulting protein micro-columns were then transferred to 2 mL tubes for elution. Protein was eluted in 2x100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elution buffer (50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HEPES, 150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 sodium chloride, and 25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EDTA, pH 7.50). A brief centrifugation at 4000 RPM ensured all protein was collected. Protein yield was then determined via absorbance at 260 and 280 nm and SDS-PAGE.</w:t>
      </w:r>
    </w:p>
    <w:p w14:paraId="211F8549" w14:textId="77777777" w:rsidR="00054DF3" w:rsidRPr="0009264F" w:rsidRDefault="00054DF3" w:rsidP="00054DF3">
      <w:pPr>
        <w:spacing w:before="160" w:after="0"/>
        <w:jc w:val="left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09264F">
        <w:rPr>
          <w:rFonts w:ascii="Times New Roman" w:eastAsia="Times New Roman" w:hAnsi="Times New Roman"/>
          <w:b/>
          <w:bCs/>
          <w:color w:val="666666"/>
          <w:szCs w:val="24"/>
        </w:rPr>
        <w:t>Test</w:t>
      </w:r>
    </w:p>
    <w:p w14:paraId="5148F6A5" w14:textId="77777777" w:rsidR="00054DF3" w:rsidRPr="0009264F" w:rsidRDefault="00054DF3" w:rsidP="00054DF3">
      <w:pPr>
        <w:spacing w:before="160" w:after="0"/>
        <w:jc w:val="left"/>
        <w:outlineLvl w:val="3"/>
        <w:rPr>
          <w:rFonts w:ascii="Times New Roman" w:eastAsia="Times New Roman" w:hAnsi="Times New Roman"/>
          <w:b/>
          <w:bCs/>
          <w:szCs w:val="24"/>
        </w:rPr>
      </w:pPr>
      <w:r w:rsidRPr="0009264F">
        <w:rPr>
          <w:rFonts w:ascii="Times New Roman" w:eastAsia="Times New Roman" w:hAnsi="Times New Roman"/>
          <w:color w:val="666666"/>
          <w:sz w:val="23"/>
          <w:szCs w:val="23"/>
          <w:u w:val="single"/>
        </w:rPr>
        <w:t>Protein Assay</w:t>
      </w:r>
    </w:p>
    <w:p w14:paraId="772AE976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Proteins were assayed at 8 substrate concentrations via a four-fold serial dilution of a 100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substrate stock solution. </w:t>
      </w:r>
    </w:p>
    <w:p w14:paraId="444B45AF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Protein activity was tested by mixing 90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substrate stock and 10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purified protein. Protein solutions that turned yellow within five minutes displayed sufficient catalytic activity to be diluted to 1/100 concentrations. This was performed by combining 990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elution buffer and 10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purified protein. Protein solutions that did not turn yellow were converted into 1/10 concentrations by combining 100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purified protein with 900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elution buffer.</w:t>
      </w:r>
    </w:p>
    <w:p w14:paraId="16BD211F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Diluted protein solution was dispensed in 25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aliquots into non-binding 96-well white [Corning Costar #07-200-845]. Mutants were assayed in triplets, allowing for four mutants per plate.</w:t>
      </w:r>
    </w:p>
    <w:p w14:paraId="70AC4DDE" w14:textId="77777777" w:rsidR="00054DF3" w:rsidRPr="0009264F" w:rsidRDefault="00054DF3" w:rsidP="00054DF3">
      <w:pPr>
        <w:spacing w:after="0"/>
        <w:jc w:val="left"/>
        <w:rPr>
          <w:rFonts w:ascii="Times New Roman" w:eastAsia="Times New Roman" w:hAnsi="Times New Roman"/>
          <w:szCs w:val="24"/>
        </w:rPr>
      </w:pPr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150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substrate stock (100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mM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4-nitrophenyl-beta-D-glucopyranoside in elution buffer) were dispensed into the first row of 96-well PCR plate, with 112.5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uL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protein buffer dispensed into the rest of the rows. 37.5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of the substrate stock were pipetted from the first row into the second row, then mixed. Serial dilution was repeated for all rows, excluding the last row for a control. The assay was initiated by multi-channel pipetting 75 </w:t>
      </w:r>
      <w:proofErr w:type="spellStart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>μL</w:t>
      </w:r>
      <w:proofErr w:type="spellEnd"/>
      <w:r w:rsidRPr="0009264F">
        <w:rPr>
          <w:rFonts w:ascii="Times New Roman" w:eastAsia="Times New Roman" w:hAnsi="Times New Roman"/>
          <w:color w:val="000000"/>
          <w:sz w:val="23"/>
          <w:szCs w:val="23"/>
        </w:rPr>
        <w:t xml:space="preserve"> substrate from each row of the PCR plate into the corresponding rows of the non-binding white plate. The rate was determined by monitoring absorbance of light at 420 nm every 1 min for 60 min. </w:t>
      </w:r>
    </w:p>
    <w:p w14:paraId="1D3432EA" w14:textId="77777777" w:rsidR="0059109C" w:rsidRPr="0009264F" w:rsidRDefault="0059109C" w:rsidP="00544EEE">
      <w:pPr>
        <w:rPr>
          <w:rStyle w:val="Strong"/>
          <w:rFonts w:ascii="Times New Roman" w:hAnsi="Times New Roman"/>
          <w:b w:val="0"/>
          <w:sz w:val="28"/>
        </w:rPr>
      </w:pPr>
    </w:p>
    <w:sectPr w:rsidR="0059109C" w:rsidRPr="0009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2912C" w14:textId="77777777" w:rsidR="0009264F" w:rsidRDefault="0009264F">
      <w:pPr>
        <w:spacing w:after="0"/>
      </w:pPr>
      <w:r>
        <w:separator/>
      </w:r>
    </w:p>
  </w:endnote>
  <w:endnote w:type="continuationSeparator" w:id="0">
    <w:p w14:paraId="737D7139" w14:textId="77777777" w:rsidR="0009264F" w:rsidRDefault="00092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Arno Pro">
    <w:panose1 w:val="02020502040506020403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8435D" w14:textId="77777777" w:rsidR="0009264F" w:rsidRDefault="0009264F">
    <w:pPr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  <w:r>
      <w:rPr>
        <w:rStyle w:val="PageNumber"/>
        <w:noProof/>
      </w:rPr>
      <w:t>2</w:t>
    </w:r>
  </w:p>
  <w:p w14:paraId="215D14DD" w14:textId="77777777" w:rsidR="0009264F" w:rsidRDefault="0009264F">
    <w:pPr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A59AB" w14:textId="77777777" w:rsidR="0009264F" w:rsidRDefault="0009264F">
    <w:pP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25C03" w14:textId="77777777" w:rsidR="0009264F" w:rsidRDefault="0009264F">
      <w:pPr>
        <w:spacing w:after="0"/>
      </w:pPr>
      <w:r>
        <w:separator/>
      </w:r>
    </w:p>
  </w:footnote>
  <w:footnote w:type="continuationSeparator" w:id="0">
    <w:p w14:paraId="5291CE71" w14:textId="77777777" w:rsidR="0009264F" w:rsidRDefault="000926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52"/>
    <w:rsid w:val="00032A59"/>
    <w:rsid w:val="00054DF3"/>
    <w:rsid w:val="0009264F"/>
    <w:rsid w:val="000A056D"/>
    <w:rsid w:val="000B472A"/>
    <w:rsid w:val="000C77AC"/>
    <w:rsid w:val="00120B52"/>
    <w:rsid w:val="001F2F49"/>
    <w:rsid w:val="00223E63"/>
    <w:rsid w:val="0025189E"/>
    <w:rsid w:val="00273438"/>
    <w:rsid w:val="002C3A87"/>
    <w:rsid w:val="002C4114"/>
    <w:rsid w:val="00331141"/>
    <w:rsid w:val="003558AA"/>
    <w:rsid w:val="0036331A"/>
    <w:rsid w:val="004D1FBE"/>
    <w:rsid w:val="005128DE"/>
    <w:rsid w:val="00512F87"/>
    <w:rsid w:val="00544EEE"/>
    <w:rsid w:val="00580AD9"/>
    <w:rsid w:val="0059109C"/>
    <w:rsid w:val="005E0366"/>
    <w:rsid w:val="007161D9"/>
    <w:rsid w:val="007C627A"/>
    <w:rsid w:val="00804E68"/>
    <w:rsid w:val="009C03FA"/>
    <w:rsid w:val="00A65664"/>
    <w:rsid w:val="00A963EA"/>
    <w:rsid w:val="00AA565F"/>
    <w:rsid w:val="00AB4DDA"/>
    <w:rsid w:val="00BD09EF"/>
    <w:rsid w:val="00BE34A5"/>
    <w:rsid w:val="00D35BF8"/>
    <w:rsid w:val="00D72B59"/>
    <w:rsid w:val="00E339F9"/>
    <w:rsid w:val="00E4757E"/>
    <w:rsid w:val="00E72008"/>
    <w:rsid w:val="00EB1860"/>
    <w:rsid w:val="00EB30F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35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66"/>
    <w:pPr>
      <w:spacing w:after="200" w:line="240" w:lineRule="auto"/>
      <w:jc w:val="both"/>
    </w:pPr>
    <w:rPr>
      <w:rFonts w:ascii="Times" w:eastAsia="SimSun" w:hAnsi="Times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054DF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4DF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DF3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D72B59"/>
    <w:pPr>
      <w:spacing w:after="160" w:line="480" w:lineRule="auto"/>
      <w:jc w:val="left"/>
    </w:pPr>
    <w:rPr>
      <w:rFonts w:ascii="Times New Roman" w:eastAsiaTheme="minorHAnsi" w:hAnsi="Times New Roman"/>
      <w:szCs w:val="24"/>
    </w:rPr>
  </w:style>
  <w:style w:type="paragraph" w:customStyle="1" w:styleId="NoteTaking">
    <w:name w:val="Note Taking"/>
    <w:basedOn w:val="Normal"/>
    <w:qFormat/>
    <w:rsid w:val="00D72B59"/>
    <w:pPr>
      <w:spacing w:after="160"/>
      <w:jc w:val="left"/>
    </w:pPr>
    <w:rPr>
      <w:rFonts w:ascii="Times New Roman" w:eastAsiaTheme="minorHAnsi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F2F49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65F"/>
    <w:rPr>
      <w:color w:val="0000FF"/>
      <w:u w:val="single"/>
    </w:rPr>
  </w:style>
  <w:style w:type="paragraph" w:customStyle="1" w:styleId="BATitle">
    <w:name w:val="BA_Title"/>
    <w:basedOn w:val="Normal"/>
    <w:next w:val="BBAuthorName"/>
    <w:autoRedefine/>
    <w:rsid w:val="005E0366"/>
    <w:pPr>
      <w:spacing w:before="1400" w:after="180"/>
      <w:jc w:val="left"/>
    </w:pPr>
    <w:rPr>
      <w:rFonts w:ascii="Myriad Pro Light" w:hAnsi="Myriad Pro Light"/>
      <w:b/>
      <w:bCs/>
      <w:kern w:val="36"/>
      <w:sz w:val="34"/>
    </w:rPr>
  </w:style>
  <w:style w:type="paragraph" w:customStyle="1" w:styleId="BBAuthorName">
    <w:name w:val="BB_Author_Name"/>
    <w:basedOn w:val="Normal"/>
    <w:next w:val="BCAuthorAddress"/>
    <w:autoRedefine/>
    <w:rsid w:val="005E0366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"/>
    <w:next w:val="Normal"/>
    <w:autoRedefine/>
    <w:rsid w:val="005E0366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StyleBIEmailAddress95pt">
    <w:name w:val="Style BI_Email_Address + 9.5 pt"/>
    <w:basedOn w:val="Normal"/>
    <w:rsid w:val="005E0366"/>
    <w:pPr>
      <w:spacing w:after="60"/>
      <w:jc w:val="left"/>
    </w:pPr>
    <w:rPr>
      <w:rFonts w:ascii="Arno Pro" w:hAnsi="Arno Pro"/>
      <w:sz w:val="19"/>
    </w:rPr>
  </w:style>
  <w:style w:type="character" w:styleId="PageNumber">
    <w:name w:val="page number"/>
    <w:basedOn w:val="DefaultParagraphFont"/>
    <w:rsid w:val="005E0366"/>
  </w:style>
  <w:style w:type="paragraph" w:styleId="Title">
    <w:name w:val="Title"/>
    <w:basedOn w:val="Normal"/>
    <w:next w:val="Normal"/>
    <w:link w:val="TitleChar"/>
    <w:uiPriority w:val="10"/>
    <w:qFormat/>
    <w:rsid w:val="005E036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3E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4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4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D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A5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59"/>
    <w:rPr>
      <w:rFonts w:ascii="Lucida Grande" w:eastAsia="SimSu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66"/>
    <w:pPr>
      <w:spacing w:after="200" w:line="240" w:lineRule="auto"/>
      <w:jc w:val="both"/>
    </w:pPr>
    <w:rPr>
      <w:rFonts w:ascii="Times" w:eastAsia="SimSun" w:hAnsi="Times" w:cs="Times New Roman"/>
      <w:sz w:val="24"/>
      <w:szCs w:val="20"/>
    </w:rPr>
  </w:style>
  <w:style w:type="paragraph" w:styleId="Heading1">
    <w:name w:val="heading 1"/>
    <w:basedOn w:val="Normal"/>
    <w:link w:val="Heading1Char"/>
    <w:uiPriority w:val="9"/>
    <w:qFormat/>
    <w:rsid w:val="00054DF3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54DF3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54DF3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D72B59"/>
    <w:pPr>
      <w:spacing w:after="160" w:line="480" w:lineRule="auto"/>
      <w:jc w:val="left"/>
    </w:pPr>
    <w:rPr>
      <w:rFonts w:ascii="Times New Roman" w:eastAsiaTheme="minorHAnsi" w:hAnsi="Times New Roman"/>
      <w:szCs w:val="24"/>
    </w:rPr>
  </w:style>
  <w:style w:type="paragraph" w:customStyle="1" w:styleId="NoteTaking">
    <w:name w:val="Note Taking"/>
    <w:basedOn w:val="Normal"/>
    <w:qFormat/>
    <w:rsid w:val="00D72B59"/>
    <w:pPr>
      <w:spacing w:after="160"/>
      <w:jc w:val="left"/>
    </w:pPr>
    <w:rPr>
      <w:rFonts w:ascii="Times New Roman" w:eastAsiaTheme="minorHAnsi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F2F49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65F"/>
    <w:rPr>
      <w:color w:val="0000FF"/>
      <w:u w:val="single"/>
    </w:rPr>
  </w:style>
  <w:style w:type="paragraph" w:customStyle="1" w:styleId="BATitle">
    <w:name w:val="BA_Title"/>
    <w:basedOn w:val="Normal"/>
    <w:next w:val="BBAuthorName"/>
    <w:autoRedefine/>
    <w:rsid w:val="005E0366"/>
    <w:pPr>
      <w:spacing w:before="1400" w:after="180"/>
      <w:jc w:val="left"/>
    </w:pPr>
    <w:rPr>
      <w:rFonts w:ascii="Myriad Pro Light" w:hAnsi="Myriad Pro Light"/>
      <w:b/>
      <w:bCs/>
      <w:kern w:val="36"/>
      <w:sz w:val="34"/>
    </w:rPr>
  </w:style>
  <w:style w:type="paragraph" w:customStyle="1" w:styleId="BBAuthorName">
    <w:name w:val="BB_Author_Name"/>
    <w:basedOn w:val="Normal"/>
    <w:next w:val="BCAuthorAddress"/>
    <w:autoRedefine/>
    <w:rsid w:val="005E0366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"/>
    <w:next w:val="Normal"/>
    <w:autoRedefine/>
    <w:rsid w:val="005E0366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StyleBIEmailAddress95pt">
    <w:name w:val="Style BI_Email_Address + 9.5 pt"/>
    <w:basedOn w:val="Normal"/>
    <w:rsid w:val="005E0366"/>
    <w:pPr>
      <w:spacing w:after="60"/>
      <w:jc w:val="left"/>
    </w:pPr>
    <w:rPr>
      <w:rFonts w:ascii="Arno Pro" w:hAnsi="Arno Pro"/>
      <w:sz w:val="19"/>
    </w:rPr>
  </w:style>
  <w:style w:type="character" w:styleId="PageNumber">
    <w:name w:val="page number"/>
    <w:basedOn w:val="DefaultParagraphFont"/>
    <w:rsid w:val="005E0366"/>
  </w:style>
  <w:style w:type="paragraph" w:styleId="Title">
    <w:name w:val="Title"/>
    <w:basedOn w:val="Normal"/>
    <w:next w:val="Normal"/>
    <w:link w:val="TitleChar"/>
    <w:uiPriority w:val="10"/>
    <w:qFormat/>
    <w:rsid w:val="005E036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23E6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54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54D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54D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A5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59"/>
    <w:rPr>
      <w:rFonts w:ascii="Lucida Grande" w:eastAsia="SimSu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1019</Words>
  <Characters>5812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Alex</cp:lastModifiedBy>
  <cp:revision>10</cp:revision>
  <dcterms:created xsi:type="dcterms:W3CDTF">2015-04-01T05:19:00Z</dcterms:created>
  <dcterms:modified xsi:type="dcterms:W3CDTF">2015-05-11T18:38:00Z</dcterms:modified>
</cp:coreProperties>
</file>