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Default="00B24FF3" w:rsidP="008A7840">
      <w:pPr>
        <w:spacing w:line="480" w:lineRule="auto"/>
      </w:pPr>
      <w:r>
        <w:t xml:space="preserve">Supporting information for </w:t>
      </w:r>
    </w:p>
    <w:p w14:paraId="19A89498" w14:textId="77777777" w:rsidR="00B24FF3" w:rsidRDefault="00B24FF3" w:rsidP="008A7840">
      <w:pPr>
        <w:spacing w:line="480" w:lineRule="auto"/>
      </w:pPr>
    </w:p>
    <w:p w14:paraId="48B26733" w14:textId="77777777" w:rsidR="00B24FF3" w:rsidRPr="00B24FF3" w:rsidRDefault="00B24FF3" w:rsidP="008A7840">
      <w:pPr>
        <w:spacing w:line="480" w:lineRule="auto"/>
        <w:rPr>
          <w:b/>
        </w:rPr>
      </w:pPr>
      <w:r w:rsidRPr="00B24FF3">
        <w:rPr>
          <w:b/>
        </w:rPr>
        <w:t>Kinetic characterization of over 100 glycoside hydrolase mutants enables the discovery of structural features correlated with kinetic constants</w:t>
      </w:r>
    </w:p>
    <w:p w14:paraId="7F2DDCA0" w14:textId="77777777" w:rsidR="00B24FF3" w:rsidRPr="00B24FF3" w:rsidRDefault="00B24FF3" w:rsidP="008A7840">
      <w:pPr>
        <w:spacing w:line="480" w:lineRule="auto"/>
      </w:pPr>
    </w:p>
    <w:p w14:paraId="1D75E2CF" w14:textId="77777777" w:rsidR="00B24FF3" w:rsidRPr="00B24FF3" w:rsidRDefault="00B24FF3" w:rsidP="008A7840">
      <w:pPr>
        <w:spacing w:line="480" w:lineRule="auto"/>
      </w:pPr>
      <w:r w:rsidRPr="00B24FF3">
        <w:rPr>
          <w:rFonts w:hint="eastAsia"/>
        </w:rPr>
        <w:t>D</w:t>
      </w:r>
      <w:r w:rsidRPr="00B24FF3">
        <w:t xml:space="preserve">ylan </w:t>
      </w:r>
      <w:r w:rsidRPr="00B24FF3">
        <w:rPr>
          <w:rFonts w:hint="eastAsia"/>
        </w:rPr>
        <w:t>A</w:t>
      </w:r>
      <w:r w:rsidRPr="00B24FF3">
        <w:t>lexander</w:t>
      </w:r>
      <w:r w:rsidRPr="00B24FF3">
        <w:rPr>
          <w:rFonts w:hint="eastAsia"/>
        </w:rPr>
        <w:t xml:space="preserve"> </w:t>
      </w:r>
      <w:proofErr w:type="spellStart"/>
      <w:r w:rsidRPr="00B24FF3">
        <w:rPr>
          <w:rFonts w:hint="eastAsia"/>
        </w:rPr>
        <w:t>Carlin</w:t>
      </w:r>
      <w:r w:rsidRPr="00B24FF3">
        <w:rPr>
          <w:rFonts w:hint="eastAsia"/>
          <w:vertAlign w:val="superscript"/>
        </w:rPr>
        <w:t>1</w:t>
      </w:r>
      <w:proofErr w:type="spellEnd"/>
      <w:r w:rsidRPr="00B24FF3">
        <w:rPr>
          <w:rFonts w:hint="eastAsia"/>
        </w:rPr>
        <w:t>*, R</w:t>
      </w:r>
      <w:r w:rsidRPr="00B24FF3">
        <w:t xml:space="preserve">yan </w:t>
      </w:r>
      <w:r w:rsidRPr="00B24FF3">
        <w:rPr>
          <w:rFonts w:hint="eastAsia"/>
        </w:rPr>
        <w:t>W</w:t>
      </w:r>
      <w:r w:rsidRPr="00B24FF3">
        <w:t>.</w:t>
      </w:r>
      <w:r w:rsidRPr="00B24FF3">
        <w:rPr>
          <w:rFonts w:hint="eastAsia"/>
        </w:rPr>
        <w:t xml:space="preserve"> </w:t>
      </w:r>
      <w:proofErr w:type="spellStart"/>
      <w:r w:rsidRPr="00B24FF3">
        <w:rPr>
          <w:rFonts w:hint="eastAsia"/>
        </w:rPr>
        <w:t>Caster</w:t>
      </w:r>
      <w:r w:rsidRPr="00B24FF3">
        <w:rPr>
          <w:vertAlign w:val="superscript"/>
        </w:rPr>
        <w:t>2</w:t>
      </w:r>
      <w:proofErr w:type="spellEnd"/>
      <w:r w:rsidRPr="00B24FF3">
        <w:rPr>
          <w:rFonts w:hint="eastAsia"/>
        </w:rPr>
        <w:t xml:space="preserve">*, </w:t>
      </w:r>
      <w:proofErr w:type="spellStart"/>
      <w:r w:rsidRPr="00B24FF3">
        <w:rPr>
          <w:rFonts w:hint="eastAsia"/>
        </w:rPr>
        <w:t>X</w:t>
      </w:r>
      <w:r w:rsidRPr="00B24FF3">
        <w:t>iaokang</w:t>
      </w:r>
      <w:proofErr w:type="spellEnd"/>
      <w:r w:rsidRPr="00B24FF3">
        <w:t xml:space="preserve"> </w:t>
      </w:r>
      <w:proofErr w:type="spellStart"/>
      <w:r w:rsidRPr="00B24FF3">
        <w:rPr>
          <w:rFonts w:hint="eastAsia"/>
        </w:rPr>
        <w:t>Wang</w:t>
      </w:r>
      <w:r w:rsidRPr="00B24FF3">
        <w:rPr>
          <w:rFonts w:hint="eastAsia"/>
          <w:vertAlign w:val="superscript"/>
        </w:rPr>
        <w:t>3</w:t>
      </w:r>
      <w:proofErr w:type="spellEnd"/>
      <w:r w:rsidRPr="00B24FF3">
        <w:rPr>
          <w:rFonts w:hint="eastAsia"/>
        </w:rPr>
        <w:t>, S</w:t>
      </w:r>
      <w:r w:rsidRPr="00B24FF3">
        <w:t xml:space="preserve">tephanie </w:t>
      </w:r>
      <w:r w:rsidRPr="00B24FF3">
        <w:rPr>
          <w:rFonts w:hint="eastAsia"/>
        </w:rPr>
        <w:t>A</w:t>
      </w:r>
      <w:r w:rsidRPr="00B24FF3">
        <w:t>.</w:t>
      </w:r>
      <w:r w:rsidRPr="00B24FF3">
        <w:rPr>
          <w:rFonts w:hint="eastAsia"/>
        </w:rPr>
        <w:t xml:space="preserve"> </w:t>
      </w:r>
      <w:proofErr w:type="spellStart"/>
      <w:r w:rsidRPr="00B24FF3">
        <w:rPr>
          <w:rFonts w:hint="eastAsia"/>
        </w:rPr>
        <w:t>Betzenderfer</w:t>
      </w:r>
      <w:r w:rsidRPr="00B24FF3">
        <w:rPr>
          <w:vertAlign w:val="superscript"/>
        </w:rPr>
        <w:t>2</w:t>
      </w:r>
      <w:proofErr w:type="spellEnd"/>
      <w:r w:rsidRPr="00B24FF3">
        <w:rPr>
          <w:rFonts w:hint="eastAsia"/>
        </w:rPr>
        <w:t>, C</w:t>
      </w:r>
      <w:r w:rsidRPr="00B24FF3">
        <w:t xml:space="preserve">laire </w:t>
      </w:r>
      <w:r w:rsidRPr="00B24FF3">
        <w:rPr>
          <w:rFonts w:hint="eastAsia"/>
        </w:rPr>
        <w:t>X</w:t>
      </w:r>
      <w:r w:rsidRPr="00B24FF3">
        <w:t>.</w:t>
      </w:r>
      <w:r w:rsidRPr="00B24FF3">
        <w:rPr>
          <w:rFonts w:hint="eastAsia"/>
        </w:rPr>
        <w:t xml:space="preserve"> </w:t>
      </w:r>
      <w:proofErr w:type="spellStart"/>
      <w:r w:rsidRPr="00B24FF3">
        <w:rPr>
          <w:rFonts w:hint="eastAsia"/>
        </w:rPr>
        <w:t>Chen</w:t>
      </w:r>
      <w:r w:rsidRPr="00B24FF3">
        <w:rPr>
          <w:vertAlign w:val="superscript"/>
        </w:rPr>
        <w:t>2</w:t>
      </w:r>
      <w:proofErr w:type="spellEnd"/>
      <w:r w:rsidRPr="00B24FF3">
        <w:rPr>
          <w:rFonts w:hint="eastAsia"/>
        </w:rPr>
        <w:t xml:space="preserve">, </w:t>
      </w:r>
      <w:proofErr w:type="spellStart"/>
      <w:r w:rsidRPr="00B24FF3">
        <w:rPr>
          <w:rFonts w:hint="eastAsia"/>
        </w:rPr>
        <w:t>V</w:t>
      </w:r>
      <w:r w:rsidRPr="00B24FF3">
        <w:t>easna</w:t>
      </w:r>
      <w:proofErr w:type="spellEnd"/>
      <w:r w:rsidRPr="00B24FF3">
        <w:t xml:space="preserve"> </w:t>
      </w:r>
      <w:r w:rsidRPr="00B24FF3">
        <w:rPr>
          <w:rFonts w:hint="eastAsia"/>
        </w:rPr>
        <w:t>M</w:t>
      </w:r>
      <w:r w:rsidRPr="00B24FF3">
        <w:t>.</w:t>
      </w:r>
      <w:r w:rsidRPr="00B24FF3">
        <w:rPr>
          <w:rFonts w:hint="eastAsia"/>
        </w:rPr>
        <w:t xml:space="preserve"> </w:t>
      </w:r>
      <w:proofErr w:type="spellStart"/>
      <w:r w:rsidRPr="00B24FF3">
        <w:rPr>
          <w:rFonts w:hint="eastAsia"/>
        </w:rPr>
        <w:t>Duong</w:t>
      </w:r>
      <w:r w:rsidRPr="00B24FF3">
        <w:rPr>
          <w:vertAlign w:val="superscript"/>
        </w:rPr>
        <w:t>2</w:t>
      </w:r>
      <w:proofErr w:type="spellEnd"/>
      <w:r w:rsidRPr="00B24FF3">
        <w:rPr>
          <w:rFonts w:hint="eastAsia"/>
        </w:rPr>
        <w:t>, C</w:t>
      </w:r>
      <w:r w:rsidRPr="00B24FF3">
        <w:t xml:space="preserve">arolina </w:t>
      </w:r>
      <w:r w:rsidRPr="00B24FF3">
        <w:rPr>
          <w:rFonts w:hint="eastAsia"/>
        </w:rPr>
        <w:t>V</w:t>
      </w:r>
      <w:r w:rsidRPr="00B24FF3">
        <w:t>.</w:t>
      </w:r>
      <w:r w:rsidRPr="00B24FF3">
        <w:rPr>
          <w:rFonts w:hint="eastAsia"/>
        </w:rPr>
        <w:t xml:space="preserve"> </w:t>
      </w:r>
      <w:proofErr w:type="spellStart"/>
      <w:r w:rsidRPr="00B24FF3">
        <w:rPr>
          <w:rFonts w:hint="eastAsia"/>
        </w:rPr>
        <w:t>Ryklansky</w:t>
      </w:r>
      <w:r w:rsidRPr="00B24FF3">
        <w:rPr>
          <w:vertAlign w:val="superscript"/>
        </w:rPr>
        <w:t>2</w:t>
      </w:r>
      <w:proofErr w:type="spellEnd"/>
      <w:r w:rsidRPr="00B24FF3">
        <w:rPr>
          <w:rFonts w:hint="eastAsia"/>
        </w:rPr>
        <w:t>, A</w:t>
      </w:r>
      <w:r w:rsidRPr="00B24FF3">
        <w:t>lp</w:t>
      </w:r>
      <w:r w:rsidRPr="00B24FF3">
        <w:rPr>
          <w:rFonts w:hint="eastAsia"/>
        </w:rPr>
        <w:t xml:space="preserve"> </w:t>
      </w:r>
      <w:proofErr w:type="spellStart"/>
      <w:r w:rsidRPr="00B24FF3">
        <w:rPr>
          <w:rFonts w:hint="eastAsia"/>
        </w:rPr>
        <w:t>Alpekin</w:t>
      </w:r>
      <w:r w:rsidRPr="00B24FF3">
        <w:rPr>
          <w:vertAlign w:val="superscript"/>
        </w:rPr>
        <w:t>2</w:t>
      </w:r>
      <w:proofErr w:type="spellEnd"/>
      <w:r w:rsidRPr="00B24FF3">
        <w:rPr>
          <w:rFonts w:hint="eastAsia"/>
        </w:rPr>
        <w:t>, N</w:t>
      </w:r>
      <w:r w:rsidRPr="00B24FF3">
        <w:t>athan</w:t>
      </w:r>
      <w:r w:rsidRPr="00B24FF3">
        <w:rPr>
          <w:rFonts w:hint="eastAsia"/>
        </w:rPr>
        <w:t xml:space="preserve"> </w:t>
      </w:r>
      <w:proofErr w:type="spellStart"/>
      <w:r w:rsidRPr="00B24FF3">
        <w:rPr>
          <w:rFonts w:hint="eastAsia"/>
        </w:rPr>
        <w:t>Beaumont</w:t>
      </w:r>
      <w:r w:rsidRPr="00B24FF3">
        <w:rPr>
          <w:vertAlign w:val="superscript"/>
        </w:rPr>
        <w:t>2</w:t>
      </w:r>
      <w:proofErr w:type="spellEnd"/>
      <w:r w:rsidRPr="00B24FF3">
        <w:rPr>
          <w:rFonts w:hint="eastAsia"/>
        </w:rPr>
        <w:t xml:space="preserve">, </w:t>
      </w:r>
      <w:proofErr w:type="spellStart"/>
      <w:r w:rsidRPr="00B24FF3">
        <w:rPr>
          <w:rFonts w:hint="eastAsia"/>
        </w:rPr>
        <w:t>H</w:t>
      </w:r>
      <w:r w:rsidRPr="00B24FF3">
        <w:t>arhul</w:t>
      </w:r>
      <w:proofErr w:type="spellEnd"/>
      <w:r w:rsidRPr="00B24FF3">
        <w:rPr>
          <w:rFonts w:hint="eastAsia"/>
        </w:rPr>
        <w:t xml:space="preserve"> </w:t>
      </w:r>
      <w:proofErr w:type="spellStart"/>
      <w:r w:rsidRPr="00B24FF3">
        <w:rPr>
          <w:rFonts w:hint="eastAsia"/>
        </w:rPr>
        <w:t>Kapoor</w:t>
      </w:r>
      <w:r w:rsidRPr="00B24FF3">
        <w:rPr>
          <w:vertAlign w:val="superscript"/>
        </w:rPr>
        <w:t>2</w:t>
      </w:r>
      <w:proofErr w:type="spellEnd"/>
      <w:r w:rsidRPr="00B24FF3">
        <w:rPr>
          <w:rFonts w:hint="eastAsia"/>
        </w:rPr>
        <w:t>, N</w:t>
      </w:r>
      <w:r w:rsidRPr="00B24FF3">
        <w:t>icole</w:t>
      </w:r>
      <w:r w:rsidRPr="00B24FF3">
        <w:rPr>
          <w:rFonts w:hint="eastAsia"/>
        </w:rPr>
        <w:t xml:space="preserve"> </w:t>
      </w:r>
      <w:proofErr w:type="spellStart"/>
      <w:r w:rsidRPr="00B24FF3">
        <w:rPr>
          <w:rFonts w:hint="eastAsia"/>
        </w:rPr>
        <w:t>Kim</w:t>
      </w:r>
      <w:r w:rsidRPr="00B24FF3">
        <w:rPr>
          <w:vertAlign w:val="superscript"/>
        </w:rPr>
        <w:t>2</w:t>
      </w:r>
      <w:proofErr w:type="spellEnd"/>
      <w:r w:rsidRPr="00B24FF3">
        <w:rPr>
          <w:rFonts w:hint="eastAsia"/>
        </w:rPr>
        <w:t xml:space="preserve">, </w:t>
      </w:r>
      <w:proofErr w:type="spellStart"/>
      <w:r w:rsidRPr="00B24FF3">
        <w:rPr>
          <w:rFonts w:hint="eastAsia"/>
        </w:rPr>
        <w:t>H</w:t>
      </w:r>
      <w:r w:rsidRPr="00B24FF3">
        <w:t>osna</w:t>
      </w:r>
      <w:proofErr w:type="spellEnd"/>
      <w:r w:rsidRPr="00B24FF3">
        <w:rPr>
          <w:rFonts w:hint="eastAsia"/>
        </w:rPr>
        <w:t xml:space="preserve"> </w:t>
      </w:r>
      <w:proofErr w:type="spellStart"/>
      <w:r w:rsidRPr="00B24FF3">
        <w:rPr>
          <w:rFonts w:hint="eastAsia"/>
        </w:rPr>
        <w:t>Mohabbot</w:t>
      </w:r>
      <w:r w:rsidRPr="00B24FF3">
        <w:rPr>
          <w:vertAlign w:val="superscript"/>
        </w:rPr>
        <w:t>2</w:t>
      </w:r>
      <w:proofErr w:type="spellEnd"/>
      <w:r w:rsidRPr="00B24FF3">
        <w:rPr>
          <w:rFonts w:hint="eastAsia"/>
        </w:rPr>
        <w:t xml:space="preserve">, </w:t>
      </w:r>
      <w:proofErr w:type="spellStart"/>
      <w:r w:rsidRPr="00B24FF3">
        <w:rPr>
          <w:rFonts w:hint="eastAsia"/>
        </w:rPr>
        <w:t>B</w:t>
      </w:r>
      <w:r w:rsidRPr="00B24FF3">
        <w:t>oyu</w:t>
      </w:r>
      <w:proofErr w:type="spellEnd"/>
      <w:r w:rsidRPr="00B24FF3">
        <w:rPr>
          <w:rFonts w:hint="eastAsia"/>
        </w:rPr>
        <w:t xml:space="preserve"> </w:t>
      </w:r>
      <w:proofErr w:type="spellStart"/>
      <w:r w:rsidRPr="00B24FF3">
        <w:rPr>
          <w:rFonts w:hint="eastAsia"/>
        </w:rPr>
        <w:t>Pang</w:t>
      </w:r>
      <w:r w:rsidRPr="00B24FF3">
        <w:rPr>
          <w:vertAlign w:val="superscript"/>
        </w:rPr>
        <w:t>2</w:t>
      </w:r>
      <w:proofErr w:type="spellEnd"/>
      <w:r w:rsidRPr="00B24FF3">
        <w:rPr>
          <w:rFonts w:hint="eastAsia"/>
        </w:rPr>
        <w:t>, R</w:t>
      </w:r>
      <w:r w:rsidRPr="00B24FF3">
        <w:t>achel</w:t>
      </w:r>
      <w:r w:rsidRPr="00B24FF3">
        <w:rPr>
          <w:rFonts w:hint="eastAsia"/>
        </w:rPr>
        <w:t xml:space="preserve"> </w:t>
      </w:r>
      <w:proofErr w:type="spellStart"/>
      <w:r w:rsidRPr="00B24FF3">
        <w:rPr>
          <w:rFonts w:hint="eastAsia"/>
        </w:rPr>
        <w:t>Teel</w:t>
      </w:r>
      <w:r w:rsidRPr="00B24FF3">
        <w:rPr>
          <w:vertAlign w:val="superscript"/>
        </w:rPr>
        <w:t>2</w:t>
      </w:r>
      <w:proofErr w:type="spellEnd"/>
      <w:r w:rsidRPr="00B24FF3">
        <w:rPr>
          <w:rFonts w:hint="eastAsia"/>
        </w:rPr>
        <w:t>, L</w:t>
      </w:r>
      <w:r w:rsidRPr="00B24FF3">
        <w:t>illian</w:t>
      </w:r>
      <w:r w:rsidRPr="00B24FF3">
        <w:rPr>
          <w:rFonts w:hint="eastAsia"/>
        </w:rPr>
        <w:t xml:space="preserve"> </w:t>
      </w:r>
      <w:proofErr w:type="spellStart"/>
      <w:r w:rsidRPr="00B24FF3">
        <w:rPr>
          <w:rFonts w:hint="eastAsia"/>
        </w:rPr>
        <w:t>Whithaus</w:t>
      </w:r>
      <w:r w:rsidRPr="00B24FF3">
        <w:rPr>
          <w:vertAlign w:val="superscript"/>
        </w:rPr>
        <w:t>2</w:t>
      </w:r>
      <w:proofErr w:type="spellEnd"/>
      <w:r w:rsidRPr="00B24FF3">
        <w:rPr>
          <w:rFonts w:hint="eastAsia"/>
        </w:rPr>
        <w:t xml:space="preserve">, </w:t>
      </w:r>
      <w:proofErr w:type="spellStart"/>
      <w:r w:rsidRPr="00B24FF3">
        <w:rPr>
          <w:rFonts w:hint="eastAsia"/>
        </w:rPr>
        <w:t>I</w:t>
      </w:r>
      <w:r w:rsidRPr="00B24FF3">
        <w:t>lias</w:t>
      </w:r>
      <w:proofErr w:type="spellEnd"/>
      <w:r w:rsidRPr="00B24FF3">
        <w:rPr>
          <w:rFonts w:hint="eastAsia"/>
        </w:rPr>
        <w:t xml:space="preserve"> </w:t>
      </w:r>
      <w:proofErr w:type="spellStart"/>
      <w:r w:rsidRPr="00B24FF3">
        <w:rPr>
          <w:rFonts w:hint="eastAsia"/>
        </w:rPr>
        <w:t>Tagkopoulos</w:t>
      </w:r>
      <w:r w:rsidRPr="00B24FF3">
        <w:rPr>
          <w:vertAlign w:val="superscript"/>
        </w:rPr>
        <w:t>2,6</w:t>
      </w:r>
      <w:proofErr w:type="spellEnd"/>
      <w:r w:rsidRPr="00B24FF3">
        <w:rPr>
          <w:rFonts w:hint="eastAsia"/>
        </w:rPr>
        <w:t>, J</w:t>
      </w:r>
      <w:r w:rsidRPr="00B24FF3">
        <w:t xml:space="preserve">ustin </w:t>
      </w:r>
      <w:r w:rsidRPr="00B24FF3">
        <w:rPr>
          <w:rFonts w:hint="eastAsia"/>
        </w:rPr>
        <w:t>B</w:t>
      </w:r>
      <w:r w:rsidRPr="00B24FF3">
        <w:t>.</w:t>
      </w:r>
      <w:r w:rsidRPr="00B24FF3">
        <w:rPr>
          <w:rFonts w:hint="eastAsia"/>
        </w:rPr>
        <w:t xml:space="preserve"> </w:t>
      </w:r>
      <w:proofErr w:type="spellStart"/>
      <w:r w:rsidRPr="00B24FF3">
        <w:rPr>
          <w:rFonts w:hint="eastAsia"/>
        </w:rPr>
        <w:t>Siegel</w:t>
      </w:r>
      <w:r w:rsidRPr="00B24FF3">
        <w:rPr>
          <w:vertAlign w:val="superscript"/>
        </w:rPr>
        <w:t>2,3,4</w:t>
      </w:r>
      <w:proofErr w:type="spellEnd"/>
    </w:p>
    <w:p w14:paraId="4E8ADC44" w14:textId="77777777" w:rsidR="00B24FF3" w:rsidRPr="00B24FF3" w:rsidRDefault="00B24FF3" w:rsidP="008A7840">
      <w:pPr>
        <w:spacing w:line="480" w:lineRule="auto"/>
      </w:pPr>
    </w:p>
    <w:p w14:paraId="4030F7F7" w14:textId="77777777" w:rsidR="00B24FF3" w:rsidRPr="00B24FF3" w:rsidRDefault="00B24FF3" w:rsidP="008A7840">
      <w:pPr>
        <w:spacing w:line="480" w:lineRule="auto"/>
      </w:pPr>
      <w:r w:rsidRPr="00B24FF3">
        <w:t>Author affiliations:</w:t>
      </w:r>
    </w:p>
    <w:p w14:paraId="31A5A1B6" w14:textId="77777777" w:rsidR="00B24FF3" w:rsidRPr="00B24FF3" w:rsidRDefault="00B24FF3" w:rsidP="008A7840">
      <w:pPr>
        <w:spacing w:line="480" w:lineRule="auto"/>
      </w:pPr>
      <w:r w:rsidRPr="00B24FF3">
        <w:rPr>
          <w:rFonts w:hint="eastAsia"/>
        </w:rPr>
        <w:t>1. Biophysics Graduate Group, University of California, Davis</w:t>
      </w:r>
    </w:p>
    <w:p w14:paraId="3A399AEF" w14:textId="77777777" w:rsidR="00B24FF3" w:rsidRPr="00B24FF3" w:rsidRDefault="00B24FF3" w:rsidP="008A7840">
      <w:pPr>
        <w:spacing w:line="480" w:lineRule="auto"/>
      </w:pPr>
      <w:r w:rsidRPr="00B24FF3">
        <w:rPr>
          <w:rFonts w:hint="eastAsia"/>
        </w:rPr>
        <w:t>2. Genome Center, University of California, Davis</w:t>
      </w:r>
    </w:p>
    <w:p w14:paraId="4EF9982B" w14:textId="77777777" w:rsidR="00B24FF3" w:rsidRPr="00B24FF3" w:rsidRDefault="00B24FF3" w:rsidP="008A7840">
      <w:pPr>
        <w:spacing w:line="480" w:lineRule="auto"/>
      </w:pPr>
      <w:r w:rsidRPr="00B24FF3">
        <w:t xml:space="preserve">3. </w:t>
      </w:r>
      <w:r w:rsidRPr="00B24FF3">
        <w:rPr>
          <w:rFonts w:hint="eastAsia"/>
        </w:rPr>
        <w:t>Department of Chemistry, University of California, Davis</w:t>
      </w:r>
    </w:p>
    <w:p w14:paraId="584F7F30" w14:textId="77777777" w:rsidR="00B24FF3" w:rsidRPr="00B24FF3" w:rsidRDefault="00B24FF3" w:rsidP="008A7840">
      <w:pPr>
        <w:spacing w:line="480" w:lineRule="auto"/>
      </w:pPr>
      <w:r w:rsidRPr="00B24FF3">
        <w:t xml:space="preserve">4. </w:t>
      </w:r>
      <w:r w:rsidRPr="00B24FF3">
        <w:rPr>
          <w:rFonts w:hint="eastAsia"/>
        </w:rPr>
        <w:t>Department of Biochemistry &amp; Molecular Medicine, University of California, Davis</w:t>
      </w:r>
    </w:p>
    <w:p w14:paraId="7CCF3EE8" w14:textId="77777777" w:rsidR="00B24FF3" w:rsidRPr="00B24FF3" w:rsidRDefault="00B24FF3" w:rsidP="008A7840">
      <w:pPr>
        <w:spacing w:line="480" w:lineRule="auto"/>
      </w:pPr>
      <w:r w:rsidRPr="00B24FF3">
        <w:rPr>
          <w:rFonts w:hint="eastAsia"/>
        </w:rPr>
        <w:t>5. Depa</w:t>
      </w:r>
      <w:r w:rsidRPr="00B24FF3">
        <w:t>rtment of Biomedical Engineering, University of California, Davis</w:t>
      </w:r>
    </w:p>
    <w:p w14:paraId="414E49C5" w14:textId="35AD4EC1" w:rsidR="00B24FF3" w:rsidRDefault="00B24FF3" w:rsidP="008A7840">
      <w:pPr>
        <w:spacing w:line="480" w:lineRule="auto"/>
      </w:pPr>
      <w:r w:rsidRPr="00B24FF3">
        <w:t>6. Department of Computer Science, University of California, Davis</w:t>
      </w:r>
    </w:p>
    <w:p w14:paraId="35077E69" w14:textId="77777777" w:rsidR="00B24FF3" w:rsidRDefault="00B24FF3" w:rsidP="008A7840">
      <w:pPr>
        <w:spacing w:line="480" w:lineRule="auto"/>
      </w:pPr>
    </w:p>
    <w:p w14:paraId="7B89401B" w14:textId="5B6D5454" w:rsidR="00B24FF3" w:rsidRDefault="00B24FF3" w:rsidP="008A7840">
      <w:pPr>
        <w:spacing w:line="480" w:lineRule="auto"/>
      </w:pPr>
      <w:r>
        <w:br w:type="page"/>
      </w:r>
    </w:p>
    <w:p w14:paraId="0C48F28F" w14:textId="17CEA9F3" w:rsidR="00B24FF3" w:rsidRPr="00B54DDD" w:rsidRDefault="00B24FF3" w:rsidP="008A7840">
      <w:pPr>
        <w:spacing w:line="480" w:lineRule="auto"/>
        <w:rPr>
          <w:b/>
        </w:rPr>
      </w:pPr>
      <w:r w:rsidRPr="00B54DDD">
        <w:rPr>
          <w:b/>
        </w:rPr>
        <w:lastRenderedPageBreak/>
        <w:t xml:space="preserve">Table of contents </w:t>
      </w:r>
    </w:p>
    <w:p w14:paraId="5FB3FAFD" w14:textId="6C2E1B89" w:rsidR="00B54DDD" w:rsidRDefault="00B54DDD" w:rsidP="008A7840">
      <w:pPr>
        <w:spacing w:line="480" w:lineRule="auto"/>
      </w:pPr>
      <w:r>
        <w:t xml:space="preserve">Supplemental </w:t>
      </w:r>
      <w:r>
        <w:t xml:space="preserve">Table 1 (list of mutants) </w:t>
      </w:r>
    </w:p>
    <w:p w14:paraId="16B0A470" w14:textId="4728F8B5" w:rsidR="00B54DDD" w:rsidRDefault="00B54DDD" w:rsidP="008A7840">
      <w:pPr>
        <w:spacing w:line="480" w:lineRule="auto"/>
      </w:pPr>
      <w:r>
        <w:t>Supplemental Figure 1 (Gel images)</w:t>
      </w:r>
      <w:r>
        <w:tab/>
      </w:r>
    </w:p>
    <w:p w14:paraId="11A11F14" w14:textId="1EB584AD" w:rsidR="00B54DDD" w:rsidRDefault="00B54DDD" w:rsidP="008A7840">
      <w:pPr>
        <w:spacing w:line="480" w:lineRule="auto"/>
      </w:pPr>
      <w:r>
        <w:t>Supplemental Figure 2 (</w:t>
      </w:r>
      <w:proofErr w:type="spellStart"/>
      <w:r>
        <w:t>Q19</w:t>
      </w:r>
      <w:r>
        <w:t>A</w:t>
      </w:r>
      <w:proofErr w:type="spellEnd"/>
      <w:r>
        <w:t xml:space="preserve"> and </w:t>
      </w:r>
      <w:proofErr w:type="spellStart"/>
      <w:r>
        <w:t>R240A</w:t>
      </w:r>
      <w:proofErr w:type="spellEnd"/>
      <w:r>
        <w:t>)</w:t>
      </w:r>
    </w:p>
    <w:p w14:paraId="3EDB2CA4" w14:textId="4BA4CA51" w:rsidR="00B54DDD" w:rsidRDefault="00B54DDD" w:rsidP="008A7840">
      <w:pPr>
        <w:spacing w:line="480" w:lineRule="auto"/>
      </w:pPr>
      <w:r>
        <w:t>Supplemental Table 2 (</w:t>
      </w:r>
      <w:proofErr w:type="spellStart"/>
      <w:r>
        <w:t>PCC</w:t>
      </w:r>
      <w:proofErr w:type="spellEnd"/>
      <w:r>
        <w:t xml:space="preserve"> and </w:t>
      </w:r>
      <w:proofErr w:type="spellStart"/>
      <w:r>
        <w:t>SRC</w:t>
      </w:r>
      <w:proofErr w:type="spellEnd"/>
      <w:r>
        <w:t xml:space="preserve"> values</w:t>
      </w:r>
      <w:r>
        <w:t xml:space="preserve">) </w:t>
      </w:r>
    </w:p>
    <w:p w14:paraId="658E1BD5" w14:textId="5DD14672" w:rsidR="00B24FF3" w:rsidRDefault="00B54DDD" w:rsidP="008A7840">
      <w:pPr>
        <w:spacing w:line="480" w:lineRule="auto"/>
      </w:pPr>
      <w:r>
        <w:t>Supplemental</w:t>
      </w:r>
      <w:r>
        <w:t xml:space="preserve"> materials and m</w:t>
      </w:r>
      <w:r>
        <w:t xml:space="preserve">ethods </w:t>
      </w:r>
    </w:p>
    <w:p w14:paraId="6E5A9482" w14:textId="77777777" w:rsidR="00B24FF3" w:rsidRDefault="00B24FF3" w:rsidP="008A7840">
      <w:pPr>
        <w:spacing w:line="480" w:lineRule="auto"/>
      </w:pPr>
    </w:p>
    <w:p w14:paraId="24003923" w14:textId="77777777" w:rsidR="00B24FF3" w:rsidRDefault="00B24FF3" w:rsidP="008A7840">
      <w:pPr>
        <w:spacing w:line="480" w:lineRule="auto"/>
      </w:pPr>
    </w:p>
    <w:p w14:paraId="497B7AC4" w14:textId="7071E425" w:rsidR="00B54DDD" w:rsidRDefault="00B24FF3" w:rsidP="008A7840">
      <w:pPr>
        <w:spacing w:line="480" w:lineRule="auto"/>
      </w:pPr>
      <w:r>
        <w:br w:type="page"/>
      </w:r>
    </w:p>
    <w:p w14:paraId="1F02751E" w14:textId="07890752" w:rsidR="00B54DDD" w:rsidRDefault="00B54DDD" w:rsidP="008A7840">
      <w:pPr>
        <w:spacing w:line="480" w:lineRule="auto"/>
      </w:pPr>
      <w:r w:rsidRPr="00A72E67">
        <w:rPr>
          <w:b/>
        </w:rPr>
        <w:t>Supplementary Table 1: List of 104 computationally designed mutants with their experimentally derived kinetic constants, nonlinear regression analysis, Ki for mutants that displayed substrate inhibition, and total yields</w:t>
      </w:r>
      <w:r>
        <w:t>. The comprehensive list of 104 mutants experimentally designed, built, and assayed</w:t>
      </w:r>
      <w:r w:rsidR="00A72E67">
        <w:t xml:space="preserve"> using the methods below. </w:t>
      </w:r>
    </w:p>
    <w:p w14:paraId="0B8391F2" w14:textId="77777777" w:rsidR="001E5F8E" w:rsidRDefault="001E5F8E" w:rsidP="008A7840">
      <w:pPr>
        <w:spacing w:line="480" w:lineRule="auto"/>
      </w:pPr>
    </w:p>
    <w:p w14:paraId="199BDEEA" w14:textId="77777777" w:rsidR="00775452" w:rsidRDefault="00775452" w:rsidP="00775452">
      <w:pPr>
        <w:rPr>
          <w:rStyle w:val="Strong"/>
          <w:b w:val="0"/>
          <w:sz w:val="28"/>
        </w:rPr>
      </w:pPr>
      <w:r>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5">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6">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7">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8">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9">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0">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1">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3">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4">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5">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6">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7">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18">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Default="001E5F8E" w:rsidP="008A7840">
      <w:pPr>
        <w:spacing w:line="480" w:lineRule="auto"/>
      </w:pPr>
    </w:p>
    <w:p w14:paraId="761A4D3F" w14:textId="77777777" w:rsidR="00B54DDD" w:rsidRDefault="00B54DDD" w:rsidP="008A7840">
      <w:pPr>
        <w:spacing w:line="480" w:lineRule="auto"/>
      </w:pPr>
      <w:r w:rsidRPr="008A7840">
        <w:rPr>
          <w:b/>
        </w:rPr>
        <w:t xml:space="preserve">Supplemental Figure 1: </w:t>
      </w:r>
      <w:proofErr w:type="spellStart"/>
      <w:r w:rsidRPr="008A7840">
        <w:rPr>
          <w:b/>
        </w:rPr>
        <w:t>SDS</w:t>
      </w:r>
      <w:proofErr w:type="spellEnd"/>
      <w:r w:rsidRPr="008A7840">
        <w:rPr>
          <w:b/>
        </w:rPr>
        <w:t>-PAGE gel images for all mutants.</w:t>
      </w:r>
      <w:r>
        <w:t xml:space="preserve"> </w:t>
      </w:r>
      <w:proofErr w:type="spellStart"/>
      <w:r>
        <w:t>SDS</w:t>
      </w:r>
      <w:proofErr w:type="spellEnd"/>
      <w:r>
        <w:t xml:space="preserve">-PAGE gels showing greater than 90% purity for all samples. Protein ladder used was </w:t>
      </w:r>
      <w:proofErr w:type="spellStart"/>
      <w:r>
        <w:t>SeeBlue</w:t>
      </w:r>
      <w:proofErr w:type="spellEnd"/>
      <w:r>
        <w:t xml:space="preserve">® </w:t>
      </w:r>
      <w:proofErr w:type="spellStart"/>
      <w:r>
        <w:t>Plus2</w:t>
      </w:r>
      <w:proofErr w:type="spellEnd"/>
      <w:r>
        <w:t xml:space="preserve"> Pre-stained Protein Standard (Life Technologies). Yields were also confirmed by comparing with visual gel yields.</w:t>
      </w:r>
    </w:p>
    <w:p w14:paraId="1D6F92F9" w14:textId="5C661247" w:rsidR="00285BA9" w:rsidRDefault="00285BA9">
      <w:r>
        <w:br w:type="page"/>
      </w:r>
    </w:p>
    <w:p w14:paraId="52D813FF" w14:textId="77777777" w:rsidR="00285BA9" w:rsidRDefault="00285BA9" w:rsidP="008A7840">
      <w:pPr>
        <w:spacing w:line="480" w:lineRule="auto"/>
      </w:pPr>
    </w:p>
    <w:p w14:paraId="16C3204C" w14:textId="4E556507" w:rsidR="00784E98" w:rsidRDefault="00285BA9" w:rsidP="008A7840">
      <w:pPr>
        <w:spacing w:line="480" w:lineRule="auto"/>
        <w:rPr>
          <w:b/>
        </w:rPr>
      </w:pPr>
      <w:r>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19">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721124F1" w:rsidR="00B54DDD" w:rsidRDefault="00B54DDD" w:rsidP="008A7840">
      <w:pPr>
        <w:spacing w:line="480" w:lineRule="auto"/>
      </w:pPr>
      <w:r w:rsidRPr="008A7840">
        <w:rPr>
          <w:b/>
        </w:rPr>
        <w:t xml:space="preserve">Supplementary Figure 2: </w:t>
      </w:r>
      <w:r w:rsidR="00784E98">
        <w:rPr>
          <w:b/>
        </w:rPr>
        <w:t>M</w:t>
      </w:r>
      <w:r w:rsidRPr="008A7840">
        <w:rPr>
          <w:b/>
        </w:rPr>
        <w:t>odel</w:t>
      </w:r>
      <w:r w:rsidR="00784E98">
        <w:rPr>
          <w:b/>
        </w:rPr>
        <w:t>s</w:t>
      </w:r>
      <w:r w:rsidRPr="008A7840">
        <w:rPr>
          <w:b/>
        </w:rPr>
        <w:t xml:space="preserve"> of the active site</w:t>
      </w:r>
      <w:r w:rsidR="00784E98">
        <w:rPr>
          <w:b/>
        </w:rPr>
        <w:t>s</w:t>
      </w:r>
      <w:r w:rsidRPr="008A7840">
        <w:rPr>
          <w:b/>
        </w:rPr>
        <w:t xml:space="preserve"> </w:t>
      </w:r>
      <w:r w:rsidR="00784E98">
        <w:rPr>
          <w:b/>
        </w:rPr>
        <w:t>of</w:t>
      </w:r>
      <w:r w:rsidRPr="008A7840">
        <w:rPr>
          <w:b/>
        </w:rPr>
        <w:t xml:space="preserve"> </w:t>
      </w:r>
      <w:r w:rsidR="00784E98">
        <w:rPr>
          <w:b/>
        </w:rPr>
        <w:t xml:space="preserve"> mutants </w:t>
      </w:r>
      <w:proofErr w:type="spellStart"/>
      <w:r w:rsidR="00784E98">
        <w:rPr>
          <w:b/>
        </w:rPr>
        <w:t>Q19A</w:t>
      </w:r>
      <w:proofErr w:type="spellEnd"/>
      <w:r w:rsidR="00784E98">
        <w:rPr>
          <w:b/>
        </w:rPr>
        <w:t xml:space="preserve">, </w:t>
      </w:r>
      <w:proofErr w:type="spellStart"/>
      <w:r w:rsidR="00784E98">
        <w:rPr>
          <w:b/>
        </w:rPr>
        <w:t>R240A</w:t>
      </w:r>
      <w:proofErr w:type="spellEnd"/>
      <w:r w:rsidR="00784E98">
        <w:rPr>
          <w:b/>
        </w:rPr>
        <w:t xml:space="preserve">, and </w:t>
      </w:r>
      <w:r w:rsidRPr="008A7840">
        <w:rPr>
          <w:b/>
        </w:rPr>
        <w:t xml:space="preserve">wild type </w:t>
      </w:r>
      <w:r w:rsidR="00784E98">
        <w:rPr>
          <w:b/>
        </w:rPr>
        <w:t xml:space="preserve">BglB. </w:t>
      </w:r>
      <w:r>
        <w:t>The estimated distances and pred</w:t>
      </w:r>
      <w:bookmarkStart w:id="0" w:name="_GoBack"/>
      <w:bookmarkEnd w:id="0"/>
      <w:r>
        <w:t>icted hydrogen bonding between the substrate, </w:t>
      </w:r>
      <w:r w:rsidRPr="00066D88">
        <w:rPr>
          <w:i/>
        </w:rPr>
        <w:t>p</w:t>
      </w:r>
      <w:r>
        <w:t>-</w:t>
      </w:r>
      <w:proofErr w:type="spellStart"/>
      <w:r>
        <w:t>nitrophenyl</w:t>
      </w:r>
      <w:proofErr w:type="spellEnd"/>
      <w:r>
        <w:t>-ß-D-</w:t>
      </w:r>
      <w:proofErr w:type="spellStart"/>
      <w:r>
        <w:t>glucoside</w:t>
      </w:r>
      <w:proofErr w:type="spellEnd"/>
      <w:r>
        <w:t>, and the BglB molecule are indicated by either black or blue dotted lines, the former being non-catalytic and the latter being catalytic bonds. Mutation of the arginine at position 240 to an alanine is predicted to allow for new conformers of the glutamate at position 222 that interact with the substrate. Mutation of the glutamine at position 19 to an alanine removes two hydrogen bonds to the substrate drastically affecting catalytic efficiency.</w:t>
      </w:r>
    </w:p>
    <w:p w14:paraId="271B7F47" w14:textId="77777777" w:rsidR="00B54DDD" w:rsidRDefault="00B54DDD" w:rsidP="008A7840">
      <w:pPr>
        <w:spacing w:line="480" w:lineRule="auto"/>
      </w:pPr>
    </w:p>
    <w:p w14:paraId="2FB80DFE" w14:textId="3F165AC4" w:rsidR="00B54DDD" w:rsidRPr="004D3F1A" w:rsidRDefault="00B54DDD" w:rsidP="008A7840">
      <w:pPr>
        <w:spacing w:line="480" w:lineRule="auto"/>
        <w:rPr>
          <w:b/>
        </w:rPr>
      </w:pPr>
      <w:r w:rsidRPr="008A7840">
        <w:rPr>
          <w:b/>
        </w:rPr>
        <w:t>Materials and methods</w:t>
      </w:r>
    </w:p>
    <w:p w14:paraId="42FD9C38" w14:textId="77777777" w:rsidR="00B54DDD" w:rsidRPr="008A7840" w:rsidRDefault="00B54DDD" w:rsidP="008A7840">
      <w:pPr>
        <w:spacing w:line="480" w:lineRule="auto"/>
        <w:rPr>
          <w:b/>
        </w:rPr>
      </w:pPr>
      <w:r w:rsidRPr="008A7840">
        <w:rPr>
          <w:b/>
        </w:rPr>
        <w:t>Computational modeling and design</w:t>
      </w:r>
    </w:p>
    <w:p w14:paraId="165EED1C" w14:textId="77777777" w:rsidR="00B54DDD" w:rsidRDefault="00B54DDD" w:rsidP="008A7840">
      <w:pPr>
        <w:spacing w:line="480" w:lineRule="auto"/>
      </w:pPr>
      <w:r>
        <w:t xml:space="preserve">Mutants were designed using the computer software </w:t>
      </w:r>
      <w:proofErr w:type="spellStart"/>
      <w:r>
        <w:t>Foldit</w:t>
      </w:r>
      <w:proofErr w:type="spellEnd"/>
      <w:r>
        <w:t xml:space="preserve">, a protein design game based on Rosetta. The program predicts the stability of the mutant enzyme and offers a visual of the new chemical environment, including molecular interactions amongst varying single or double point mutations. Mutants were chosen based on proximity to the active site as well as </w:t>
      </w:r>
      <w:proofErr w:type="spellStart"/>
      <w:r>
        <w:t>Foldit’s</w:t>
      </w:r>
      <w:proofErr w:type="spellEnd"/>
      <w:r>
        <w:t xml:space="preserve"> predicted energy. When designing mutants, if the change increased the energy by less than 5 energy units it was selected for testing. </w:t>
      </w:r>
    </w:p>
    <w:p w14:paraId="2659BE6E" w14:textId="1B455B23" w:rsidR="00B54DDD" w:rsidRDefault="008A7840" w:rsidP="008A7840">
      <w:pPr>
        <w:spacing w:line="480" w:lineRule="auto"/>
      </w:pPr>
      <w:r>
        <w:tab/>
      </w:r>
      <w:r w:rsidR="00B54DDD">
        <w:t>A sequence coding for BglB (</w:t>
      </w:r>
      <w:proofErr w:type="spellStart"/>
      <w:r w:rsidR="00B54DDD">
        <w:t>Uniprot</w:t>
      </w:r>
      <w:proofErr w:type="spellEnd"/>
      <w:r w:rsidR="00B54DDD">
        <w:t xml:space="preserve"> </w:t>
      </w:r>
      <w:proofErr w:type="spellStart"/>
      <w:r w:rsidR="00B54DDD">
        <w:t>P22505</w:t>
      </w:r>
      <w:proofErr w:type="spellEnd"/>
      <w:r w:rsidR="00B54DDD">
        <w:t xml:space="preserve">) was codon-optimized for </w:t>
      </w:r>
      <w:r w:rsidR="00B54DDD" w:rsidRPr="00B6429D">
        <w:rPr>
          <w:i/>
        </w:rPr>
        <w:t>Escherichia coli</w:t>
      </w:r>
      <w:r w:rsidR="00B54DDD">
        <w:t xml:space="preserve"> and manufactured as a DN</w:t>
      </w:r>
      <w:r w:rsidR="00B6429D">
        <w:t xml:space="preserve">A String by Life Technologies. </w:t>
      </w:r>
      <w:r w:rsidR="00B54DDD">
        <w:t xml:space="preserve"> The gene was inserted between </w:t>
      </w:r>
      <w:proofErr w:type="spellStart"/>
      <w:r w:rsidR="00B54DDD">
        <w:t>NdeI</w:t>
      </w:r>
      <w:proofErr w:type="spellEnd"/>
      <w:r w:rsidR="00B54DDD">
        <w:t xml:space="preserve"> and </w:t>
      </w:r>
      <w:proofErr w:type="spellStart"/>
      <w:r w:rsidR="00B54DDD">
        <w:t>XhoI</w:t>
      </w:r>
      <w:proofErr w:type="spellEnd"/>
      <w:r w:rsidR="00B54DDD">
        <w:t xml:space="preserve"> to encode a C-terminal His tag onto the protein s</w:t>
      </w:r>
      <w:r w:rsidR="00B6429D">
        <w:t xml:space="preserve">equence.  Kunkel mutagenesis </w:t>
      </w:r>
      <w:r w:rsidR="00B54DDD">
        <w:t xml:space="preserve">was used to create site-specific mutations, and all plasmids were sequence-verified on the </w:t>
      </w:r>
      <w:proofErr w:type="spellStart"/>
      <w:r w:rsidR="00B54DDD">
        <w:t>Transcriptic</w:t>
      </w:r>
      <w:proofErr w:type="spellEnd"/>
      <w:r w:rsidR="00B54DDD">
        <w:t xml:space="preserve"> cloud platform. </w:t>
      </w:r>
    </w:p>
    <w:p w14:paraId="57F25CDC" w14:textId="6B01A93E" w:rsidR="00B54DDD" w:rsidRDefault="008A7840" w:rsidP="008A7840">
      <w:pPr>
        <w:spacing w:line="480" w:lineRule="auto"/>
      </w:pPr>
      <w:r>
        <w:tab/>
      </w:r>
      <w:r w:rsidR="00B54DDD">
        <w:t xml:space="preserve">20 </w:t>
      </w:r>
      <w:proofErr w:type="spellStart"/>
      <w:r w:rsidR="00B54DDD">
        <w:t>μL</w:t>
      </w:r>
      <w:proofErr w:type="spellEnd"/>
      <w:r w:rsidR="00B54DDD">
        <w:t xml:space="preserve"> of chemically-competent </w:t>
      </w:r>
      <w:r w:rsidR="00B54DDD" w:rsidRPr="00B6429D">
        <w:rPr>
          <w:i/>
        </w:rPr>
        <w:t>Escherichia coli</w:t>
      </w:r>
      <w:r w:rsidR="00B54DDD">
        <w:t xml:space="preserve"> </w:t>
      </w:r>
      <w:proofErr w:type="spellStart"/>
      <w:r w:rsidR="00B54DDD">
        <w:t>BL21</w:t>
      </w:r>
      <w:proofErr w:type="spellEnd"/>
      <w:r w:rsidR="00B54DDD">
        <w:t>(</w:t>
      </w:r>
      <w:proofErr w:type="spellStart"/>
      <w:r w:rsidR="00B54DDD">
        <w:t>DE3</w:t>
      </w:r>
      <w:proofErr w:type="spellEnd"/>
      <w:r w:rsidR="00B54DDD">
        <w:t>) (</w:t>
      </w:r>
      <w:proofErr w:type="spellStart"/>
      <w:r w:rsidR="00B54DDD">
        <w:t>Novagen</w:t>
      </w:r>
      <w:proofErr w:type="spellEnd"/>
      <w:r w:rsidR="00B54DDD">
        <w:t xml:space="preserve">) were transformed on ice with 1 </w:t>
      </w:r>
      <w:proofErr w:type="spellStart"/>
      <w:r w:rsidR="00B54DDD">
        <w:t>μL</w:t>
      </w:r>
      <w:proofErr w:type="spellEnd"/>
      <w:r w:rsidR="00B54DDD">
        <w:t xml:space="preserve"> of plasmid in buffer at a concentration of 130 to 90 </w:t>
      </w:r>
      <w:proofErr w:type="spellStart"/>
      <w:r w:rsidR="00B54DDD">
        <w:t>ng</w:t>
      </w:r>
      <w:proofErr w:type="spellEnd"/>
      <w:r w:rsidR="00B54DDD">
        <w:t>/</w:t>
      </w:r>
      <w:proofErr w:type="spellStart"/>
      <w:r w:rsidR="00B54DDD">
        <w:t>μL</w:t>
      </w:r>
      <w:proofErr w:type="spellEnd"/>
      <w:r w:rsidR="00B54DDD">
        <w:t xml:space="preserve">. </w:t>
      </w:r>
      <w:r w:rsidR="007558FC">
        <w:t>The competent cell-plasmid</w:t>
      </w:r>
      <w:r w:rsidR="00B54DDD">
        <w:t xml:space="preserve"> mixture was temperature shocked to induce plasmid uptake by heating at </w:t>
      </w:r>
      <w:proofErr w:type="spellStart"/>
      <w:r w:rsidR="00B54DDD">
        <w:t>42°C</w:t>
      </w:r>
      <w:proofErr w:type="spellEnd"/>
      <w:r w:rsidR="00B54DDD">
        <w:t xml:space="preserve"> for one minute and then chilling on ice for one minute. Cells were recovered in 200 </w:t>
      </w:r>
      <w:proofErr w:type="spellStart"/>
      <w:r w:rsidR="00B54DDD">
        <w:t>μL</w:t>
      </w:r>
      <w:proofErr w:type="spellEnd"/>
      <w:r w:rsidR="00B54DDD">
        <w:t xml:space="preserve"> Terrific Broth (TB) media at 37 °C for one hour. They were then plated onto an </w:t>
      </w:r>
      <w:proofErr w:type="spellStart"/>
      <w:r w:rsidR="00B54DDD">
        <w:t>LB</w:t>
      </w:r>
      <w:proofErr w:type="spellEnd"/>
      <w:r w:rsidR="00B54DDD">
        <w:t xml:space="preserve"> </w:t>
      </w:r>
      <w:proofErr w:type="spellStart"/>
      <w:r w:rsidR="00B54DDD">
        <w:t>agarose</w:t>
      </w:r>
      <w:proofErr w:type="spellEnd"/>
      <w:r w:rsidR="00B54DDD">
        <w:t xml:space="preserve"> plate containing </w:t>
      </w:r>
      <w:r w:rsidR="000C786A">
        <w:t xml:space="preserve">50 mg/mL </w:t>
      </w:r>
      <w:r w:rsidR="00B54DDD">
        <w:t xml:space="preserve">kanamycin, and incubated for 24 hours at 37 °C. </w:t>
      </w:r>
    </w:p>
    <w:p w14:paraId="66D1B619" w14:textId="75BF9BBF" w:rsidR="00B54DDD" w:rsidRDefault="008A7840" w:rsidP="008A7840">
      <w:pPr>
        <w:spacing w:line="480" w:lineRule="auto"/>
      </w:pPr>
      <w:r>
        <w:tab/>
      </w:r>
      <w:r w:rsidR="00B54DDD">
        <w:t>For each mutant, a 50 mL Falcon tube containing 5 mL TB with 50 mg/mL kanamycin was inoculated with one colony from the plate. Tubes were covered with breathable seals and incubated with shaking for 24 hours at 37 °C.</w:t>
      </w:r>
    </w:p>
    <w:p w14:paraId="0C605C85" w14:textId="4EACF369" w:rsidR="00B54DDD" w:rsidRDefault="008A7840" w:rsidP="008A7840">
      <w:pPr>
        <w:spacing w:line="480" w:lineRule="auto"/>
      </w:pPr>
      <w:r>
        <w:tab/>
      </w:r>
      <w:r w:rsidR="00B54DDD">
        <w:t xml:space="preserve">Growth cultures were pelleted by centrifugation at 4700 RPM for 10 minutes and the supernatant was discarded. The cell pellet was </w:t>
      </w:r>
      <w:proofErr w:type="spellStart"/>
      <w:r w:rsidR="00B54DDD">
        <w:t>resuspended</w:t>
      </w:r>
      <w:proofErr w:type="spellEnd"/>
      <w:r w:rsidR="00B54DDD">
        <w:t xml:space="preserve"> in 5 mL of induction</w:t>
      </w:r>
      <w:r w:rsidR="008909F6">
        <w:t xml:space="preserve"> medium (TB with 1 </w:t>
      </w:r>
      <w:proofErr w:type="spellStart"/>
      <w:r w:rsidR="008909F6">
        <w:t>mM</w:t>
      </w:r>
      <w:proofErr w:type="spellEnd"/>
      <w:r w:rsidR="008909F6">
        <w:t xml:space="preserve"> isopropyl-β-D</w:t>
      </w:r>
      <w:r w:rsidR="00B54DDD">
        <w:t>-</w:t>
      </w:r>
      <w:proofErr w:type="spellStart"/>
      <w:r w:rsidR="00B54DDD">
        <w:t>thiogalactopyranoside</w:t>
      </w:r>
      <w:proofErr w:type="spellEnd"/>
      <w:r w:rsidR="00B54DDD">
        <w:t xml:space="preserve"> and 50 mg/mL kanamycin). The tubes were covered again with breathable seals and incubated with shaking at 18 °C for 24 hours. </w:t>
      </w:r>
    </w:p>
    <w:p w14:paraId="4FB07D33" w14:textId="4639F2C0" w:rsidR="00B54DDD" w:rsidRDefault="008A7840" w:rsidP="008A7840">
      <w:pPr>
        <w:spacing w:line="480" w:lineRule="auto"/>
      </w:pPr>
      <w:r>
        <w:tab/>
      </w:r>
      <w:r w:rsidR="00B54DDD">
        <w:t xml:space="preserve">The 5 mL expression culture was pelleted by centrifugation at 4700 for 10 minutes and the supernatant was discarded. The resulting pellet was suspended in 500 </w:t>
      </w:r>
      <w:proofErr w:type="spellStart"/>
      <w:r w:rsidR="00B54DDD">
        <w:t>μL</w:t>
      </w:r>
      <w:proofErr w:type="spellEnd"/>
      <w:r w:rsidR="00B54DDD">
        <w:t xml:space="preserve"> wash buffer (50 </w:t>
      </w:r>
      <w:proofErr w:type="spellStart"/>
      <w:r w:rsidR="00B54DDD">
        <w:t>mM</w:t>
      </w:r>
      <w:proofErr w:type="spellEnd"/>
      <w:r w:rsidR="00B54DDD">
        <w:t xml:space="preserve"> </w:t>
      </w:r>
      <w:proofErr w:type="spellStart"/>
      <w:r w:rsidR="00B54DDD">
        <w:t>HEPES</w:t>
      </w:r>
      <w:proofErr w:type="spellEnd"/>
      <w:r w:rsidR="00B54DDD">
        <w:t xml:space="preserve">, 150 </w:t>
      </w:r>
      <w:proofErr w:type="spellStart"/>
      <w:r w:rsidR="00B54DDD">
        <w:t>mM</w:t>
      </w:r>
      <w:proofErr w:type="spellEnd"/>
      <w:r w:rsidR="00B54DDD">
        <w:t xml:space="preserve"> sodium chloride, 15 </w:t>
      </w:r>
      <w:proofErr w:type="spellStart"/>
      <w:r w:rsidR="00B54DDD">
        <w:t>mM</w:t>
      </w:r>
      <w:proofErr w:type="spellEnd"/>
      <w:r w:rsidR="00B54DDD">
        <w:t xml:space="preserve"> imidazole, pH 7.50) and lysed with a mixture of </w:t>
      </w:r>
      <w:proofErr w:type="spellStart"/>
      <w:r w:rsidR="00B54DDD">
        <w:t>BugBuster</w:t>
      </w:r>
      <w:proofErr w:type="spellEnd"/>
      <w:r w:rsidR="00644BE1">
        <w:t xml:space="preserve"> protein extraction reagent</w:t>
      </w:r>
      <w:r w:rsidR="00B54DDD">
        <w:t xml:space="preserve"> (Millipore), 1 mg lysozyme, 0.1 mg </w:t>
      </w:r>
      <w:proofErr w:type="spellStart"/>
      <w:r w:rsidR="00B54DDD">
        <w:t>DNase</w:t>
      </w:r>
      <w:proofErr w:type="spellEnd"/>
      <w:r w:rsidR="00B54DDD">
        <w:t xml:space="preserve">, and 0.1 mg </w:t>
      </w:r>
      <w:proofErr w:type="spellStart"/>
      <w:r w:rsidR="00B54DDD">
        <w:t>phenylmethylsulfonyl</w:t>
      </w:r>
      <w:proofErr w:type="spellEnd"/>
      <w:r w:rsidR="00B54DDD">
        <w:t xml:space="preserve"> fluoride. </w:t>
      </w:r>
      <w:r w:rsidR="008909F6">
        <w:t>Cell</w:t>
      </w:r>
      <w:r w:rsidR="00B54DDD">
        <w:t xml:space="preserve"> were lysed for 20 minutes and then centrifuged at 14,700 RPM for ten minutes.</w:t>
      </w:r>
    </w:p>
    <w:p w14:paraId="40BFE8F1" w14:textId="5E79DAD1" w:rsidR="00B54DDD" w:rsidRDefault="008A7840" w:rsidP="008A7840">
      <w:pPr>
        <w:spacing w:line="480" w:lineRule="auto"/>
      </w:pPr>
      <w:r>
        <w:tab/>
      </w:r>
      <w:r w:rsidR="00B54DDD">
        <w:t xml:space="preserve">Protein micro-columns [Bio-Spin Chromatography Columns #732-6008] were prepared over a waste collector with 100 </w:t>
      </w:r>
      <w:proofErr w:type="spellStart"/>
      <w:r w:rsidR="00B54DDD">
        <w:t>μL</w:t>
      </w:r>
      <w:proofErr w:type="spellEnd"/>
      <w:r w:rsidR="00B54DDD">
        <w:t xml:space="preserve"> of 50% nickel resin slurry in each column. The nickel resin was washed with 500 </w:t>
      </w:r>
      <w:proofErr w:type="spellStart"/>
      <w:r w:rsidR="00B54DDD">
        <w:t>μL</w:t>
      </w:r>
      <w:proofErr w:type="spellEnd"/>
      <w:r w:rsidR="00B54DDD">
        <w:t xml:space="preserve"> wash buffer, then two 500 </w:t>
      </w:r>
      <w:proofErr w:type="spellStart"/>
      <w:r w:rsidR="00B54DDD">
        <w:t>μL</w:t>
      </w:r>
      <w:proofErr w:type="spellEnd"/>
      <w:r w:rsidR="00B54DDD">
        <w:t xml:space="preserve"> aliquots of supernatant were added to the columns.  Six rounds of 500 </w:t>
      </w:r>
      <w:proofErr w:type="spellStart"/>
      <w:r w:rsidR="00B54DDD">
        <w:t>μL</w:t>
      </w:r>
      <w:proofErr w:type="spellEnd"/>
      <w:r w:rsidR="00B54DDD">
        <w:t xml:space="preserve"> wash buffer were then allowed to drip through the columns. Resulting protein micro-columns were then transferred to 2 mL tubes for elution. Protein was eluted in </w:t>
      </w:r>
      <w:proofErr w:type="spellStart"/>
      <w:r w:rsidR="00B54DDD">
        <w:t>2x100</w:t>
      </w:r>
      <w:proofErr w:type="spellEnd"/>
      <w:r w:rsidR="00B54DDD">
        <w:t xml:space="preserve"> </w:t>
      </w:r>
      <w:proofErr w:type="spellStart"/>
      <w:r w:rsidR="00B54DDD">
        <w:t>μL</w:t>
      </w:r>
      <w:proofErr w:type="spellEnd"/>
      <w:r w:rsidR="00B54DDD">
        <w:t xml:space="preserve"> elution buffer (50 </w:t>
      </w:r>
      <w:proofErr w:type="spellStart"/>
      <w:r w:rsidR="00B54DDD">
        <w:t>mM</w:t>
      </w:r>
      <w:proofErr w:type="spellEnd"/>
      <w:r w:rsidR="00B54DDD">
        <w:t xml:space="preserve"> </w:t>
      </w:r>
      <w:proofErr w:type="spellStart"/>
      <w:r w:rsidR="00B54DDD">
        <w:t>HEPES</w:t>
      </w:r>
      <w:proofErr w:type="spellEnd"/>
      <w:r w:rsidR="00B54DDD">
        <w:t xml:space="preserve">, 150 </w:t>
      </w:r>
      <w:proofErr w:type="spellStart"/>
      <w:r w:rsidR="00B54DDD">
        <w:t>mM</w:t>
      </w:r>
      <w:proofErr w:type="spellEnd"/>
      <w:r w:rsidR="00B54DDD">
        <w:t xml:space="preserve">  sodium chloride, and 25 </w:t>
      </w:r>
      <w:proofErr w:type="spellStart"/>
      <w:r w:rsidR="00B54DDD">
        <w:t>mM</w:t>
      </w:r>
      <w:proofErr w:type="spellEnd"/>
      <w:r w:rsidR="00B54DDD">
        <w:t xml:space="preserve"> </w:t>
      </w:r>
      <w:proofErr w:type="spellStart"/>
      <w:r w:rsidR="00B54DDD">
        <w:t>EDTA</w:t>
      </w:r>
      <w:proofErr w:type="spellEnd"/>
      <w:r w:rsidR="00B54DDD">
        <w:t xml:space="preserve">, pH 7.50). A brief centrifugation at 4000 RPM ensured all protein was collected. Protein yield was then determined via absorbance at 260 and 280 nm and </w:t>
      </w:r>
      <w:proofErr w:type="spellStart"/>
      <w:r w:rsidR="00B54DDD">
        <w:t>SDS</w:t>
      </w:r>
      <w:proofErr w:type="spellEnd"/>
      <w:r w:rsidR="00B54DDD">
        <w:t>-PAGE.</w:t>
      </w:r>
    </w:p>
    <w:p w14:paraId="2908AF31" w14:textId="55945314" w:rsidR="00B54DDD" w:rsidRDefault="008A7840" w:rsidP="008A7840">
      <w:pPr>
        <w:spacing w:line="480" w:lineRule="auto"/>
      </w:pPr>
      <w:r>
        <w:tab/>
      </w:r>
      <w:r w:rsidR="00B54DDD">
        <w:t xml:space="preserve">Proteins were assayed at 8 substrate concentrations via a four-fold serial dilution of a 100 </w:t>
      </w:r>
      <w:proofErr w:type="spellStart"/>
      <w:r w:rsidR="00B54DDD">
        <w:t>mM</w:t>
      </w:r>
      <w:proofErr w:type="spellEnd"/>
      <w:r w:rsidR="00B54DDD">
        <w:t xml:space="preserve"> substrate stock solution. Protein activity was tested by mixing 90 </w:t>
      </w:r>
      <w:proofErr w:type="spellStart"/>
      <w:r w:rsidR="00B54DDD">
        <w:t>μL</w:t>
      </w:r>
      <w:proofErr w:type="spellEnd"/>
      <w:r w:rsidR="00B54DDD">
        <w:t xml:space="preserve"> substrate stock and 10 </w:t>
      </w:r>
      <w:proofErr w:type="spellStart"/>
      <w:r w:rsidR="00B54DDD">
        <w:t>μL</w:t>
      </w:r>
      <w:proofErr w:type="spellEnd"/>
      <w:r w:rsidR="00B54DDD">
        <w:t xml:space="preserve"> purified protein. Protein solutions that turned yellow within five minutes displayed sufficient catalytic activity to be diluted to 1/100 concentrations. This was performed by combining 990 </w:t>
      </w:r>
      <w:proofErr w:type="spellStart"/>
      <w:r w:rsidR="00B54DDD">
        <w:t>μL</w:t>
      </w:r>
      <w:proofErr w:type="spellEnd"/>
      <w:r w:rsidR="00B54DDD">
        <w:t xml:space="preserve"> elution buffer and 10 </w:t>
      </w:r>
      <w:proofErr w:type="spellStart"/>
      <w:r w:rsidR="00B54DDD">
        <w:t>μL</w:t>
      </w:r>
      <w:proofErr w:type="spellEnd"/>
      <w:r w:rsidR="00B54DDD">
        <w:t xml:space="preserve"> purified protein. Protein solutions that did not turn yellow were converted into 1/10 concentrations by combining 100 </w:t>
      </w:r>
      <w:proofErr w:type="spellStart"/>
      <w:r w:rsidR="00B54DDD">
        <w:t>μL</w:t>
      </w:r>
      <w:proofErr w:type="spellEnd"/>
      <w:r w:rsidR="00B54DDD">
        <w:t xml:space="preserve"> purified protein with 900 </w:t>
      </w:r>
      <w:proofErr w:type="spellStart"/>
      <w:r w:rsidR="00B54DDD">
        <w:t>μL</w:t>
      </w:r>
      <w:proofErr w:type="spellEnd"/>
      <w:r w:rsidR="00B54DDD">
        <w:t xml:space="preserve"> elution buffer.</w:t>
      </w:r>
    </w:p>
    <w:p w14:paraId="1F16C3AC" w14:textId="32E31A6A" w:rsidR="00B54DDD" w:rsidRDefault="008A7840" w:rsidP="008A7840">
      <w:pPr>
        <w:spacing w:line="480" w:lineRule="auto"/>
      </w:pPr>
      <w:r>
        <w:tab/>
      </w:r>
      <w:r w:rsidR="00B54DDD">
        <w:t xml:space="preserve">Diluted protein solution was dispensed in 25 </w:t>
      </w:r>
      <w:proofErr w:type="spellStart"/>
      <w:r w:rsidR="00B54DDD">
        <w:t>μL</w:t>
      </w:r>
      <w:proofErr w:type="spellEnd"/>
      <w:r w:rsidR="00B54DDD">
        <w:t xml:space="preserve"> aliquots into non-binding 96-well white [Corning Costar #07-200-845]. Mutants were assayed in triplets, allowing for four mutants per plate.</w:t>
      </w:r>
      <w:r>
        <w:t xml:space="preserve"> </w:t>
      </w:r>
      <w:r w:rsidR="00B54DDD">
        <w:t xml:space="preserve">150 </w:t>
      </w:r>
      <w:proofErr w:type="spellStart"/>
      <w:r w:rsidR="00B54DDD">
        <w:t>μL</w:t>
      </w:r>
      <w:proofErr w:type="spellEnd"/>
      <w:r w:rsidR="00B54DDD">
        <w:t xml:space="preserve"> substrate stock (100 </w:t>
      </w:r>
      <w:proofErr w:type="spellStart"/>
      <w:r w:rsidR="00B54DDD">
        <w:t>mM</w:t>
      </w:r>
      <w:proofErr w:type="spellEnd"/>
      <w:r w:rsidR="00B54DDD">
        <w:t xml:space="preserve"> 4-</w:t>
      </w:r>
      <w:proofErr w:type="spellStart"/>
      <w:r w:rsidR="00B54DDD">
        <w:t>nitrophenyl</w:t>
      </w:r>
      <w:proofErr w:type="spellEnd"/>
      <w:r w:rsidR="00B54DDD">
        <w:t>-beta-D-</w:t>
      </w:r>
      <w:proofErr w:type="spellStart"/>
      <w:r w:rsidR="00B54DDD">
        <w:t>glucopyranoside</w:t>
      </w:r>
      <w:proofErr w:type="spellEnd"/>
      <w:r w:rsidR="00B54DDD">
        <w:t xml:space="preserve"> in elution buffer) were dispensed into the first row of 96-well </w:t>
      </w:r>
      <w:proofErr w:type="spellStart"/>
      <w:r w:rsidR="00B54DDD">
        <w:t>PCR</w:t>
      </w:r>
      <w:proofErr w:type="spellEnd"/>
      <w:r w:rsidR="00B54DDD">
        <w:t xml:space="preserve"> plate, with 112.5 </w:t>
      </w:r>
      <w:proofErr w:type="spellStart"/>
      <w:r w:rsidR="00B54DDD">
        <w:t>uL</w:t>
      </w:r>
      <w:proofErr w:type="spellEnd"/>
      <w:r w:rsidR="00B54DDD">
        <w:t xml:space="preserve"> protein buffer dispensed into the rest of the rows. 37.5 </w:t>
      </w:r>
      <w:proofErr w:type="spellStart"/>
      <w:r w:rsidR="00B54DDD">
        <w:t>μL</w:t>
      </w:r>
      <w:proofErr w:type="spellEnd"/>
      <w:r w:rsidR="00B54DDD">
        <w:t xml:space="preserve"> of the substrate stock were pipetted from the first row into the second row, then mixed. Serial dilution was repeated for all rows, excluding the last row for a control. The assay was initiated by multi-channel pipetting 75 </w:t>
      </w:r>
      <w:proofErr w:type="spellStart"/>
      <w:r w:rsidR="00B54DDD">
        <w:t>μL</w:t>
      </w:r>
      <w:proofErr w:type="spellEnd"/>
      <w:r w:rsidR="00B54DDD">
        <w:t xml:space="preserve"> substrate from each row of the </w:t>
      </w:r>
      <w:proofErr w:type="spellStart"/>
      <w:r w:rsidR="00B54DDD">
        <w:t>PCR</w:t>
      </w:r>
      <w:proofErr w:type="spellEnd"/>
      <w:r w:rsidR="00B54DDD">
        <w:t xml:space="preserve"> plate into the corresponding rows of the non-binding white plate. The rate was determined by monitoring absorbance of light at 420 nm every 1 min for 60 min. </w:t>
      </w:r>
    </w:p>
    <w:p w14:paraId="39C69C3F" w14:textId="20D62C37" w:rsidR="000F7E50" w:rsidRDefault="000F7E50" w:rsidP="008A7840">
      <w:pPr>
        <w:spacing w:line="480" w:lineRule="auto"/>
      </w:pPr>
      <w:r>
        <w:tab/>
      </w:r>
      <w:r>
        <w:t>Unless otherwise noted, all supplies were purchased from Sigma-Aldrich.</w:t>
      </w:r>
    </w:p>
    <w:p w14:paraId="04A2819C" w14:textId="67A84639" w:rsidR="00B24FF3" w:rsidRPr="00B24FF3" w:rsidRDefault="00B24FF3" w:rsidP="008A7840">
      <w:pPr>
        <w:spacing w:line="480" w:lineRule="auto"/>
      </w:pPr>
    </w:p>
    <w:sectPr w:rsidR="00B24FF3" w:rsidRPr="00B24FF3"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481"/>
    <w:rsid w:val="000122B0"/>
    <w:rsid w:val="00014BDA"/>
    <w:rsid w:val="00066D88"/>
    <w:rsid w:val="00067481"/>
    <w:rsid w:val="000C786A"/>
    <w:rsid w:val="000F7E50"/>
    <w:rsid w:val="001E5F8E"/>
    <w:rsid w:val="00285BA9"/>
    <w:rsid w:val="004D3F1A"/>
    <w:rsid w:val="00515C7C"/>
    <w:rsid w:val="00563F79"/>
    <w:rsid w:val="0056785D"/>
    <w:rsid w:val="005E6F44"/>
    <w:rsid w:val="00644BE1"/>
    <w:rsid w:val="007558FC"/>
    <w:rsid w:val="00775452"/>
    <w:rsid w:val="00784E98"/>
    <w:rsid w:val="008909F6"/>
    <w:rsid w:val="008A7840"/>
    <w:rsid w:val="008D21E1"/>
    <w:rsid w:val="00932105"/>
    <w:rsid w:val="00A72E67"/>
    <w:rsid w:val="00B24FF3"/>
    <w:rsid w:val="00B54DDD"/>
    <w:rsid w:val="00B573B8"/>
    <w:rsid w:val="00B6429D"/>
    <w:rsid w:val="00B93864"/>
    <w:rsid w:val="00F410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1057</Words>
  <Characters>6031</Characters>
  <Application>Microsoft Macintosh Word</Application>
  <DocSecurity>0</DocSecurity>
  <Lines>50</Lines>
  <Paragraphs>14</Paragraphs>
  <ScaleCrop>false</ScaleCrop>
  <Company/>
  <LinksUpToDate>false</LinksUpToDate>
  <CharactersWithSpaces>7074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28</cp:revision>
  <dcterms:created xsi:type="dcterms:W3CDTF">2015-05-11T22:42:00Z</dcterms:created>
  <dcterms:modified xsi:type="dcterms:W3CDTF">2015-05-11T23:01:00Z</dcterms:modified>
</cp:coreProperties>
</file>