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8"/>
          <w:szCs w:val="38"/>
        </w:rPr>
        <w:t xml:space="preserve">ILLOMI</w:t>
      </w:r>
    </w:p>
    <w:p>
      <w:pPr>
        <w:spacing w:after="60"/>
        <w:jc w:val="center"/>
      </w:pPr>
      <w:r>
        <w:rPr>
          <w:b/>
          <w:bCs/>
          <w:sz w:val="26"/>
          <w:szCs w:val="26"/>
        </w:rPr>
        <w:t xml:space="preserve">SERVICE ORDER</w:t>
      </w:r>
    </w:p>
    <w:p>
      <w:pPr>
        <w:spacing w:after="240"/>
        <w:jc w:val="center"/>
      </w:pPr>
      <w:r>
        <w:rPr>
          <w:i/>
          <w:iCs/>
          <w:sz w:val="18"/>
          <w:szCs w:val="18"/>
        </w:rPr>
        <w:t xml:space="preserve">This Service Order incorporates the Terms &amp; Conditions attached. Together they form one agreement.</w:t>
      </w:r>
    </w:p>
    <w:p>
      <w:pPr>
        <w:pStyle w:val="Heading2"/>
        <w:spacing w:after="55" w:before="120"/>
      </w:pPr>
      <w:r>
        <w:rPr>
          <w:b/>
          <w:bCs/>
          <w:sz w:val="22"/>
          <w:szCs w:val="22"/>
        </w:rPr>
        <w:t xml:space="preserve">1. Parties</w:t>
      </w:r>
    </w:p>
    <w:p>
      <w:pPr>
        <w:spacing w:after="28" w:line="224"/>
      </w:pPr>
      <w:r>
        <w:rPr>
          <w:sz w:val="21"/>
          <w:szCs w:val="21"/>
        </w:rPr>
        <w:t xml:space="preserve">Provider: </w:t>
      </w:r>
      <w:r>
        <w:rPr>
          <w:b/>
          <w:bCs/>
          <w:sz w:val="21"/>
          <w:szCs w:val="21"/>
        </w:rPr>
        <w:t xml:space="preserve">Illomi</w:t>
      </w:r>
      <w:r>
        <w:rPr>
          <w:sz w:val="21"/>
          <w:szCs w:val="21"/>
        </w:rPr>
        <w:t xml:space="preserve">   •   Email: hello@illomi.com   •   Address: ______________</w:t>
      </w:r>
    </w:p>
    <w:p>
      <w:pPr>
        <w:spacing w:after="28" w:line="224"/>
      </w:pPr>
      <w:r>
        <w:rPr>
          <w:sz w:val="21"/>
          <w:szCs w:val="21"/>
        </w:rPr>
        <w:t xml:space="preserve">Client (legal business name): ______________________________</w:t>
      </w:r>
    </w:p>
    <w:p>
      <w:pPr>
        <w:spacing w:after="28" w:line="224"/>
      </w:pPr>
      <w:r>
        <w:rPr>
          <w:sz w:val="21"/>
          <w:szCs w:val="21"/>
        </w:rPr>
        <w:t xml:space="preserve">Client contact name: ______________     Title: ______________</w:t>
      </w:r>
    </w:p>
    <w:p>
      <w:pPr>
        <w:spacing w:after="28" w:line="224"/>
      </w:pPr>
      <w:r>
        <w:rPr>
          <w:sz w:val="21"/>
          <w:szCs w:val="21"/>
        </w:rPr>
        <w:t xml:space="preserve">Client address: ______________________________</w:t>
      </w:r>
    </w:p>
    <w:p>
      <w:pPr>
        <w:spacing w:after="28" w:line="224"/>
      </w:pPr>
      <w:r>
        <w:rPr>
          <w:sz w:val="21"/>
          <w:szCs w:val="21"/>
        </w:rPr>
        <w:t xml:space="preserve">Client email (for notices): ______________     Phone: ______________</w:t>
      </w:r>
    </w:p>
    <w:p>
      <w:pPr>
        <w:pStyle w:val="Heading2"/>
        <w:spacing w:after="55" w:before="120"/>
      </w:pPr>
      <w:r>
        <w:rPr>
          <w:b/>
          <w:bCs/>
          <w:sz w:val="22"/>
          <w:szCs w:val="22"/>
        </w:rPr>
        <w:t xml:space="preserve">2. Plan Selected</w:t>
      </w:r>
    </w:p>
    <w:p>
      <w:pPr>
        <w:spacing w:after="28" w:line="224"/>
      </w:pPr>
      <w:r>
        <w:rPr>
          <w:sz w:val="26"/>
          <w:szCs w:val="26"/>
        </w:rPr>
        <w:t xml:space="preserve">☐   </w:t>
      </w:r>
      <w:r>
        <w:rPr>
          <w:b/>
          <w:bCs/>
          <w:sz w:val="21"/>
          <w:szCs w:val="21"/>
        </w:rPr>
        <w:t xml:space="preserve">Starter</w:t>
      </w:r>
      <w:r>
        <w:rPr>
          <w:sz w:val="21"/>
          <w:szCs w:val="21"/>
        </w:rPr>
        <w:t xml:space="preserve"> — One page. Two content edits per month.     $______________ / month</w:t>
      </w:r>
    </w:p>
    <w:p>
      <w:pPr>
        <w:spacing w:after="28" w:line="224"/>
      </w:pPr>
      <w:r>
        <w:rPr>
          <w:sz w:val="26"/>
          <w:szCs w:val="26"/>
        </w:rPr>
        <w:t xml:space="preserve">☐   </w:t>
      </w:r>
      <w:r>
        <w:rPr>
          <w:b/>
          <w:bCs/>
          <w:sz w:val="21"/>
          <w:szCs w:val="21"/>
        </w:rPr>
        <w:t xml:space="preserve">Studio</w:t>
      </w:r>
      <w:r>
        <w:rPr>
          <w:sz w:val="21"/>
          <w:szCs w:val="21"/>
        </w:rPr>
        <w:t xml:space="preserve"> — Up to five pages. Ten content edits per month.     $______________ / month</w:t>
      </w:r>
    </w:p>
    <w:p>
      <w:pPr>
        <w:spacing w:after="28" w:line="224"/>
      </w:pPr>
      <w:r>
        <w:rPr>
          <w:sz w:val="26"/>
          <w:szCs w:val="26"/>
        </w:rPr>
        <w:t xml:space="preserve">☐   </w:t>
      </w:r>
      <w:r>
        <w:rPr>
          <w:b/>
          <w:bCs/>
          <w:sz w:val="21"/>
          <w:szCs w:val="21"/>
        </w:rPr>
        <w:t xml:space="preserve">Full</w:t>
      </w:r>
      <w:r>
        <w:rPr>
          <w:sz w:val="21"/>
          <w:szCs w:val="21"/>
        </w:rPr>
        <w:t xml:space="preserve"> — Up to ten pages. Twenty content edits per month.     $______________ / month</w:t>
      </w:r>
    </w:p>
    <w:p>
      <w:pPr>
        <w:spacing w:after="28" w:line="224"/>
      </w:pPr>
      <w:r>
        <w:rPr>
          <w:sz w:val="26"/>
          <w:szCs w:val="26"/>
        </w:rPr>
        <w:t xml:space="preserve">☐   </w:t>
      </w:r>
      <w:r>
        <w:rPr>
          <w:b/>
          <w:bCs/>
          <w:sz w:val="21"/>
          <w:szCs w:val="21"/>
        </w:rPr>
        <w:t xml:space="preserve">Partner</w:t>
      </w:r>
      <w:r>
        <w:rPr>
          <w:sz w:val="21"/>
          <w:szCs w:val="21"/>
        </w:rPr>
        <w:t xml:space="preserve"> — Unlimited pages and edits. Same-day turnaround.     $______________ / month</w:t>
      </w:r>
    </w:p>
    <w:p>
      <w:pPr>
        <w:spacing w:after="28" w:line="224"/>
      </w:pPr>
      <w:r>
        <w:rPr>
          <w:sz w:val="26"/>
          <w:szCs w:val="26"/>
        </w:rPr>
        <w:t xml:space="preserve">☐   </w:t>
      </w:r>
      <w:r>
        <w:rPr>
          <w:b/>
          <w:bCs/>
          <w:sz w:val="21"/>
          <w:szCs w:val="21"/>
        </w:rPr>
        <w:t xml:space="preserve">Add-on: Google Business Profile Management</w:t>
      </w:r>
      <w:r>
        <w:rPr>
          <w:sz w:val="21"/>
          <w:szCs w:val="21"/>
        </w:rPr>
        <w:t xml:space="preserve">     $______________ / month</w:t>
      </w:r>
    </w:p>
    <w:p>
      <w:pPr>
        <w:pStyle w:val="Heading2"/>
        <w:spacing w:after="55" w:before="120"/>
      </w:pPr>
      <w:r>
        <w:rPr>
          <w:b/>
          <w:bCs/>
          <w:sz w:val="22"/>
          <w:szCs w:val="22"/>
        </w:rPr>
        <w:t xml:space="preserve">3. Fees and Dates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5440"/>
      </w:tblGrid>
      <w:tr>
        <w:tc>
          <w:tcPr>
            <w:tcW w:type="dxa" w:w="4400"/>
            <w:tcMar>
              <w:top w:type="dxa" w:w="40"/>
              <w:left w:type="dxa" w:w="100"/>
              <w:bottom w:type="dxa" w:w="40"/>
              <w:right w:type="dxa" w:w="100"/>
            </w:tcMar>
          </w:tcPr>
          <w:p>
            <w:pPr>
              <w:spacing w:after="0"/>
            </w:pPr>
            <w:r>
              <w:rPr>
                <w:b/>
                <w:bCs/>
                <w:sz w:val="21"/>
                <w:szCs w:val="21"/>
              </w:rPr>
              <w:t xml:space="preserve">Total Monthly Fee</w:t>
            </w:r>
          </w:p>
        </w:tc>
        <w:tc>
          <w:tcPr>
            <w:tcW w:type="dxa" w:w="5440"/>
            <w:tcMar>
              <w:top w:type="dxa" w:w="40"/>
              <w:left w:type="dxa" w:w="100"/>
              <w:bottom w:type="dxa" w:w="40"/>
              <w:right w:type="dxa" w:w="100"/>
            </w:tcMar>
          </w:tcPr>
          <w:p>
            <w:pPr>
              <w:spacing w:after="0"/>
            </w:pPr>
            <w:r>
              <w:rPr>
                <w:sz w:val="21"/>
                <w:szCs w:val="21"/>
              </w:rPr>
              <w:t xml:space="preserve">$______________ per month</w:t>
            </w:r>
          </w:p>
        </w:tc>
      </w:tr>
      <w:tr>
        <w:tc>
          <w:tcPr>
            <w:tcW w:type="dxa" w:w="4400"/>
            <w:tcMar>
              <w:top w:type="dxa" w:w="40"/>
              <w:left w:type="dxa" w:w="100"/>
              <w:bottom w:type="dxa" w:w="40"/>
              <w:right w:type="dxa" w:w="100"/>
            </w:tcMar>
          </w:tcPr>
          <w:p>
            <w:pPr>
              <w:spacing w:after="0"/>
            </w:pPr>
            <w:r>
              <w:rPr>
                <w:b/>
                <w:bCs/>
                <w:sz w:val="21"/>
                <w:szCs w:val="21"/>
              </w:rPr>
              <w:t xml:space="preserve">One-time build fee (if any)</w:t>
            </w:r>
          </w:p>
        </w:tc>
        <w:tc>
          <w:tcPr>
            <w:tcW w:type="dxa" w:w="5440"/>
            <w:tcMar>
              <w:top w:type="dxa" w:w="40"/>
              <w:left w:type="dxa" w:w="100"/>
              <w:bottom w:type="dxa" w:w="40"/>
              <w:right w:type="dxa" w:w="100"/>
            </w:tcMar>
          </w:tcPr>
          <w:p>
            <w:pPr>
              <w:spacing w:after="0"/>
            </w:pPr>
            <w:r>
              <w:rPr>
                <w:sz w:val="21"/>
                <w:szCs w:val="21"/>
              </w:rPr>
              <w:t xml:space="preserve">$______________, due before work begins</w:t>
            </w:r>
          </w:p>
        </w:tc>
      </w:tr>
      <w:tr>
        <w:tc>
          <w:tcPr>
            <w:tcW w:type="dxa" w:w="4400"/>
            <w:tcMar>
              <w:top w:type="dxa" w:w="40"/>
              <w:left w:type="dxa" w:w="100"/>
              <w:bottom w:type="dxa" w:w="40"/>
              <w:right w:type="dxa" w:w="100"/>
            </w:tcMar>
          </w:tcPr>
          <w:p>
            <w:pPr>
              <w:spacing w:after="0"/>
            </w:pPr>
            <w:r>
              <w:rPr>
                <w:b/>
                <w:bCs/>
                <w:sz w:val="21"/>
                <w:szCs w:val="21"/>
              </w:rPr>
              <w:t xml:space="preserve">Effective Date</w:t>
            </w:r>
          </w:p>
        </w:tc>
        <w:tc>
          <w:tcPr>
            <w:tcW w:type="dxa" w:w="5440"/>
            <w:tcMar>
              <w:top w:type="dxa" w:w="40"/>
              <w:left w:type="dxa" w:w="100"/>
              <w:bottom w:type="dxa" w:w="40"/>
              <w:right w:type="dxa" w:w="100"/>
            </w:tcMar>
          </w:tcPr>
          <w:p>
            <w:pPr>
              <w:spacing w:after="0"/>
            </w:pPr>
            <w:r>
              <w:rPr>
                <w:sz w:val="21"/>
                <w:szCs w:val="21"/>
              </w:rPr>
              <w:t xml:space="preserve">______________</w:t>
            </w:r>
          </w:p>
        </w:tc>
      </w:tr>
      <w:tr>
        <w:tc>
          <w:tcPr>
            <w:tcW w:type="dxa" w:w="4400"/>
            <w:tcMar>
              <w:top w:type="dxa" w:w="40"/>
              <w:left w:type="dxa" w:w="100"/>
              <w:bottom w:type="dxa" w:w="40"/>
              <w:right w:type="dxa" w:w="100"/>
            </w:tcMar>
          </w:tcPr>
          <w:p>
            <w:pPr>
              <w:spacing w:after="0"/>
            </w:pPr>
            <w:r>
              <w:rPr>
                <w:b/>
                <w:bCs/>
                <w:sz w:val="21"/>
                <w:szCs w:val="21"/>
              </w:rPr>
              <w:t xml:space="preserve">Billing Start Date</w:t>
            </w:r>
          </w:p>
        </w:tc>
        <w:tc>
          <w:tcPr>
            <w:tcW w:type="dxa" w:w="5440"/>
            <w:tcMar>
              <w:top w:type="dxa" w:w="40"/>
              <w:left w:type="dxa" w:w="100"/>
              <w:bottom w:type="dxa" w:w="40"/>
              <w:right w:type="dxa" w:w="100"/>
            </w:tcMar>
          </w:tcPr>
          <w:p>
            <w:pPr>
              <w:spacing w:after="0"/>
            </w:pPr>
            <w:r>
              <w:rPr>
                <w:sz w:val="21"/>
                <w:szCs w:val="21"/>
              </w:rPr>
              <w:t xml:space="preserve">The Effective Date — not tied to launch (Terms § 3)</w:t>
            </w:r>
          </w:p>
        </w:tc>
      </w:tr>
      <w:tr>
        <w:tc>
          <w:tcPr>
            <w:tcW w:type="dxa" w:w="4400"/>
            <w:tcMar>
              <w:top w:type="dxa" w:w="40"/>
              <w:left w:type="dxa" w:w="100"/>
              <w:bottom w:type="dxa" w:w="40"/>
              <w:right w:type="dxa" w:w="100"/>
            </w:tcMar>
          </w:tcPr>
          <w:p>
            <w:pPr>
              <w:spacing w:after="0"/>
            </w:pPr>
            <w:r>
              <w:rPr>
                <w:b/>
                <w:bCs/>
                <w:sz w:val="21"/>
                <w:szCs w:val="21"/>
              </w:rPr>
              <w:t xml:space="preserve">Initial Term</w:t>
            </w:r>
          </w:p>
        </w:tc>
        <w:tc>
          <w:tcPr>
            <w:tcW w:type="dxa" w:w="5440"/>
            <w:tcMar>
              <w:top w:type="dxa" w:w="40"/>
              <w:left w:type="dxa" w:w="100"/>
              <w:bottom w:type="dxa" w:w="40"/>
              <w:right w:type="dxa" w:w="100"/>
            </w:tcMar>
          </w:tcPr>
          <w:p>
            <w:pPr>
              <w:spacing w:after="0"/>
            </w:pPr>
            <w:r>
              <w:rPr>
                <w:sz w:val="21"/>
                <w:szCs w:val="21"/>
              </w:rPr>
              <w:t xml:space="preserve">Thirty-six (36) months from the Effective Date</w:t>
            </w:r>
          </w:p>
        </w:tc>
      </w:tr>
      <w:tr>
        <w:tc>
          <w:tcPr>
            <w:tcW w:type="dxa" w:w="4400"/>
            <w:tcMar>
              <w:top w:type="dxa" w:w="40"/>
              <w:left w:type="dxa" w:w="100"/>
              <w:bottom w:type="dxa" w:w="40"/>
              <w:right w:type="dxa" w:w="100"/>
            </w:tcMar>
          </w:tcPr>
          <w:p>
            <w:pPr>
              <w:spacing w:after="0"/>
            </w:pPr>
            <w:r>
              <w:rPr>
                <w:b/>
                <w:bCs/>
                <w:sz w:val="21"/>
                <w:szCs w:val="21"/>
              </w:rPr>
              <w:t xml:space="preserve">Holdover increase</w:t>
            </w:r>
          </w:p>
        </w:tc>
        <w:tc>
          <w:tcPr>
            <w:tcW w:type="dxa" w:w="5440"/>
            <w:tcMar>
              <w:top w:type="dxa" w:w="40"/>
              <w:left w:type="dxa" w:w="100"/>
              <w:bottom w:type="dxa" w:w="40"/>
              <w:right w:type="dxa" w:w="100"/>
            </w:tcMar>
          </w:tcPr>
          <w:p>
            <w:pPr>
              <w:spacing w:after="0"/>
            </w:pPr>
            <w:r>
              <w:rPr>
                <w:sz w:val="21"/>
                <w:szCs w:val="21"/>
              </w:rPr>
              <w:t xml:space="preserve">10% above the then-current Monthly Fee (Terms § 5)</w:t>
            </w:r>
          </w:p>
        </w:tc>
      </w:tr>
      <w:tr>
        <w:tc>
          <w:tcPr>
            <w:tcW w:type="dxa" w:w="4400"/>
            <w:tcMar>
              <w:top w:type="dxa" w:w="40"/>
              <w:left w:type="dxa" w:w="100"/>
              <w:bottom w:type="dxa" w:w="40"/>
              <w:right w:type="dxa" w:w="100"/>
            </w:tcMar>
          </w:tcPr>
          <w:p>
            <w:pPr>
              <w:spacing w:after="0"/>
            </w:pPr>
            <w:r>
              <w:rPr>
                <w:b/>
                <w:bCs/>
                <w:sz w:val="21"/>
                <w:szCs w:val="21"/>
              </w:rPr>
              <w:t xml:space="preserve">Early Termination Fee</w:t>
            </w:r>
          </w:p>
        </w:tc>
        <w:tc>
          <w:tcPr>
            <w:tcW w:type="dxa" w:w="5440"/>
            <w:tcMar>
              <w:top w:type="dxa" w:w="40"/>
              <w:left w:type="dxa" w:w="100"/>
              <w:bottom w:type="dxa" w:w="40"/>
              <w:right w:type="dxa" w:w="100"/>
            </w:tcMar>
          </w:tcPr>
          <w:p>
            <w:pPr>
              <w:spacing w:after="0"/>
            </w:pPr>
            <w:r>
              <w:rPr>
                <w:sz w:val="21"/>
                <w:szCs w:val="21"/>
              </w:rPr>
              <w:t xml:space="preserve">Four (4) times the then-current Monthly Fee (Terms § 9)</w:t>
            </w:r>
          </w:p>
        </w:tc>
      </w:tr>
      <w:tr>
        <w:tc>
          <w:tcPr>
            <w:tcW w:type="dxa" w:w="4400"/>
            <w:tcMar>
              <w:top w:type="dxa" w:w="40"/>
              <w:left w:type="dxa" w:w="100"/>
              <w:bottom w:type="dxa" w:w="40"/>
              <w:right w:type="dxa" w:w="100"/>
            </w:tcMar>
          </w:tcPr>
          <w:p>
            <w:pPr>
              <w:spacing w:after="0"/>
            </w:pPr>
            <w:r>
              <w:rPr>
                <w:b/>
                <w:bCs/>
                <w:sz w:val="21"/>
                <w:szCs w:val="21"/>
              </w:rPr>
              <w:t xml:space="preserve">Out-of-scope hourly rate</w:t>
            </w:r>
          </w:p>
        </w:tc>
        <w:tc>
          <w:tcPr>
            <w:tcW w:type="dxa" w:w="5440"/>
            <w:tcMar>
              <w:top w:type="dxa" w:w="40"/>
              <w:left w:type="dxa" w:w="100"/>
              <w:bottom w:type="dxa" w:w="40"/>
              <w:right w:type="dxa" w:w="100"/>
            </w:tcMar>
          </w:tcPr>
          <w:p>
            <w:pPr>
              <w:spacing w:after="0"/>
            </w:pPr>
            <w:r>
              <w:rPr>
                <w:sz w:val="21"/>
                <w:szCs w:val="21"/>
              </w:rPr>
              <w:t xml:space="preserve">$______________ per hour  •  Rush (under 48 hrs): 1.5×</w:t>
            </w:r>
          </w:p>
        </w:tc>
      </w:tr>
      <w:tr>
        <w:tc>
          <w:tcPr>
            <w:tcW w:type="dxa" w:w="4400"/>
            <w:tcMar>
              <w:top w:type="dxa" w:w="40"/>
              <w:left w:type="dxa" w:w="100"/>
              <w:bottom w:type="dxa" w:w="40"/>
              <w:right w:type="dxa" w:w="100"/>
            </w:tcMar>
          </w:tcPr>
          <w:p>
            <w:pPr>
              <w:spacing w:after="0"/>
            </w:pPr>
            <w:r>
              <w:rPr>
                <w:b/>
                <w:bCs/>
                <w:sz w:val="21"/>
                <w:szCs w:val="21"/>
              </w:rPr>
              <w:t xml:space="preserve">Target launch window</w:t>
            </w:r>
          </w:p>
        </w:tc>
        <w:tc>
          <w:tcPr>
            <w:tcW w:type="dxa" w:w="5440"/>
            <w:tcMar>
              <w:top w:type="dxa" w:w="40"/>
              <w:left w:type="dxa" w:w="100"/>
              <w:bottom w:type="dxa" w:w="40"/>
              <w:right w:type="dxa" w:w="100"/>
            </w:tcMar>
          </w:tcPr>
          <w:p>
            <w:pPr>
              <w:spacing w:after="0"/>
            </w:pPr>
            <w:r>
              <w:rPr>
                <w:sz w:val="21"/>
                <w:szCs w:val="21"/>
              </w:rPr>
              <w:t xml:space="preserve">______________ weeks from receipt of Client's content</w:t>
            </w:r>
          </w:p>
        </w:tc>
      </w:tr>
    </w:tbl>
    <w:p>
      <w:pPr>
        <w:pStyle w:val="Heading2"/>
        <w:spacing w:after="55" w:before="120"/>
      </w:pPr>
      <w:r>
        <w:rPr>
          <w:b/>
          <w:bCs/>
          <w:sz w:val="22"/>
          <w:szCs w:val="22"/>
        </w:rPr>
        <w:t xml:space="preserve">4. Payment Method Authorization</w:t>
      </w:r>
    </w:p>
    <w:p>
      <w:pPr>
        <w:spacing w:after="28" w:line="224"/>
      </w:pPr>
      <w:r>
        <w:rPr>
          <w:sz w:val="21"/>
          <w:szCs w:val="21"/>
        </w:rPr>
        <w:t xml:space="preserve">Client authorizes Provider to automatically charge the payment method on file for the Monthly Fee and any other amounts due under this Agreement, on each billing date, until this Agreement ends and all amounts are paid.</w:t>
      </w:r>
    </w:p>
    <w:p>
      <w:pPr>
        <w:spacing w:after="28" w:line="224"/>
      </w:pPr>
      <w:r>
        <w:rPr>
          <w:sz w:val="21"/>
          <w:szCs w:val="21"/>
        </w:rPr>
        <w:t xml:space="preserve">☐  Card on file      ☐  ACH / bank draft      ☐  Invoice (net 10)     Last 4 digits / account ref: ______________</w:t>
      </w:r>
    </w:p>
    <w:p>
      <w:pPr>
        <w:pStyle w:val="Heading2"/>
        <w:spacing w:after="55" w:before="120"/>
      </w:pPr>
      <w:r>
        <w:rPr>
          <w:b/>
          <w:bCs/>
          <w:sz w:val="22"/>
          <w:szCs w:val="22"/>
        </w:rPr>
        <w:t xml:space="preserve">5. Personal Guarantee (optional)</w:t>
      </w:r>
    </w:p>
    <w:p>
      <w:pPr>
        <w:spacing w:after="28" w:line="224"/>
      </w:pPr>
      <w:r>
        <w:rPr>
          <w:sz w:val="26"/>
          <w:szCs w:val="26"/>
        </w:rPr>
        <w:t xml:space="preserve">☐  </w:t>
      </w:r>
      <w:r>
        <w:rPr>
          <w:b/>
          <w:bCs/>
          <w:sz w:val="21"/>
          <w:szCs w:val="21"/>
        </w:rPr>
        <w:t xml:space="preserve">If checked and signed below</w:t>
      </w:r>
      <w:r>
        <w:rPr>
          <w:sz w:val="21"/>
          <w:szCs w:val="21"/>
        </w:rPr>
        <w:t xml:space="preserve">, in consideration of Provider entering into this Agreement, the individual signing below unconditionally guarantees payment of all amounts Client owes under it, waives notice of default, and agrees this guarantee continues until those amounts are paid. If unchecked, no personal guarantee applies.</w:t>
      </w:r>
    </w:p>
    <w:p>
      <w:pPr>
        <w:spacing w:after="28" w:line="224"/>
      </w:pPr>
      <w:r>
        <w:rPr>
          <w:sz w:val="21"/>
          <w:szCs w:val="21"/>
        </w:rPr>
        <w:t xml:space="preserve">Guarantor signature: ______________________     Printed name: ______________________     Date: ______________</w:t>
      </w:r>
    </w:p>
    <w:p>
      <w:pPr>
        <w:pStyle w:val="Heading2"/>
        <w:spacing w:after="55" w:before="120"/>
      </w:pPr>
      <w:r>
        <w:rPr>
          <w:b/>
          <w:bCs/>
          <w:sz w:val="22"/>
          <w:szCs w:val="22"/>
        </w:rPr>
        <w:t xml:space="preserve">6. Signatures</w:t>
      </w:r>
    </w:p>
    <w:p>
      <w:pPr>
        <w:spacing w:after="28" w:line="224"/>
      </w:pPr>
      <w:r>
        <w:rPr>
          <w:sz w:val="21"/>
          <w:szCs w:val="21"/>
        </w:rPr>
        <w:t xml:space="preserve">By signing, each Party agrees to this Service Order and the attached Terms &amp; Conditions. Electronic signatures and counterparts are valid and binding.</w:t>
      </w:r>
    </w:p>
    <w:tbl>
      <w:tblPr>
        <w:tblW w:type="dxa" w:w="9840"/>
        <w:tblBorders>
          <w:top w:val="none"/>
          <w:left w:val="none"/>
          <w:bottom w:val="none"/>
          <w:right w:val="none"/>
          <w:insideH w:val="none"/>
          <w:insideV w:val="none"/>
        </w:tblBorders>
      </w:tblPr>
      <w:tblGrid>
        <w:gridCol w:w="4920"/>
        <w:gridCol w:w="4920"/>
      </w:tblGrid>
      <w:tr>
        <w:tc>
          <w:tcPr>
            <w:tcW w:type="dxa" w:w="4920"/>
          </w:tcPr>
          <w:p>
            <w:pPr>
              <w:spacing w:after="28" w:line="224"/>
            </w:pPr>
            <w:r>
              <w:rPr>
                <w:b/>
                <w:bCs/>
                <w:sz w:val="21"/>
                <w:szCs w:val="21"/>
              </w:rPr>
              <w:t xml:space="preserve">PROVIDER — ILLOMI</w:t>
            </w:r>
          </w:p>
          <w:p>
            <w:pPr>
              <w:spacing w:after="28" w:line="224"/>
            </w:pPr>
            <w:r>
              <w:rPr>
                <w:sz w:val="21"/>
                <w:szCs w:val="21"/>
              </w:rPr>
              <w:t xml:space="preserve">Signature: ______________________</w:t>
            </w:r>
          </w:p>
          <w:p>
            <w:pPr>
              <w:spacing w:after="28" w:line="224"/>
            </w:pPr>
            <w:r>
              <w:rPr>
                <w:sz w:val="21"/>
                <w:szCs w:val="21"/>
              </w:rPr>
              <w:t xml:space="preserve">Name: ______________________</w:t>
            </w:r>
          </w:p>
          <w:p>
            <w:pPr>
              <w:spacing w:after="28" w:line="224"/>
            </w:pPr>
            <w:r>
              <w:rPr>
                <w:sz w:val="21"/>
                <w:szCs w:val="21"/>
              </w:rPr>
              <w:t xml:space="preserve">Title: ______________________</w:t>
            </w:r>
          </w:p>
          <w:p>
            <w:pPr>
              <w:spacing w:after="28" w:line="224"/>
            </w:pPr>
            <w:r>
              <w:rPr>
                <w:sz w:val="21"/>
                <w:szCs w:val="21"/>
              </w:rPr>
              <w:t xml:space="preserve">Date: ______________</w:t>
            </w:r>
          </w:p>
        </w:tc>
        <w:tc>
          <w:tcPr>
            <w:tcW w:type="dxa" w:w="4920"/>
          </w:tcPr>
          <w:p>
            <w:pPr>
              <w:spacing w:after="28" w:line="224"/>
            </w:pPr>
            <w:r>
              <w:rPr>
                <w:b/>
                <w:bCs/>
                <w:sz w:val="21"/>
                <w:szCs w:val="21"/>
              </w:rPr>
              <w:t xml:space="preserve">CLIENT</w:t>
            </w:r>
          </w:p>
          <w:p>
            <w:pPr>
              <w:spacing w:after="28" w:line="224"/>
            </w:pPr>
            <w:r>
              <w:rPr>
                <w:sz w:val="21"/>
                <w:szCs w:val="21"/>
              </w:rPr>
              <w:t xml:space="preserve">Signature: ______________________</w:t>
            </w:r>
          </w:p>
          <w:p>
            <w:pPr>
              <w:spacing w:after="28" w:line="224"/>
            </w:pPr>
            <w:r>
              <w:rPr>
                <w:sz w:val="21"/>
                <w:szCs w:val="21"/>
              </w:rPr>
              <w:t xml:space="preserve">Name: ______________________</w:t>
            </w:r>
          </w:p>
          <w:p>
            <w:pPr>
              <w:spacing w:after="28" w:line="224"/>
            </w:pPr>
            <w:r>
              <w:rPr>
                <w:sz w:val="21"/>
                <w:szCs w:val="21"/>
              </w:rPr>
              <w:t xml:space="preserve">Title: ______________________</w:t>
            </w:r>
          </w:p>
          <w:p>
            <w:pPr>
              <w:spacing w:after="28" w:line="224"/>
            </w:pPr>
            <w:r>
              <w:rPr>
                <w:sz w:val="21"/>
                <w:szCs w:val="21"/>
              </w:rPr>
              <w:t xml:space="preserve">Date: ______________</w:t>
            </w:r>
          </w:p>
        </w:tc>
      </w:tr>
    </w:tbl>
    <w:p>
      <w:r>
        <w:br w:type="page"/>
      </w:r>
    </w:p>
    <w:p>
      <w:pPr>
        <w:spacing w:after="200"/>
        <w:jc w:val="center"/>
      </w:pPr>
      <w:r>
        <w:rPr>
          <w:b/>
          <w:bCs/>
          <w:sz w:val="26"/>
          <w:szCs w:val="26"/>
        </w:rPr>
        <w:t xml:space="preserve">TERMS &amp; CONDITIONS</w:t>
      </w:r>
    </w:p>
    <w:p>
      <w:pPr>
        <w:spacing w:after="120" w:line="276"/>
      </w:pPr>
      <w:r>
        <w:rPr>
          <w:b/>
          <w:bCs/>
          <w:sz w:val="21"/>
          <w:szCs w:val="21"/>
        </w:rPr>
        <w:t xml:space="preserve">Definitions. </w:t>
      </w:r>
      <w:r>
        <w:rPr>
          <w:sz w:val="21"/>
          <w:szCs w:val="21"/>
        </w:rPr>
        <w:t xml:space="preserve">“Agreement” means the Service Order together with these Terms &amp; Conditions. “Provider” means Illomi and “Client” means the party identified in the Service Order; each is a “Party.” “Term” means the Initial Term together with any extension under Section 8 and any Holdover Period. Section references are to these Terms unless stated otherwise.</w:t>
      </w:r>
    </w:p>
    <w:p>
      <w:pPr>
        <w:pStyle w:val="Heading1"/>
        <w:spacing w:after="140" w:before="300"/>
      </w:pPr>
      <w:r>
        <w:rPr>
          <w:b/>
          <w:bCs/>
          <w:sz w:val="24"/>
          <w:szCs w:val="24"/>
        </w:rPr>
        <w:t xml:space="preserve">1. Services</w:t>
      </w:r>
    </w:p>
    <w:p>
      <w:pPr>
        <w:spacing w:after="120" w:line="276"/>
      </w:pPr>
      <w:r>
        <w:rPr>
          <w:sz w:val="21"/>
          <w:szCs w:val="21"/>
        </w:rPr>
        <w:t xml:space="preserve">Provider will design, build, host, and maintain a website for Client and provide the ongoing services included in the plan selected in the Service Order (the “Services”). Work outside the selected plan — additional pages, new features, integrations, e-commerce setup, photography, or copywriting beyond the included edits — is quoted separately, as a fixed price or at the out-of-scope hourly rate, and requires Client's written approval before work begins.</w:t>
      </w:r>
    </w:p>
    <w:p>
      <w:pPr>
        <w:pStyle w:val="Heading1"/>
        <w:spacing w:after="140" w:before="300"/>
      </w:pPr>
      <w:r>
        <w:rPr>
          <w:b/>
          <w:bCs/>
          <w:sz w:val="24"/>
          <w:szCs w:val="24"/>
        </w:rPr>
        <w:t xml:space="preserve">2. Design, Approval, and Launch</w:t>
      </w:r>
    </w:p>
    <w:p>
      <w:pPr>
        <w:pStyle w:val="ListParagraph"/>
        <w:numPr>
          <w:ilvl w:val="0"/>
          <w:numId w:val="2"/>
        </w:numPr>
        <w:spacing w:after="80" w:line="276"/>
      </w:pPr>
      <w:r>
        <w:rPr>
          <w:sz w:val="21"/>
          <w:szCs w:val="21"/>
        </w:rPr>
        <w:t xml:space="preserve">Client will supply all required content (text, images, logo, menus, pricing, hours) within thirty (30) days of the Effective Date.</w:t>
      </w:r>
    </w:p>
    <w:p>
      <w:pPr>
        <w:pStyle w:val="ListParagraph"/>
        <w:numPr>
          <w:ilvl w:val="0"/>
          <w:numId w:val="2"/>
        </w:numPr>
        <w:spacing w:after="80" w:line="276"/>
      </w:pPr>
      <w:r>
        <w:rPr>
          <w:sz w:val="21"/>
          <w:szCs w:val="21"/>
        </w:rPr>
        <w:t xml:space="preserve">The build includes up to two (2) rounds of revisions on the agreed design. Additional rounds are billed at the out-of-scope hourly rate.</w:t>
      </w:r>
    </w:p>
    <w:p>
      <w:pPr>
        <w:pStyle w:val="ListParagraph"/>
        <w:numPr>
          <w:ilvl w:val="0"/>
          <w:numId w:val="2"/>
        </w:numPr>
        <w:spacing w:after="80" w:line="276"/>
      </w:pPr>
      <w:r>
        <w:rPr>
          <w:sz w:val="21"/>
          <w:szCs w:val="21"/>
        </w:rPr>
        <w:t xml:space="preserve">Provider will submit the site for Client's review. If Client does not respond in writing within seven (7) business days of a submission, that submission is deemed approved and Provider may proceed or launch.</w:t>
      </w:r>
    </w:p>
    <w:p>
      <w:pPr>
        <w:pStyle w:val="ListParagraph"/>
        <w:numPr>
          <w:ilvl w:val="0"/>
          <w:numId w:val="2"/>
        </w:numPr>
        <w:spacing w:after="80" w:line="276"/>
      </w:pPr>
      <w:r>
        <w:rPr>
          <w:sz w:val="21"/>
          <w:szCs w:val="21"/>
        </w:rPr>
        <w:t xml:space="preserve">Timelines are estimates and depend on Client's timely delivery of content and approvals. Delays caused by Client do not extend the Term or pause billing.</w:t>
      </w:r>
    </w:p>
    <w:p>
      <w:pPr>
        <w:pStyle w:val="Heading1"/>
        <w:spacing w:after="140" w:before="300"/>
      </w:pPr>
      <w:r>
        <w:rPr>
          <w:b/>
          <w:bCs/>
          <w:sz w:val="24"/>
          <w:szCs w:val="24"/>
        </w:rPr>
        <w:t xml:space="preserve">3. When Billing Starts</w:t>
      </w:r>
    </w:p>
    <w:p>
      <w:pPr>
        <w:spacing w:after="120" w:line="276"/>
      </w:pPr>
      <w:r>
        <w:rPr>
          <w:sz w:val="21"/>
          <w:szCs w:val="21"/>
        </w:rPr>
        <w:t xml:space="preserve">The Monthly Fee begins accruing on the Billing Start Date stated in the Service Order and is </w:t>
      </w:r>
      <w:r>
        <w:rPr>
          <w:b/>
          <w:bCs/>
          <w:sz w:val="21"/>
          <w:szCs w:val="21"/>
        </w:rPr>
        <w:t xml:space="preserve">not</w:t>
      </w:r>
      <w:r>
        <w:rPr>
          <w:sz w:val="21"/>
          <w:szCs w:val="21"/>
        </w:rPr>
        <w:t xml:space="preserve"> contingent on the website launching. If Client has not provided content or approvals needed to launch, the Monthly Fee still accrues and is payable.</w:t>
      </w:r>
    </w:p>
    <w:p>
      <w:pPr>
        <w:pStyle w:val="Heading1"/>
        <w:spacing w:after="140" w:before="300"/>
      </w:pPr>
      <w:r>
        <w:rPr>
          <w:b/>
          <w:bCs/>
          <w:sz w:val="24"/>
          <w:szCs w:val="24"/>
        </w:rPr>
        <w:t xml:space="preserve">4. Fees and Payment</w:t>
      </w:r>
    </w:p>
    <w:p>
      <w:pPr>
        <w:pStyle w:val="ListParagraph"/>
        <w:numPr>
          <w:ilvl w:val="0"/>
          <w:numId w:val="2"/>
        </w:numPr>
        <w:spacing w:after="80" w:line="276"/>
      </w:pPr>
      <w:r>
        <w:rPr>
          <w:sz w:val="21"/>
          <w:szCs w:val="21"/>
        </w:rPr>
        <w:t xml:space="preserve">The Monthly Fee is billed monthly in advance on the same day of each month as the Billing Start Date, charged automatically to the payment method on file.</w:t>
      </w:r>
    </w:p>
    <w:p>
      <w:pPr>
        <w:pStyle w:val="ListParagraph"/>
        <w:numPr>
          <w:ilvl w:val="0"/>
          <w:numId w:val="2"/>
        </w:numPr>
        <w:spacing w:after="80" w:line="276"/>
      </w:pPr>
      <w:r>
        <w:rPr>
          <w:sz w:val="21"/>
          <w:szCs w:val="21"/>
        </w:rPr>
        <w:t xml:space="preserve">A failed or declined payment is treated as nonpayment. Provider may charge a $25 failed payment fee and re-attempt the charge.</w:t>
      </w:r>
    </w:p>
    <w:p>
      <w:pPr>
        <w:pStyle w:val="ListParagraph"/>
        <w:numPr>
          <w:ilvl w:val="0"/>
          <w:numId w:val="2"/>
        </w:numPr>
        <w:spacing w:after="80" w:line="276"/>
      </w:pPr>
      <w:r>
        <w:rPr>
          <w:sz w:val="21"/>
          <w:szCs w:val="21"/>
        </w:rPr>
        <w:t xml:space="preserve">Amounts more than ten (10) days late accrue a late charge of 1.5% per month on the overdue balance, or the maximum rate permitted by law, whichever is less.</w:t>
      </w:r>
    </w:p>
    <w:p>
      <w:pPr>
        <w:pStyle w:val="ListParagraph"/>
        <w:numPr>
          <w:ilvl w:val="0"/>
          <w:numId w:val="2"/>
        </w:numPr>
        <w:spacing w:after="80" w:line="276"/>
      </w:pPr>
      <w:r>
        <w:rPr>
          <w:sz w:val="21"/>
          <w:szCs w:val="21"/>
        </w:rPr>
        <w:t xml:space="preserve">If any amount remains unpaid fifteen (15) days after written notice of nonpayment, Provider may suspend the Services, including taking the website offline, until the account is current. Suspension does not pause the Term or the accrual of the Monthly Fee. A $100 reactivation fee applies to restore suspended Services.</w:t>
      </w:r>
    </w:p>
    <w:p>
      <w:pPr>
        <w:pStyle w:val="ListParagraph"/>
        <w:numPr>
          <w:ilvl w:val="0"/>
          <w:numId w:val="2"/>
        </w:numPr>
        <w:spacing w:after="80" w:line="276"/>
      </w:pPr>
      <w:r>
        <w:rPr>
          <w:sz w:val="21"/>
          <w:szCs w:val="21"/>
        </w:rPr>
        <w:t xml:space="preserve">Third-party costs — domain registration, premium plugins or themes, stock imagery, paid advertising spend, payment processor fees — are Client's responsibility and are passed through at cost unless the Service Order says otherwise.</w:t>
      </w:r>
    </w:p>
    <w:p>
      <w:pPr>
        <w:pStyle w:val="ListParagraph"/>
        <w:numPr>
          <w:ilvl w:val="0"/>
          <w:numId w:val="2"/>
        </w:numPr>
        <w:spacing w:after="80" w:line="276"/>
      </w:pPr>
      <w:r>
        <w:rPr>
          <w:sz w:val="21"/>
          <w:szCs w:val="21"/>
        </w:rPr>
        <w:t xml:space="preserve">The Monthly Fee is fixed for the first twelve (12) months. Thereafter Provider may adjust it no more than once per twelve (12) months, by no more than 5%, with at least thirty (30) days' written notice. This limit does not apply to the holdover increase under Section 5, which is governed by that Section.</w:t>
      </w:r>
    </w:p>
    <w:p>
      <w:pPr>
        <w:pStyle w:val="ListParagraph"/>
        <w:numPr>
          <w:ilvl w:val="0"/>
          <w:numId w:val="2"/>
        </w:numPr>
        <w:spacing w:after="80" w:line="276"/>
      </w:pPr>
      <w:r>
        <w:rPr>
          <w:sz w:val="21"/>
          <w:szCs w:val="21"/>
        </w:rPr>
        <w:t xml:space="preserve">All fees are non-refundable once the applicable month has begun, except where Section 10 expressly requires a refund.</w:t>
      </w:r>
    </w:p>
    <w:p>
      <w:pPr>
        <w:pStyle w:val="Heading1"/>
        <w:spacing w:after="140" w:before="300"/>
      </w:pPr>
      <w:r>
        <w:rPr>
          <w:b/>
          <w:bCs/>
          <w:sz w:val="24"/>
          <w:szCs w:val="24"/>
        </w:rPr>
        <w:t xml:space="preserve">5. Term, Renewal, and Holdover</w:t>
      </w:r>
    </w:p>
    <w:p>
      <w:pPr>
        <w:spacing w:after="120" w:line="276"/>
      </w:pPr>
      <w:r>
        <w:rPr>
          <w:sz w:val="21"/>
          <w:szCs w:val="21"/>
        </w:rPr>
        <w:t xml:space="preserve">The Initial Term is thirty-six (36) months from the Effective Date, as extended under Section 8. Provider will give Client written notice at least thirty (30) days before the Initial Term ends, stating the date the Initial Term ends and the Holdover Rate that will then apply. If Provider does not give that notice, this Agreement still continues as described below, but at the then-current Monthly Fee without the holdover increase, until thirty (30) days after Provider gives the notice. After the Initial Term, this Agreement automatically continues month-to-month (the “Holdover Period”) at the then-current Monthly Fee increased by the holdover percentage stated in the Service Order (as increased, the “Holdover Rate”), unless the Parties sign a new agreement. During the Holdover Period either Party may terminate on thirty (30) days' written notice with no Early Termination Fee.</w:t>
      </w:r>
    </w:p>
    <w:p>
      <w:pPr>
        <w:pStyle w:val="Heading1"/>
        <w:spacing w:after="140" w:before="300"/>
      </w:pPr>
      <w:r>
        <w:rPr>
          <w:b/>
          <w:bCs/>
          <w:sz w:val="24"/>
          <w:szCs w:val="24"/>
        </w:rPr>
        <w:t xml:space="preserve">6. Plan Changes, Upgrades, and Downgrades</w:t>
      </w:r>
    </w:p>
    <w:p>
      <w:pPr>
        <w:pStyle w:val="ListParagraph"/>
        <w:numPr>
          <w:ilvl w:val="0"/>
          <w:numId w:val="2"/>
        </w:numPr>
        <w:spacing w:after="80" w:line="276"/>
      </w:pPr>
      <w:r>
        <w:rPr>
          <w:sz w:val="21"/>
          <w:szCs w:val="21"/>
        </w:rPr>
        <w:t xml:space="preserve">Upgrade. Client may upgrade to a higher plan at any time on written request. The new Monthly Fee takes effect on the next billing date, prorated for any partial month. An upgrade does not change the end date of the Initial Term unless the Parties sign a new Service Order.</w:t>
      </w:r>
    </w:p>
    <w:p>
      <w:pPr>
        <w:pStyle w:val="ListParagraph"/>
        <w:numPr>
          <w:ilvl w:val="0"/>
          <w:numId w:val="2"/>
        </w:numPr>
        <w:spacing w:after="80" w:line="276"/>
      </w:pPr>
      <w:r>
        <w:rPr>
          <w:sz w:val="21"/>
          <w:szCs w:val="21"/>
        </w:rPr>
        <w:t xml:space="preserve">Upgrade work. Pages, features, or setup required by an upgrade that go beyond what the new plan includes are quoted separately before work begins. Any one-time build fee already paid is credited toward that quote.</w:t>
      </w:r>
    </w:p>
    <w:p>
      <w:pPr>
        <w:pStyle w:val="ListParagraph"/>
        <w:numPr>
          <w:ilvl w:val="0"/>
          <w:numId w:val="2"/>
        </w:numPr>
        <w:spacing w:after="80" w:line="276"/>
      </w:pPr>
      <w:r>
        <w:rPr>
          <w:sz w:val="21"/>
          <w:szCs w:val="21"/>
        </w:rPr>
        <w:t xml:space="preserve">Renewed term on upgrade. The Parties may instead sign a new Service Order starting a fresh thirty-six (36) month term at the upgraded plan. In that case the twelve-month price lock in Section 4 restarts and no Early Termination Fee applies to the prior Service Order.</w:t>
      </w:r>
    </w:p>
    <w:p>
      <w:pPr>
        <w:pStyle w:val="ListParagraph"/>
        <w:numPr>
          <w:ilvl w:val="0"/>
          <w:numId w:val="2"/>
        </w:numPr>
        <w:spacing w:after="80" w:line="276"/>
      </w:pPr>
      <w:r>
        <w:rPr>
          <w:sz w:val="21"/>
          <w:szCs w:val="21"/>
        </w:rPr>
        <w:t xml:space="preserve">Downgrade. Client may downgrade no more than once per twelve (12) months, on thirty (30) days written notice, effective on the next billing date. Content, pages, or features exceeding the lower plan's limits may be removed or archived.</w:t>
      </w:r>
    </w:p>
    <w:p>
      <w:pPr>
        <w:pStyle w:val="ListParagraph"/>
        <w:numPr>
          <w:ilvl w:val="0"/>
          <w:numId w:val="2"/>
        </w:numPr>
        <w:spacing w:after="80" w:line="276"/>
      </w:pPr>
      <w:r>
        <w:rPr>
          <w:sz w:val="21"/>
          <w:szCs w:val="21"/>
        </w:rPr>
        <w:t xml:space="preserve">Fee floor. Wherever this Agreement calculates an amount by reference to the “then-current Monthly Fee” — including the Early Termination Fee, the closure fee, and the Holdover Rate — that phrase means the greater of (a) the Monthly Fee stated in the Service Order and (b) the highest Monthly Fee in effect at any point during the Term. A reduced fee paid during a pause under Section 8 is disregarded.</w:t>
      </w:r>
    </w:p>
    <w:p>
      <w:pPr>
        <w:pStyle w:val="ListParagraph"/>
        <w:numPr>
          <w:ilvl w:val="0"/>
          <w:numId w:val="2"/>
        </w:numPr>
        <w:spacing w:after="80" w:line="276"/>
      </w:pPr>
      <w:r>
        <w:rPr>
          <w:sz w:val="21"/>
          <w:szCs w:val="21"/>
        </w:rPr>
        <w:t xml:space="preserve">Additional locations or sites. A second website, or a site for an additional business location, requires its own Service Order and its own Monthly Fee. Existing clients receive the pricing in effect at the time of the new order.</w:t>
      </w:r>
    </w:p>
    <w:p>
      <w:pPr>
        <w:pStyle w:val="Heading1"/>
        <w:spacing w:after="140" w:before="300"/>
      </w:pPr>
      <w:r>
        <w:rPr>
          <w:b/>
          <w:bCs/>
          <w:sz w:val="24"/>
          <w:szCs w:val="24"/>
        </w:rPr>
        <w:t xml:space="preserve">7. Included Edits and Turnaround</w:t>
      </w:r>
    </w:p>
    <w:p>
      <w:pPr>
        <w:pStyle w:val="ListParagraph"/>
        <w:numPr>
          <w:ilvl w:val="0"/>
          <w:numId w:val="2"/>
        </w:numPr>
        <w:spacing w:after="80" w:line="276"/>
      </w:pPr>
      <w:r>
        <w:rPr>
          <w:sz w:val="21"/>
          <w:szCs w:val="21"/>
        </w:rPr>
        <w:t xml:space="preserve">A “content edit” is a text change, image swap, hours or pricing update, or similar change to existing pages. It does not include new pages, redesigns, or new functionality.</w:t>
      </w:r>
    </w:p>
    <w:p>
      <w:pPr>
        <w:pStyle w:val="ListParagraph"/>
        <w:numPr>
          <w:ilvl w:val="0"/>
          <w:numId w:val="2"/>
        </w:numPr>
        <w:spacing w:after="80" w:line="276"/>
      </w:pPr>
      <w:r>
        <w:rPr>
          <w:sz w:val="21"/>
          <w:szCs w:val="21"/>
        </w:rPr>
        <w:t xml:space="preserve">Provider will complete routine edits within three (3) business days of a written request, or the same business day for Partner plan clients. Business days exclude weekends and federal holidays.</w:t>
      </w:r>
    </w:p>
    <w:p>
      <w:pPr>
        <w:pStyle w:val="ListParagraph"/>
        <w:numPr>
          <w:ilvl w:val="0"/>
          <w:numId w:val="2"/>
        </w:numPr>
        <w:spacing w:after="80" w:line="276"/>
      </w:pPr>
      <w:r>
        <w:rPr>
          <w:sz w:val="21"/>
          <w:szCs w:val="21"/>
        </w:rPr>
        <w:t xml:space="preserve">Unused edits do not roll over to the following month and have no cash value.</w:t>
      </w:r>
    </w:p>
    <w:p>
      <w:pPr>
        <w:pStyle w:val="ListParagraph"/>
        <w:numPr>
          <w:ilvl w:val="0"/>
          <w:numId w:val="2"/>
        </w:numPr>
        <w:spacing w:after="80" w:line="276"/>
      </w:pPr>
      <w:r>
        <w:rPr>
          <w:sz w:val="21"/>
          <w:szCs w:val="21"/>
        </w:rPr>
        <w:t xml:space="preserve">Requests marked urgent that require completion in under forty-eight (48) hours, outside the plan’s stated turnaround, are billed at 1.5 times the out-of-scope hourly rate.</w:t>
      </w:r>
    </w:p>
    <w:p>
      <w:pPr>
        <w:pStyle w:val="Heading1"/>
        <w:spacing w:after="140" w:before="300"/>
      </w:pPr>
      <w:r>
        <w:rPr>
          <w:b/>
          <w:bCs/>
          <w:sz w:val="24"/>
          <w:szCs w:val="24"/>
        </w:rPr>
        <w:t xml:space="preserve">8. Seasonal Pause</w:t>
      </w:r>
    </w:p>
    <w:p>
      <w:pPr>
        <w:spacing w:after="120" w:line="276"/>
      </w:pPr>
      <w:r>
        <w:rPr>
          <w:sz w:val="21"/>
          <w:szCs w:val="21"/>
        </w:rPr>
        <w:t xml:space="preserve">Once per twelve (12) months, Client may pause the Services for up to sixty (60) consecutive days on thirty (30) days written notice. During a pause the Monthly Fee is reduced to fifty percent (50%) to cover hosting and reserved capacity, no edits are performed, and the Initial Term is extended by the length of the pause. A pause is not available while any amount is past due.</w:t>
      </w:r>
    </w:p>
    <w:p>
      <w:pPr>
        <w:pStyle w:val="Heading1"/>
        <w:spacing w:after="140" w:before="300"/>
      </w:pPr>
      <w:r>
        <w:rPr>
          <w:b/>
          <w:bCs/>
          <w:sz w:val="24"/>
          <w:szCs w:val="24"/>
        </w:rPr>
        <w:t xml:space="preserve">9. Early Termination by Client</w:t>
      </w:r>
    </w:p>
    <w:p>
      <w:pPr>
        <w:spacing w:after="120" w:line="276"/>
      </w:pPr>
      <w:r>
        <w:rPr>
          <w:sz w:val="21"/>
          <w:szCs w:val="21"/>
        </w:rPr>
        <w:t xml:space="preserve">Client may terminate before the end of the Initial Term on thirty (30) days' written notice by paying an early termination fee equal to </w:t>
      </w:r>
      <w:r>
        <w:rPr>
          <w:b/>
          <w:bCs/>
          <w:sz w:val="21"/>
          <w:szCs w:val="21"/>
        </w:rPr>
        <w:t xml:space="preserve">four (4) times the then-current Monthly Fee</w:t>
      </w:r>
      <w:r>
        <w:rPr>
          <w:sz w:val="21"/>
          <w:szCs w:val="21"/>
        </w:rPr>
        <w:t xml:space="preserve"> (the “Early Termination Fee”), plus all amounts already owed. The Parties agree the Early Termination Fee is a reasonable pre-estimate of Provider's losses — including reserved capacity, hosting commitments, and unrecovered build costs — and is liquidated damages, not a penalty. It is due on or before the effective date of termination and may be charged to the payment method on file.</w:t>
      </w:r>
    </w:p>
    <w:p>
      <w:pPr>
        <w:pStyle w:val="Heading1"/>
        <w:spacing w:after="140" w:before="300"/>
      </w:pPr>
      <w:r>
        <w:rPr>
          <w:b/>
          <w:bCs/>
          <w:sz w:val="24"/>
          <w:szCs w:val="24"/>
        </w:rPr>
        <w:t xml:space="preserve">10. Termination for Cause and by Provider</w:t>
      </w:r>
    </w:p>
    <w:p>
      <w:pPr>
        <w:pStyle w:val="ListParagraph"/>
        <w:numPr>
          <w:ilvl w:val="0"/>
          <w:numId w:val="2"/>
        </w:numPr>
        <w:spacing w:after="80" w:line="276"/>
      </w:pPr>
      <w:r>
        <w:rPr>
          <w:sz w:val="21"/>
          <w:szCs w:val="21"/>
        </w:rPr>
        <w:t xml:space="preserve">Either Party may terminate this Agreement on written notice if the other materially breaches it and fails to cure the breach within fifteen (15) days after receiving written notice describing the breach. Termination is effective when the cure period expires without cure.</w:t>
      </w:r>
    </w:p>
    <w:p>
      <w:pPr>
        <w:pStyle w:val="ListParagraph"/>
        <w:numPr>
          <w:ilvl w:val="0"/>
          <w:numId w:val="2"/>
        </w:numPr>
        <w:spacing w:after="80" w:line="276"/>
      </w:pPr>
      <w:r>
        <w:rPr>
          <w:sz w:val="21"/>
          <w:szCs w:val="21"/>
        </w:rPr>
        <w:t xml:space="preserve">If Client terminates for Provider's uncured material breach, no Early Termination Fee applies.</w:t>
      </w:r>
    </w:p>
    <w:p>
      <w:pPr>
        <w:pStyle w:val="ListParagraph"/>
        <w:numPr>
          <w:ilvl w:val="0"/>
          <w:numId w:val="2"/>
        </w:numPr>
        <w:spacing w:after="80" w:line="276"/>
      </w:pPr>
      <w:r>
        <w:rPr>
          <w:sz w:val="21"/>
          <w:szCs w:val="21"/>
        </w:rPr>
        <w:t xml:space="preserve">If Provider terminates for Client's uncured material breach, including nonpayment, the Early Termination Fee applies in addition to all amounts already owed.</w:t>
      </w:r>
    </w:p>
    <w:p>
      <w:pPr>
        <w:pStyle w:val="ListParagraph"/>
        <w:numPr>
          <w:ilvl w:val="0"/>
          <w:numId w:val="2"/>
        </w:numPr>
        <w:spacing w:after="80" w:line="276"/>
      </w:pPr>
      <w:r>
        <w:rPr>
          <w:sz w:val="21"/>
          <w:szCs w:val="21"/>
        </w:rPr>
        <w:t xml:space="preserve">Provider may terminate for convenience on sixty (60) days' written notice. In that case no Early Termination Fee applies and, notwithstanding Section 4, Provider will refund any prepaid fees covering the period after termination.</w:t>
      </w:r>
    </w:p>
    <w:p>
      <w:pPr>
        <w:pStyle w:val="ListParagraph"/>
        <w:numPr>
          <w:ilvl w:val="0"/>
          <w:numId w:val="2"/>
        </w:numPr>
        <w:spacing w:after="80" w:line="276"/>
      </w:pPr>
      <w:r>
        <w:rPr>
          <w:sz w:val="21"/>
          <w:szCs w:val="21"/>
        </w:rPr>
        <w:t xml:space="preserve">Provider may suspend or terminate immediately if Client uses the Services for unlawful, fraudulent, or abusive purposes, or publishes content that infringes the rights of others.</w:t>
      </w:r>
    </w:p>
    <w:p>
      <w:pPr>
        <w:pStyle w:val="Heading1"/>
        <w:spacing w:after="140" w:before="300"/>
      </w:pPr>
      <w:r>
        <w:rPr>
          <w:b/>
          <w:bCs/>
          <w:sz w:val="24"/>
          <w:szCs w:val="24"/>
        </w:rPr>
        <w:t xml:space="preserve">11. Permanent Closure of Client's Business</w:t>
      </w:r>
    </w:p>
    <w:p>
      <w:pPr>
        <w:spacing w:after="120" w:line="276"/>
      </w:pPr>
      <w:r>
        <w:rPr>
          <w:sz w:val="21"/>
          <w:szCs w:val="21"/>
        </w:rPr>
        <w:t xml:space="preserve">If Client permanently ceases business operations, Client may terminate this Agreement on thirty (30) days written notice by paying a closure fee equal to </w:t>
      </w:r>
      <w:r>
        <w:rPr>
          <w:b/>
          <w:bCs/>
          <w:sz w:val="21"/>
          <w:szCs w:val="21"/>
        </w:rPr>
        <w:t xml:space="preserve">two (2) times the then-current Monthly Fee</w:t>
      </w:r>
      <w:r>
        <w:rPr>
          <w:sz w:val="21"/>
          <w:szCs w:val="21"/>
        </w:rPr>
        <w:t xml:space="preserve"> in place of the Early Termination Fee, plus all amounts already owed. Client must provide reasonable proof of closure, such as a dissolution filing, a final sales tax return, or a signed statement. This Section does not apply to a sale, transfer, rebranding, relocation, or temporary closure of the business.</w:t>
      </w:r>
    </w:p>
    <w:p>
      <w:pPr>
        <w:pStyle w:val="Heading1"/>
        <w:spacing w:after="140" w:before="300"/>
      </w:pPr>
      <w:r>
        <w:rPr>
          <w:b/>
          <w:bCs/>
          <w:sz w:val="24"/>
          <w:szCs w:val="24"/>
        </w:rPr>
        <w:t xml:space="preserve">12. Client Responsibilities</w:t>
      </w:r>
    </w:p>
    <w:p>
      <w:pPr>
        <w:pStyle w:val="ListParagraph"/>
        <w:numPr>
          <w:ilvl w:val="0"/>
          <w:numId w:val="2"/>
        </w:numPr>
        <w:spacing w:after="80" w:line="276"/>
      </w:pPr>
      <w:r>
        <w:rPr>
          <w:sz w:val="21"/>
          <w:szCs w:val="21"/>
        </w:rPr>
        <w:t xml:space="preserve">Provide the content, approvals, and access reasonably needed for the Services, and respond to requests within a reasonable time.</w:t>
      </w:r>
    </w:p>
    <w:p>
      <w:pPr>
        <w:pStyle w:val="ListParagraph"/>
        <w:numPr>
          <w:ilvl w:val="0"/>
          <w:numId w:val="2"/>
        </w:numPr>
        <w:spacing w:after="80" w:line="276"/>
      </w:pPr>
      <w:r>
        <w:rPr>
          <w:sz w:val="21"/>
          <w:szCs w:val="21"/>
        </w:rPr>
        <w:t xml:space="preserve">Warrant that Client owns or has permission to use all content Client provides, and that it is accurate and lawful.</w:t>
      </w:r>
    </w:p>
    <w:p>
      <w:pPr>
        <w:pStyle w:val="ListParagraph"/>
        <w:numPr>
          <w:ilvl w:val="0"/>
          <w:numId w:val="2"/>
        </w:numPr>
        <w:spacing w:after="80" w:line="276"/>
      </w:pPr>
      <w:r>
        <w:rPr>
          <w:sz w:val="21"/>
          <w:szCs w:val="21"/>
        </w:rPr>
        <w:t xml:space="preserve">Maintain and be responsible for its own business licenses, pricing accuracy, product claims, and legal compliance, including any e-commerce, payment processing, privacy, and accessibility obligations that apply to Client's business.</w:t>
      </w:r>
    </w:p>
    <w:p>
      <w:pPr>
        <w:pStyle w:val="ListParagraph"/>
        <w:numPr>
          <w:ilvl w:val="0"/>
          <w:numId w:val="2"/>
        </w:numPr>
        <w:spacing w:after="80" w:line="276"/>
      </w:pPr>
      <w:r>
        <w:rPr>
          <w:sz w:val="21"/>
          <w:szCs w:val="21"/>
        </w:rPr>
        <w:t xml:space="preserve">Review the website and promptly report errors.</w:t>
      </w:r>
    </w:p>
    <w:p>
      <w:pPr>
        <w:pStyle w:val="Heading1"/>
        <w:spacing w:after="140" w:before="300"/>
      </w:pPr>
      <w:r>
        <w:rPr>
          <w:b/>
          <w:bCs/>
          <w:sz w:val="24"/>
          <w:szCs w:val="24"/>
        </w:rPr>
        <w:t xml:space="preserve">13. Ownership, License, and Buyout</w:t>
      </w:r>
    </w:p>
    <w:p>
      <w:pPr>
        <w:pStyle w:val="ListParagraph"/>
        <w:numPr>
          <w:ilvl w:val="0"/>
          <w:numId w:val="2"/>
        </w:numPr>
        <w:spacing w:after="80" w:line="276"/>
      </w:pPr>
      <w:r>
        <w:rPr>
          <w:sz w:val="21"/>
          <w:szCs w:val="21"/>
        </w:rPr>
        <w:t xml:space="preserve">Client owns all content Client provides — logos, text, photos, business information — and its customer and order data.</w:t>
      </w:r>
    </w:p>
    <w:p>
      <w:pPr>
        <w:pStyle w:val="ListParagraph"/>
        <w:numPr>
          <w:ilvl w:val="0"/>
          <w:numId w:val="2"/>
        </w:numPr>
        <w:spacing w:after="80" w:line="276"/>
      </w:pPr>
      <w:r>
        <w:rPr>
          <w:sz w:val="21"/>
          <w:szCs w:val="21"/>
        </w:rPr>
        <w:t xml:space="preserve">Provider owns the website design, source code, templates, tooling, and know-how used to build and operate the website. During the Term, Client has a non-exclusive license to use the website for Client's business.</w:t>
      </w:r>
    </w:p>
    <w:p>
      <w:pPr>
        <w:pStyle w:val="ListParagraph"/>
        <w:numPr>
          <w:ilvl w:val="0"/>
          <w:numId w:val="2"/>
        </w:numPr>
        <w:spacing w:after="80" w:line="276"/>
      </w:pPr>
      <w:r>
        <w:rPr>
          <w:sz w:val="21"/>
          <w:szCs w:val="21"/>
        </w:rPr>
        <w:t xml:space="preserve">On termination, Client keeps its own content, and Provider will export and deliver Client's content in a reasonable format on written request within thirty (30) days, once the account is paid in full.</w:t>
      </w:r>
    </w:p>
    <w:p>
      <w:pPr>
        <w:pStyle w:val="ListParagraph"/>
        <w:numPr>
          <w:ilvl w:val="0"/>
          <w:numId w:val="2"/>
        </w:numPr>
        <w:spacing w:after="80" w:line="276"/>
      </w:pPr>
      <w:r>
        <w:rPr>
          <w:sz w:val="21"/>
          <w:szCs w:val="21"/>
        </w:rPr>
        <w:t xml:space="preserve">The design and code remain Provider's property, and Client's license to use them ends when this Agreement ends.</w:t>
      </w:r>
    </w:p>
    <w:p>
      <w:pPr>
        <w:pStyle w:val="ListParagraph"/>
        <w:numPr>
          <w:ilvl w:val="0"/>
          <w:numId w:val="2"/>
        </w:numPr>
        <w:spacing w:after="80" w:line="276"/>
      </w:pPr>
      <w:r>
        <w:rPr>
          <w:sz w:val="21"/>
          <w:szCs w:val="21"/>
        </w:rPr>
        <w:t xml:space="preserve">A domain registered in Client's name is Client's property. If Provider registered or administers the domain for Client, Provider will transfer control of it within ten (10) business days after written request, provided all undisputed past-due amounts have been paid.</w:t>
      </w:r>
    </w:p>
    <w:p>
      <w:pPr>
        <w:pStyle w:val="ListParagraph"/>
        <w:numPr>
          <w:ilvl w:val="0"/>
          <w:numId w:val="2"/>
        </w:numPr>
        <w:spacing w:after="80" w:line="276"/>
      </w:pPr>
      <w:r>
        <w:rPr>
          <w:sz w:val="21"/>
          <w:szCs w:val="21"/>
        </w:rPr>
        <w:t xml:space="preserve">Migration assistance beyond the standard content export — transferring email, DNS, or configuring another provider’s environment — is billed at the out-of-scope hourly rate and requires the account to be paid in full.</w:t>
      </w:r>
    </w:p>
    <w:p>
      <w:pPr>
        <w:pStyle w:val="ListParagraph"/>
        <w:numPr>
          <w:ilvl w:val="0"/>
          <w:numId w:val="2"/>
        </w:numPr>
        <w:spacing w:after="80" w:line="276"/>
      </w:pPr>
      <w:r>
        <w:rPr>
          <w:sz w:val="21"/>
          <w:szCs w:val="21"/>
        </w:rPr>
        <w:t xml:space="preserve">Provider may display the completed website in its portfolio and marketing unless Client opts out in writing.</w:t>
      </w:r>
    </w:p>
    <w:p>
      <w:pPr>
        <w:pStyle w:val="Heading1"/>
        <w:spacing w:after="140" w:before="300"/>
      </w:pPr>
      <w:r>
        <w:rPr>
          <w:b/>
          <w:bCs/>
          <w:sz w:val="24"/>
          <w:szCs w:val="24"/>
        </w:rPr>
        <w:t xml:space="preserve">14. Hosting, Backups, and Credentials</w:t>
      </w:r>
    </w:p>
    <w:p>
      <w:pPr>
        <w:spacing w:after="120" w:line="276"/>
      </w:pPr>
      <w:r>
        <w:rPr>
          <w:sz w:val="21"/>
          <w:szCs w:val="21"/>
        </w:rPr>
        <w:t xml:space="preserve">Hosting is included in the Monthly Fee. Provider will use commercially reasonable efforts to keep the website available and to maintain routine backups, but does not guarantee uninterrupted availability or against data loss, and is not responsible for outages or failures caused by third-party hosting providers, registrars, carriers, or other events outside Provider's reasonable control. Each Party will keep the other's account credentials confidential and use them only as needed to perform or receive the Services.</w:t>
      </w:r>
    </w:p>
    <w:p>
      <w:pPr>
        <w:pStyle w:val="Heading1"/>
        <w:spacing w:after="140" w:before="300"/>
      </w:pPr>
      <w:r>
        <w:rPr>
          <w:b/>
          <w:bCs/>
          <w:sz w:val="24"/>
          <w:szCs w:val="24"/>
        </w:rPr>
        <w:t xml:space="preserve">15. Confidentiality</w:t>
      </w:r>
    </w:p>
    <w:p>
      <w:pPr>
        <w:spacing w:after="120" w:line="276"/>
      </w:pPr>
      <w:r>
        <w:rPr>
          <w:sz w:val="21"/>
          <w:szCs w:val="21"/>
        </w:rPr>
        <w:t xml:space="preserve">Each Party will keep the other's non-public business information confidential and use it only to perform or receive the Services. This obligation continues for two (2) years after termination and does not apply to information that is public, independently developed, or required to be disclosed by law.</w:t>
      </w:r>
    </w:p>
    <w:p>
      <w:pPr>
        <w:pStyle w:val="Heading1"/>
        <w:spacing w:after="140" w:before="300"/>
      </w:pPr>
      <w:r>
        <w:rPr>
          <w:b/>
          <w:bCs/>
          <w:sz w:val="24"/>
          <w:szCs w:val="24"/>
        </w:rPr>
        <w:t xml:space="preserve">16. No Guaranteed Results</w:t>
      </w:r>
    </w:p>
    <w:p>
      <w:pPr>
        <w:spacing w:after="120" w:line="276"/>
      </w:pPr>
      <w:r>
        <w:rPr>
          <w:sz w:val="21"/>
          <w:szCs w:val="21"/>
        </w:rPr>
        <w:t xml:space="preserve">Provider warrants that it will perform the Services in a professional and workmanlike manner. Except for that warranty, and to the maximum extent permitted by law, Provider disclaims all other warranties, express or implied, including any implied warranties of merchantability, fitness for a particular purpose, and non-infringement. Provider does not guarantee any particular search ranking, traffic level, lead volume, conversion rate, or business result. Search engines, directories, and social platforms are controlled by third parties whose policies and algorithms may change at any time.</w:t>
      </w:r>
    </w:p>
    <w:p>
      <w:pPr>
        <w:spacing w:after="120" w:line="276"/>
      </w:pPr>
      <w:r>
        <w:rPr>
          <w:sz w:val="21"/>
          <w:szCs w:val="21"/>
        </w:rPr>
        <w:t xml:space="preserve">Accessibility. Unless the Service Order states otherwise, Provider builds to general web development practices and does not warrant that the website conforms to the Web Content Accessibility Guidelines (WCAG), the Americans with Disabilities Act, or any similar standard. Client is responsible for determining which accessibility obligations apply to its business. Provider offers accessibility review and remediation as separate work, quoted before it begins at the out-of-scope hourly rate.</w:t>
      </w:r>
    </w:p>
    <w:p>
      <w:pPr>
        <w:pStyle w:val="Heading1"/>
        <w:spacing w:after="140" w:before="300"/>
      </w:pPr>
      <w:r>
        <w:rPr>
          <w:b/>
          <w:bCs/>
          <w:sz w:val="24"/>
          <w:szCs w:val="24"/>
        </w:rPr>
        <w:t xml:space="preserve">17. Limitation of Liability</w:t>
      </w:r>
    </w:p>
    <w:p>
      <w:pPr>
        <w:spacing w:after="120" w:line="276"/>
      </w:pPr>
      <w:r>
        <w:rPr>
          <w:sz w:val="21"/>
          <w:szCs w:val="21"/>
        </w:rPr>
        <w:t xml:space="preserve">To the maximum extent permitted by law: (a) neither Party is liable for indirect, incidental, consequential, special, or punitive damages, or for lost profits or lost revenue; and (b) Provider's total cumulative liability under this Agreement will not exceed the amounts actually paid by Client to Provider in the twelve (12) months before the event giving rise to the claim. Nothing in this section limits Client's obligation to pay amounts owed under this Agreement, including the Monthly Fee, the Early Termination Fee, the closure fee under Section 11, and amounts owed under Section 19, none of which are indirect or consequential damages.</w:t>
      </w:r>
    </w:p>
    <w:p>
      <w:pPr>
        <w:pStyle w:val="Heading1"/>
        <w:spacing w:after="140" w:before="300"/>
      </w:pPr>
      <w:r>
        <w:rPr>
          <w:b/>
          <w:bCs/>
          <w:sz w:val="24"/>
          <w:szCs w:val="24"/>
        </w:rPr>
        <w:t xml:space="preserve">18. Indemnification</w:t>
      </w:r>
    </w:p>
    <w:p>
      <w:pPr>
        <w:spacing w:after="120" w:line="276"/>
      </w:pPr>
      <w:r>
        <w:rPr>
          <w:sz w:val="21"/>
          <w:szCs w:val="21"/>
        </w:rPr>
        <w:t xml:space="preserve">Client will defend, indemnify, and hold Provider harmless from third-party claims, damages, and reasonable costs arising out of content Client provided or directed Provider to publish, Client's products or services, or Client's breach of this Agreement — including claims of copyright or trademark infringement, false advertising, or inaccurate business information.</w:t>
      </w:r>
    </w:p>
    <w:p>
      <w:pPr>
        <w:pStyle w:val="Heading1"/>
        <w:spacing w:after="140" w:before="300"/>
      </w:pPr>
      <w:r>
        <w:rPr>
          <w:b/>
          <w:bCs/>
          <w:sz w:val="24"/>
          <w:szCs w:val="24"/>
        </w:rPr>
        <w:t xml:space="preserve">19. Collection Costs and Attorney's Fees</w:t>
      </w:r>
    </w:p>
    <w:p>
      <w:pPr>
        <w:spacing w:after="120" w:line="276"/>
      </w:pPr>
      <w:r>
        <w:rPr>
          <w:sz w:val="21"/>
          <w:szCs w:val="21"/>
        </w:rPr>
        <w:t xml:space="preserve">If Provider must pursue collection of amounts owed under this Agreement, Client will reimburse Provider's reasonable costs of collection, including collection agency fees, court costs, and reasonable attorney's fees. In any other dispute arising under this Agreement, the prevailing Party is entitled to recover its reasonable attorney's fees and costs.</w:t>
      </w:r>
    </w:p>
    <w:p>
      <w:pPr>
        <w:pStyle w:val="Heading1"/>
        <w:spacing w:after="140" w:before="300"/>
      </w:pPr>
      <w:r>
        <w:rPr>
          <w:b/>
          <w:bCs/>
          <w:sz w:val="24"/>
          <w:szCs w:val="24"/>
        </w:rPr>
        <w:t xml:space="preserve">20. Non-Solicitation</w:t>
      </w:r>
    </w:p>
    <w:p>
      <w:pPr>
        <w:spacing w:after="120" w:line="276"/>
      </w:pPr>
      <w:r>
        <w:rPr>
          <w:sz w:val="21"/>
          <w:szCs w:val="21"/>
        </w:rPr>
        <w:t xml:space="preserve">During the Term and for twelve (12) months after, Client will not directly or indirectly hire or engage any contractor or employee introduced to Client by Provider to perform services of the kind Provider provides, without Provider's written consent.</w:t>
      </w:r>
    </w:p>
    <w:p>
      <w:pPr>
        <w:pStyle w:val="Heading1"/>
        <w:spacing w:after="140" w:before="300"/>
      </w:pPr>
      <w:r>
        <w:rPr>
          <w:b/>
          <w:bCs/>
          <w:sz w:val="24"/>
          <w:szCs w:val="24"/>
        </w:rPr>
        <w:t xml:space="preserve">21. Notices</w:t>
      </w:r>
    </w:p>
    <w:p>
      <w:pPr>
        <w:spacing w:after="120" w:line="276"/>
      </w:pPr>
      <w:r>
        <w:rPr>
          <w:sz w:val="21"/>
          <w:szCs w:val="21"/>
        </w:rPr>
        <w:t xml:space="preserve">Notices must be in writing and delivered by hand, by email to the notice address in the Service Order, or by certified mail. Email notice is deemed received on the next business day after sending, unless the sender receives a delivery-failure message. Each Party must keep its notice email current and must give the other written notice of any change.</w:t>
      </w:r>
    </w:p>
    <w:p>
      <w:pPr>
        <w:pStyle w:val="Heading1"/>
        <w:spacing w:after="140" w:before="300"/>
      </w:pPr>
      <w:r>
        <w:rPr>
          <w:b/>
          <w:bCs/>
          <w:sz w:val="24"/>
          <w:szCs w:val="24"/>
        </w:rPr>
        <w:t xml:space="preserve">22. Governing Law and Disputes</w:t>
      </w:r>
    </w:p>
    <w:p>
      <w:pPr>
        <w:spacing w:after="120" w:line="276"/>
      </w:pPr>
      <w:r>
        <w:rPr>
          <w:sz w:val="21"/>
          <w:szCs w:val="21"/>
        </w:rPr>
        <w:t xml:space="preserve">This Agreement is governed by the laws of the State of Tennessee, without regard to its conflict-of-laws rules. Before filing suit, the Parties will attempt in good faith to resolve any dispute through direct discussion for thirty (30) days. Any action must be brought exclusively in the state or federal courts located in Rutherford County, Tennessee, and both Parties consent to that jurisdiction and venue.</w:t>
      </w:r>
    </w:p>
    <w:p>
      <w:pPr>
        <w:pStyle w:val="Heading1"/>
        <w:spacing w:after="140" w:before="300"/>
      </w:pPr>
      <w:r>
        <w:rPr>
          <w:b/>
          <w:bCs/>
          <w:sz w:val="24"/>
          <w:szCs w:val="24"/>
        </w:rPr>
        <w:t xml:space="preserve">23. General</w:t>
      </w:r>
    </w:p>
    <w:p>
      <w:pPr>
        <w:pStyle w:val="ListParagraph"/>
        <w:numPr>
          <w:ilvl w:val="0"/>
          <w:numId w:val="2"/>
        </w:numPr>
        <w:spacing w:after="80" w:line="276"/>
      </w:pPr>
      <w:r>
        <w:rPr>
          <w:sz w:val="21"/>
          <w:szCs w:val="21"/>
        </w:rPr>
        <w:t xml:space="preserve">Assignment. Neither Party may assign this Agreement without the other's written consent, except Provider may assign it in connection with a sale of its business, and Client may assign it to a buyer of Client's business that assumes all obligations in writing.</w:t>
      </w:r>
    </w:p>
    <w:p>
      <w:pPr>
        <w:pStyle w:val="ListParagraph"/>
        <w:numPr>
          <w:ilvl w:val="0"/>
          <w:numId w:val="2"/>
        </w:numPr>
        <w:spacing w:after="80" w:line="276"/>
      </w:pPr>
      <w:r>
        <w:rPr>
          <w:sz w:val="21"/>
          <w:szCs w:val="21"/>
        </w:rPr>
        <w:t xml:space="preserve">Independent Contractor. Provider is an independent contractor, not an employee, partner, or joint venturer of Client.</w:t>
      </w:r>
    </w:p>
    <w:p>
      <w:pPr>
        <w:pStyle w:val="ListParagraph"/>
        <w:numPr>
          <w:ilvl w:val="0"/>
          <w:numId w:val="2"/>
        </w:numPr>
        <w:spacing w:after="80" w:line="276"/>
      </w:pPr>
      <w:r>
        <w:rPr>
          <w:sz w:val="21"/>
          <w:szCs w:val="21"/>
        </w:rPr>
        <w:t xml:space="preserve">Force Majeure. Neither Party is liable for delay or failure caused by events beyond its reasonable control.</w:t>
      </w:r>
    </w:p>
    <w:p>
      <w:pPr>
        <w:pStyle w:val="ListParagraph"/>
        <w:numPr>
          <w:ilvl w:val="0"/>
          <w:numId w:val="2"/>
        </w:numPr>
        <w:spacing w:after="80" w:line="276"/>
      </w:pPr>
      <w:r>
        <w:rPr>
          <w:sz w:val="21"/>
          <w:szCs w:val="21"/>
        </w:rPr>
        <w:t xml:space="preserve">Severability. If a provision is found unenforceable, it will be modified to the minimum extent needed to make it enforceable, and the rest of this Agreement stays in effect.</w:t>
      </w:r>
    </w:p>
    <w:p>
      <w:pPr>
        <w:pStyle w:val="ListParagraph"/>
        <w:numPr>
          <w:ilvl w:val="0"/>
          <w:numId w:val="2"/>
        </w:numPr>
        <w:spacing w:after="80" w:line="276"/>
      </w:pPr>
      <w:r>
        <w:rPr>
          <w:sz w:val="21"/>
          <w:szCs w:val="21"/>
        </w:rPr>
        <w:t xml:space="preserve">No Waiver. A Party's failure to enforce a provision is not a waiver of its right to enforce it later.</w:t>
      </w:r>
    </w:p>
    <w:p>
      <w:pPr>
        <w:pStyle w:val="ListParagraph"/>
        <w:numPr>
          <w:ilvl w:val="0"/>
          <w:numId w:val="2"/>
        </w:numPr>
        <w:spacing w:after="80" w:line="276"/>
      </w:pPr>
      <w:r>
        <w:rPr>
          <w:sz w:val="21"/>
          <w:szCs w:val="21"/>
        </w:rPr>
        <w:t xml:space="preserve">Survival. Sections 4, 6, 9, 11, 13, 15, 16, 17, 18, 19, 20, 21, 22, and 23, and the Definitions, survive termination.</w:t>
      </w:r>
    </w:p>
    <w:p>
      <w:pPr>
        <w:pStyle w:val="ListParagraph"/>
        <w:numPr>
          <w:ilvl w:val="0"/>
          <w:numId w:val="2"/>
        </w:numPr>
        <w:spacing w:after="80" w:line="276"/>
      </w:pPr>
      <w:r>
        <w:rPr>
          <w:sz w:val="21"/>
          <w:szCs w:val="21"/>
        </w:rPr>
        <w:t xml:space="preserve">Entire Agreement. The Service Order and these Terms are the entire agreement between the Parties regarding the Services and replace all prior discussions, proposals, and quotes. Changes must be in a writing signed by both Parties.</w:t>
      </w:r>
    </w:p>
    <w:p>
      <w:pPr>
        <w:spacing w:before="300"/>
      </w:pPr>
      <w:r>
        <w:rPr>
          <w:b/>
          <w:bCs/>
          <w:sz w:val="20"/>
          <w:szCs w:val="20"/>
        </w:rPr>
        <w:t xml:space="preserve">Initials — Provider: ________     Client: ________</w:t>
      </w:r>
    </w:p>
    <w:sectPr>
      <w:pgSz w:w="12240" w:h="15840" w:orient="portrait"/>
      <w:pgMar w:top="820" w:right="1150" w:bottom="72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2026-08-26T21:43:21.288Z</dcterms:created>
  <dcterms:modified xsi:type="dcterms:W3CDTF">2026-08-26T21:43:21.288Z</dcterms:modified>
</cp:coreProperties>
</file>

<file path=docProps/custom.xml><?xml version="1.0" encoding="utf-8"?>
<Properties xmlns="http://schemas.openxmlformats.org/officeDocument/2006/custom-properties" xmlns:vt="http://schemas.openxmlformats.org/officeDocument/2006/docPropsVTypes"/>
</file>