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9BA0" w14:textId="77777777" w:rsidR="002E3EAD" w:rsidRDefault="002E3EAD" w:rsidP="002E3EAD">
      <w:pPr>
        <w:bidi/>
        <w:jc w:val="center"/>
        <w:rPr>
          <w:b/>
          <w:bCs/>
          <w:rtl/>
          <w:lang w:bidi="fa-IR"/>
        </w:rPr>
      </w:pPr>
      <w:r>
        <w:rPr>
          <w:noProof/>
        </w:rPr>
        <w:drawing>
          <wp:inline distT="0" distB="0" distL="0" distR="0" wp14:anchorId="3F95A48B" wp14:editId="6AD6372B">
            <wp:extent cx="1335502" cy="1371600"/>
            <wp:effectExtent l="0" t="0" r="0" b="0"/>
            <wp:docPr id="116885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50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F056DE">
        <w:rPr>
          <w:rFonts w:hint="cs"/>
          <w:b/>
          <w:bCs/>
          <w:rtl/>
          <w:lang w:bidi="fa-IR"/>
        </w:rPr>
        <w:t>دانشگاه صنعتی امیرکبیر (پلی‌تکنیک تهران)</w:t>
      </w:r>
      <w:r w:rsidRPr="00F056DE">
        <w:rPr>
          <w:b/>
          <w:bCs/>
          <w:rtl/>
        </w:rPr>
        <w:br/>
      </w:r>
      <w:r w:rsidRPr="00F056DE">
        <w:rPr>
          <w:rFonts w:hint="cs"/>
          <w:b/>
          <w:bCs/>
          <w:rtl/>
          <w:lang w:bidi="fa-IR"/>
        </w:rPr>
        <w:t>دانشکده مهندسی صنایع و سیستم‌های مدیریت</w:t>
      </w:r>
    </w:p>
    <w:p w14:paraId="088134A7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5FCD90E1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6C3BFA00" w14:textId="1150DBFA" w:rsidR="002E3EAD" w:rsidRDefault="002E3EAD" w:rsidP="002E3EAD">
      <w:pPr>
        <w:pStyle w:val="Titl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پروژه درس برنامه‌ریزی تولید: فاز </w:t>
      </w:r>
      <w:r>
        <w:rPr>
          <w:rFonts w:hint="cs"/>
          <w:rtl/>
          <w:lang w:bidi="fa-IR"/>
        </w:rPr>
        <w:t>سوم</w:t>
      </w:r>
    </w:p>
    <w:p w14:paraId="53F2D247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2579C66F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4BBE6598" w14:textId="77777777" w:rsidR="002E3EAD" w:rsidRDefault="002E3EAD" w:rsidP="002E3EA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تهیه‌کننده: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حامد اعراب </w:t>
      </w:r>
      <w:r>
        <w:rPr>
          <w:rFonts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9925003</w:t>
      </w:r>
    </w:p>
    <w:p w14:paraId="624C46D1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2345AE86" w14:textId="77777777" w:rsidR="002E3EAD" w:rsidRDefault="002E3EAD" w:rsidP="002E3EA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استاد: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دکتر هادی مصدق</w:t>
      </w:r>
    </w:p>
    <w:p w14:paraId="4345020D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496C8F7A" w14:textId="77777777" w:rsidR="002E3EAD" w:rsidRDefault="002E3EAD" w:rsidP="002E3EAD">
      <w:pPr>
        <w:bidi/>
        <w:jc w:val="center"/>
        <w:rPr>
          <w:rtl/>
          <w:lang w:bidi="fa-IR"/>
        </w:rPr>
      </w:pPr>
    </w:p>
    <w:p w14:paraId="64C92498" w14:textId="77777777" w:rsidR="002E3EAD" w:rsidRDefault="002E3EAD" w:rsidP="002E3EAD">
      <w:pPr>
        <w:pStyle w:val="Subtitle"/>
        <w:bidi/>
        <w:rPr>
          <w:rtl/>
          <w:lang w:bidi="fa-IR"/>
        </w:rPr>
      </w:pPr>
      <w:r>
        <w:rPr>
          <w:rFonts w:hint="cs"/>
          <w:rtl/>
          <w:lang w:bidi="fa-IR"/>
        </w:rPr>
        <w:t>پاییز و زمستان 1402</w:t>
      </w:r>
    </w:p>
    <w:p w14:paraId="138DBCEE" w14:textId="77777777" w:rsidR="002E3EAD" w:rsidRDefault="002E3EAD" w:rsidP="002E3EAD">
      <w:pPr>
        <w:spacing w:before="0"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332BA43B" w14:textId="43BD72A0" w:rsidR="002E3EAD" w:rsidRDefault="002E3EAD" w:rsidP="002E3EAD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تعیین اندازه انباشته اقتصادی برای هر محصول</w:t>
      </w:r>
    </w:p>
    <w:p w14:paraId="7EAAC1E4" w14:textId="7937E490" w:rsidR="002E3EAD" w:rsidRDefault="002E3EAD" w:rsidP="002E3EAD">
      <w:pPr>
        <w:bidi/>
        <w:jc w:val="lowKashida"/>
        <w:rPr>
          <w:rtl/>
          <w:lang w:bidi="fa-IR"/>
        </w:rPr>
      </w:pPr>
      <w:r>
        <w:rPr>
          <w:rFonts w:hint="cs"/>
          <w:rtl/>
        </w:rPr>
        <w:t>برای توسعه سربرنامه تولید</w:t>
      </w:r>
      <w:r w:rsidR="00D5517B">
        <w:rPr>
          <w:rFonts w:hint="cs"/>
          <w:rtl/>
        </w:rPr>
        <w:t>،</w:t>
      </w:r>
      <w:r>
        <w:rPr>
          <w:rFonts w:hint="cs"/>
          <w:rtl/>
        </w:rPr>
        <w:t xml:space="preserve"> نیاز داریم تا اندازه انباشته اقتصادی هر محصول را بدانیم. برای این منظور، باید سیکل مشترک تولید را محاسبه کنیم. برای محاسبه‌ی آن به سه رابطه‌ی زیر نیاز داریم</w:t>
      </w:r>
      <w:r>
        <w:rPr>
          <w:rFonts w:hint="cs"/>
          <w:rtl/>
          <w:lang w:bidi="fa-IR"/>
        </w:rPr>
        <w:t>:</w:t>
      </w:r>
    </w:p>
    <w:p w14:paraId="5B154F1D" w14:textId="6ABAA11E" w:rsidR="002E3EAD" w:rsidRDefault="002E3EAD" w:rsidP="002E3EAD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رابطه‌ی نخست امکان</w:t>
      </w:r>
      <w:r w:rsidR="00D5517B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پذیری تولید با سیکل مشترک را بررسی می‌کند و مقدار کمتر از 1 نشانگر امکان‌پذیر</w:t>
      </w:r>
      <w:r w:rsidR="00D5517B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این امر است.</w:t>
      </w:r>
    </w:p>
    <w:p w14:paraId="60DB18D9" w14:textId="0B11E015" w:rsidR="0093656A" w:rsidRPr="002E3EAD" w:rsidRDefault="0093656A" w:rsidP="0093656A">
      <w:pPr>
        <w:ind w:firstLine="720"/>
        <w:jc w:val="lowKashida"/>
        <w:rPr>
          <w:rFonts w:eastAsiaTheme="minorEastAsia" w:hint="cs"/>
          <w:rtl/>
          <w:lang w:bidi="fa-IR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bidi="fa-IR"/>
              </w:rPr>
            </m:ctrlPr>
          </m:naryPr>
          <m:sub>
            <m:r>
              <w:rPr>
                <w:rFonts w:ascii="Cambria Math" w:hAnsi="Cambria Math"/>
                <w:lang w:bidi="fa-IR"/>
              </w:rPr>
              <m:t>g∈G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g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lang w:bidi="fa-IR"/>
          </w:rPr>
          <m:t>≅0.474</m:t>
        </m:r>
        <m:r>
          <w:rPr>
            <w:rFonts w:ascii="Cambria Math" w:hAnsi="Cambria Math"/>
            <w:lang w:bidi="fa-IR"/>
          </w:rPr>
          <m:t>≤1</m:t>
        </m:r>
      </m:oMath>
      <w:r>
        <w:rPr>
          <w:rFonts w:eastAsiaTheme="minorEastAsia"/>
          <w:lang w:bidi="fa-IR"/>
        </w:rPr>
        <w:t xml:space="preserve"> </w:t>
      </w:r>
    </w:p>
    <w:p w14:paraId="679FBE20" w14:textId="77777777" w:rsidR="0093656A" w:rsidRDefault="002E3EAD" w:rsidP="002E3EAD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رابطه‌ی دوم طول بهینه سیکل را مشخص می‌کند.</w:t>
      </w:r>
    </w:p>
    <w:p w14:paraId="191BD877" w14:textId="38934708" w:rsidR="0093656A" w:rsidRPr="0093656A" w:rsidRDefault="0093656A" w:rsidP="0093656A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g∈G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g∈G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isc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den>
            </m:f>
          </m:e>
        </m:rad>
        <m:r>
          <w:rPr>
            <w:rFonts w:ascii="Cambria Math" w:hAnsi="Cambria Math"/>
          </w:rPr>
          <m:t>≅1.227</m:t>
        </m:r>
      </m:oMath>
      <w:r w:rsidRPr="0093656A">
        <w:rPr>
          <w:rFonts w:eastAsiaTheme="minorEastAsia"/>
        </w:rPr>
        <w:t xml:space="preserve"> </w:t>
      </w:r>
    </w:p>
    <w:p w14:paraId="6C0EBB6A" w14:textId="77777777" w:rsidR="0093656A" w:rsidRDefault="002E3EAD" w:rsidP="0093656A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رابطه‌ی سوم کمینه‌ی طول سیکل را تعیین می‌کند.</w:t>
      </w:r>
    </w:p>
    <w:p w14:paraId="547252F5" w14:textId="412FDF59" w:rsidR="0093656A" w:rsidRPr="0093656A" w:rsidRDefault="0093656A" w:rsidP="0093656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g∈G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1-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g∈G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eastAsiaTheme="minorEastAsia" w:hAnsi="Cambria Math"/>
          </w:rPr>
          <m:t>≅2.281</m:t>
        </m:r>
      </m:oMath>
      <w:r w:rsidRPr="0093656A">
        <w:rPr>
          <w:rFonts w:eastAsiaTheme="minorEastAsia"/>
        </w:rPr>
        <w:t xml:space="preserve"> </w:t>
      </w:r>
    </w:p>
    <w:p w14:paraId="2F3620C6" w14:textId="6E10DBE4" w:rsidR="002E3EAD" w:rsidRDefault="002E3EAD" w:rsidP="0093656A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رابطه‌ی چهارم</w:t>
      </w:r>
      <w:r w:rsidR="00D5517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مقدار نهایی سیکل مشترک تولید را برابر با بیشینه‌ی مقادیر بهینه و کمینه قرار می‌دهد.</w:t>
      </w:r>
    </w:p>
    <w:p w14:paraId="66D33020" w14:textId="21472B71" w:rsidR="0093656A" w:rsidRDefault="0093656A" w:rsidP="0093656A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≅2.281</m:t>
        </m:r>
      </m:oMath>
      <w:r w:rsidRPr="0093656A">
        <w:rPr>
          <w:rFonts w:eastAsiaTheme="minorEastAsia"/>
        </w:rPr>
        <w:t xml:space="preserve"> </w:t>
      </w:r>
    </w:p>
    <w:p w14:paraId="3ED9E010" w14:textId="17D0A295" w:rsidR="00A12642" w:rsidRDefault="00A12642" w:rsidP="00A126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یاد داشته باشید که </w:t>
      </w:r>
      <w:r w:rsidR="0093656A">
        <w:rPr>
          <w:rFonts w:hint="cs"/>
          <w:rtl/>
          <w:lang w:bidi="fa-IR"/>
        </w:rPr>
        <w:t xml:space="preserve">در این </w:t>
      </w:r>
      <w:r w:rsidR="00A95BB0">
        <w:rPr>
          <w:rFonts w:hint="cs"/>
          <w:rtl/>
          <w:lang w:bidi="fa-IR"/>
        </w:rPr>
        <w:t>بخش</w:t>
      </w:r>
      <w:r w:rsidR="0093656A">
        <w:rPr>
          <w:rFonts w:hint="cs"/>
          <w:rtl/>
          <w:lang w:bidi="fa-IR"/>
        </w:rPr>
        <w:t xml:space="preserve"> از پنجره زمانی ماهانه استفاده می‌کنیم</w:t>
      </w:r>
      <w:r>
        <w:rPr>
          <w:rFonts w:hint="cs"/>
          <w:rtl/>
          <w:lang w:bidi="fa-IR"/>
        </w:rPr>
        <w:t>.</w:t>
      </w:r>
    </w:p>
    <w:p w14:paraId="33F3ED67" w14:textId="64DF5078" w:rsidR="00A12642" w:rsidRDefault="00A12642" w:rsidP="00A12642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برای مقادیر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g</m:t>
            </m:r>
          </m:sub>
        </m:sSub>
      </m:oMath>
      <w:r w:rsidR="00D5517B">
        <w:rPr>
          <w:rFonts w:eastAsiaTheme="minorEastAsia" w:hint="cs"/>
          <w:rtl/>
          <w:lang w:bidi="fa-IR"/>
        </w:rPr>
        <w:t xml:space="preserve">، </w:t>
      </w:r>
      <w:r>
        <w:rPr>
          <w:rFonts w:eastAsiaTheme="minorEastAsia" w:hint="cs"/>
          <w:rtl/>
          <w:lang w:bidi="fa-IR"/>
        </w:rPr>
        <w:t>از روابط زیر استفاده می‌کنیم:</w:t>
      </w:r>
    </w:p>
    <w:p w14:paraId="78FFF8F3" w14:textId="214DF0F1" w:rsidR="004266DA" w:rsidRDefault="00A12642" w:rsidP="004266DA">
      <w:pPr>
        <w:rPr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g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g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g∈G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g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g∈G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bidi="fa-IR"/>
                      </w:rPr>
                      <m:t>t∈T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  <w:lang w:bidi="fa-IR"/>
                          </w:rPr>
                          <m:t>t</m:t>
                        </m:r>
                      </m:sub>
                    </m:sSub>
                  </m:e>
                </m:nary>
              </m:e>
            </m:nary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T</m:t>
                </m:r>
              </m:e>
            </m:d>
          </m:den>
        </m:f>
      </m:oMath>
      <w:r>
        <w:rPr>
          <w:rFonts w:hint="cs"/>
          <w:i/>
          <w:rtl/>
          <w:lang w:bidi="fa-IR"/>
        </w:rPr>
        <w:t xml:space="preserve"> </w:t>
      </w:r>
    </w:p>
    <w:p w14:paraId="7B8A5734" w14:textId="3E923303" w:rsidR="004266DA" w:rsidRDefault="004266DA" w:rsidP="004266DA">
      <w:pPr>
        <w:bidi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پس از محاسبه سیکل مشترک تولید، می‌توانیم انباشته اقتصادی هر محصول را بدست آوریم:</w:t>
      </w:r>
    </w:p>
    <w:p w14:paraId="06EBF58F" w14:textId="1B3F020D" w:rsidR="004266DA" w:rsidRDefault="004266DA" w:rsidP="004266DA">
      <w:pPr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LS</m:t>
            </m:r>
          </m:e>
          <m:sub>
            <m:r>
              <w:rPr>
                <w:rFonts w:ascii="Cambria Math" w:hAnsi="Cambria Math"/>
                <w:lang w:bidi="fa-IR"/>
              </w:rPr>
              <m:t>g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g</m:t>
            </m:r>
          </m:sub>
        </m:sSub>
        <m:r>
          <w:rPr>
            <w:rFonts w:ascii="Cambria Math" w:hAnsi="Cambria Math"/>
            <w:lang w:bidi="fa-IR"/>
          </w:rPr>
          <m:t>×T</m:t>
        </m:r>
      </m:oMath>
      <w:r>
        <w:rPr>
          <w:rFonts w:hint="cs"/>
          <w:i/>
          <w:rtl/>
          <w:lang w:bidi="fa-IR"/>
        </w:rPr>
        <w:t xml:space="preserve"> </w:t>
      </w:r>
    </w:p>
    <w:p w14:paraId="009FCD1E" w14:textId="0F56E701" w:rsidR="009976ED" w:rsidRDefault="009976ED" w:rsidP="004266DA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m:t>L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216218</m:t>
        </m:r>
      </m:oMath>
      <w:r>
        <w:rPr>
          <w:rFonts w:eastAsiaTheme="minorEastAsia"/>
          <w:i/>
          <w:lang w:bidi="fa-IR"/>
        </w:rPr>
        <w:t xml:space="preserve"> </w:t>
      </w:r>
    </w:p>
    <w:p w14:paraId="6688FE9C" w14:textId="1865D798" w:rsidR="009976ED" w:rsidRDefault="009976ED" w:rsidP="004266DA">
      <w:pPr>
        <w:rPr>
          <w:rFonts w:eastAsiaTheme="minorEastAsia"/>
          <w:i/>
          <w:lang w:bidi="fa-IR"/>
        </w:rPr>
      </w:pPr>
      <m:oMath>
        <m:r>
          <w:rPr>
            <w:rFonts w:ascii="Cambria Math" w:hAnsi="Cambria Math"/>
            <w:lang w:bidi="fa-IR"/>
          </w:rPr>
          <m:t>L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144145</m:t>
        </m:r>
      </m:oMath>
      <w:r>
        <w:rPr>
          <w:rFonts w:eastAsiaTheme="minorEastAsia"/>
          <w:i/>
          <w:lang w:bidi="fa-IR"/>
        </w:rPr>
        <w:t xml:space="preserve"> </w:t>
      </w:r>
    </w:p>
    <w:p w14:paraId="7CEE72CA" w14:textId="60CB73D0" w:rsidR="009976ED" w:rsidRPr="004266DA" w:rsidRDefault="009976ED" w:rsidP="004266DA">
      <w:pPr>
        <w:rPr>
          <w:rFonts w:hint="cs"/>
          <w:i/>
          <w:rtl/>
          <w:lang w:bidi="fa-IR"/>
        </w:rPr>
      </w:pPr>
      <m:oMath>
        <m:r>
          <w:rPr>
            <w:rFonts w:ascii="Cambria Math" w:hAnsi="Cambria Math"/>
            <w:lang w:bidi="fa-IR"/>
          </w:rPr>
          <m:t>L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90092</m:t>
        </m:r>
      </m:oMath>
      <w:r>
        <w:rPr>
          <w:rFonts w:eastAsiaTheme="minorEastAsia"/>
          <w:i/>
          <w:lang w:bidi="fa-IR"/>
        </w:rPr>
        <w:t xml:space="preserve"> </w:t>
      </w:r>
    </w:p>
    <w:p w14:paraId="0E7BB844" w14:textId="3C4D8F2C" w:rsidR="0093656A" w:rsidRDefault="0093656A" w:rsidP="0093656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توضیحات پارامترها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3457"/>
        <w:gridCol w:w="1920"/>
        <w:gridCol w:w="2755"/>
      </w:tblGrid>
      <w:tr w:rsidR="0093656A" w:rsidRPr="00AE0A1C" w14:paraId="0605828D" w14:textId="77777777" w:rsidTr="00940AFE">
        <w:tc>
          <w:tcPr>
            <w:tcW w:w="1218" w:type="dxa"/>
            <w:vAlign w:val="center"/>
          </w:tcPr>
          <w:p w14:paraId="21A41FB3" w14:textId="77777777" w:rsidR="0093656A" w:rsidRPr="00AE0A1C" w:rsidRDefault="0093656A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Parameter</w:t>
            </w:r>
          </w:p>
        </w:tc>
        <w:tc>
          <w:tcPr>
            <w:tcW w:w="3457" w:type="dxa"/>
            <w:vAlign w:val="center"/>
          </w:tcPr>
          <w:p w14:paraId="3060D51E" w14:textId="77777777" w:rsidR="0093656A" w:rsidRPr="00AE0A1C" w:rsidRDefault="0093656A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Description</w:t>
            </w:r>
          </w:p>
        </w:tc>
        <w:tc>
          <w:tcPr>
            <w:tcW w:w="1920" w:type="dxa"/>
            <w:vAlign w:val="center"/>
          </w:tcPr>
          <w:p w14:paraId="0DDCB77E" w14:textId="77777777" w:rsidR="0093656A" w:rsidRPr="00AE0A1C" w:rsidRDefault="0093656A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Dimension</w:t>
            </w:r>
          </w:p>
        </w:tc>
        <w:tc>
          <w:tcPr>
            <w:tcW w:w="2755" w:type="dxa"/>
            <w:vAlign w:val="center"/>
          </w:tcPr>
          <w:p w14:paraId="67781D36" w14:textId="77777777" w:rsidR="0093656A" w:rsidRPr="00AE0A1C" w:rsidRDefault="0093656A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Default Value</w:t>
            </w:r>
          </w:p>
        </w:tc>
      </w:tr>
      <w:tr w:rsidR="00A95BB0" w:rsidRPr="00AE0A1C" w14:paraId="67935AEA" w14:textId="77777777" w:rsidTr="00940AFE">
        <w:tc>
          <w:tcPr>
            <w:tcW w:w="1218" w:type="dxa"/>
            <w:vAlign w:val="center"/>
          </w:tcPr>
          <w:p w14:paraId="2E5ADF02" w14:textId="38EE1E13" w:rsidR="00A95BB0" w:rsidRPr="00AE0A1C" w:rsidRDefault="00A95BB0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fa-IR"/>
                </w:rPr>
                <m:t>T</m:t>
              </m:r>
            </m:oMath>
            <w:r>
              <w:rPr>
                <w:rFonts w:eastAsiaTheme="minorEastAsia"/>
                <w:b/>
                <w:bCs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6F2A0ED0" w14:textId="0392BB39" w:rsidR="00A95BB0" w:rsidRPr="00A95BB0" w:rsidRDefault="007319A6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months</w:t>
            </w:r>
          </w:p>
        </w:tc>
        <w:tc>
          <w:tcPr>
            <w:tcW w:w="1920" w:type="dxa"/>
            <w:vAlign w:val="center"/>
          </w:tcPr>
          <w:p w14:paraId="3B873F84" w14:textId="1223DBD9" w:rsidR="00A95BB0" w:rsidRPr="00A95BB0" w:rsidRDefault="00A95BB0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-</w:t>
            </w:r>
          </w:p>
        </w:tc>
        <w:tc>
          <w:tcPr>
            <w:tcW w:w="2755" w:type="dxa"/>
            <w:vAlign w:val="center"/>
          </w:tcPr>
          <w:p w14:paraId="4E9C91D4" w14:textId="34F3B868" w:rsidR="00A95BB0" w:rsidRPr="00AE0A1C" w:rsidRDefault="00A95BB0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20,21,…,25</m:t>
                  </m:r>
                </m:e>
              </m:d>
            </m:oMath>
            <w:r>
              <w:rPr>
                <w:rFonts w:eastAsiaTheme="minorEastAsia"/>
                <w:b/>
                <w:bCs/>
                <w:sz w:val="22"/>
                <w:szCs w:val="22"/>
                <w:lang w:bidi="fa-IR"/>
              </w:rPr>
              <w:t xml:space="preserve"> </w:t>
            </w:r>
          </w:p>
        </w:tc>
      </w:tr>
      <w:tr w:rsidR="0093656A" w:rsidRPr="00AE0A1C" w14:paraId="5BD3DA95" w14:textId="77777777" w:rsidTr="00940AFE">
        <w:tc>
          <w:tcPr>
            <w:tcW w:w="1218" w:type="dxa"/>
            <w:vAlign w:val="center"/>
          </w:tcPr>
          <w:p w14:paraId="7D651E59" w14:textId="77777777" w:rsidR="0093656A" w:rsidRPr="00AE0A1C" w:rsidRDefault="0093656A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G</m:t>
              </m:r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2B4A47C6" w14:textId="77777777" w:rsidR="0093656A" w:rsidRPr="00AE0A1C" w:rsidRDefault="0093656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 w:rsidRPr="00AE0A1C">
              <w:rPr>
                <w:sz w:val="22"/>
                <w:szCs w:val="22"/>
                <w:lang w:bidi="fa-IR"/>
              </w:rPr>
              <w:t>product groups</w:t>
            </w:r>
          </w:p>
        </w:tc>
        <w:tc>
          <w:tcPr>
            <w:tcW w:w="1920" w:type="dxa"/>
            <w:vAlign w:val="center"/>
          </w:tcPr>
          <w:p w14:paraId="5BB0521E" w14:textId="77777777" w:rsidR="0093656A" w:rsidRPr="00AE0A1C" w:rsidRDefault="0093656A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-</w:t>
            </w:r>
          </w:p>
        </w:tc>
        <w:tc>
          <w:tcPr>
            <w:tcW w:w="2755" w:type="dxa"/>
            <w:vAlign w:val="center"/>
          </w:tcPr>
          <w:p w14:paraId="164B24EA" w14:textId="77777777" w:rsidR="0093656A" w:rsidRPr="00AE0A1C" w:rsidRDefault="0093656A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1,2,3</m:t>
                  </m:r>
                </m:e>
              </m:d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</w:tr>
      <w:tr w:rsidR="00A95BB0" w:rsidRPr="00AE0A1C" w14:paraId="3FC54446" w14:textId="77777777" w:rsidTr="00940AFE">
        <w:tc>
          <w:tcPr>
            <w:tcW w:w="1218" w:type="dxa"/>
            <w:vAlign w:val="center"/>
          </w:tcPr>
          <w:p w14:paraId="2E10B858" w14:textId="66EAD312" w:rsidR="00A95BB0" w:rsidRDefault="00A95BB0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gt</m:t>
                  </m:r>
                </m:sub>
              </m:sSub>
            </m:oMath>
            <w:r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527CCCFA" w14:textId="6AC5E537" w:rsidR="00A95BB0" w:rsidRPr="00A95BB0" w:rsidRDefault="00A95BB0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 xml:space="preserve">forecasted demand for 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  <w:r>
              <w:rPr>
                <w:rFonts w:eastAsiaTheme="minorEastAsia"/>
                <w:sz w:val="22"/>
                <w:szCs w:val="22"/>
                <w:lang w:bidi="fa-IR"/>
              </w:rPr>
              <w:t xml:space="preserve"> in </w:t>
            </w:r>
            <w:r w:rsidR="007319A6">
              <w:rPr>
                <w:rFonts w:eastAsiaTheme="minorEastAsia"/>
                <w:sz w:val="22"/>
                <w:szCs w:val="22"/>
                <w:lang w:bidi="fa-IR"/>
              </w:rPr>
              <w:t>month</w:t>
            </w:r>
            <w:r>
              <w:rPr>
                <w:rFonts w:eastAsiaTheme="minorEastAsia"/>
                <w:sz w:val="22"/>
                <w:szCs w:val="22"/>
                <w:lang w:bidi="fa-I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  <w:lang w:bidi="fa-IR"/>
                </w:rPr>
                <m:t>t</m:t>
              </m:r>
            </m:oMath>
          </w:p>
        </w:tc>
        <w:tc>
          <w:tcPr>
            <w:tcW w:w="1920" w:type="dxa"/>
            <w:vAlign w:val="center"/>
          </w:tcPr>
          <w:p w14:paraId="18D077D4" w14:textId="55C6968F" w:rsidR="00A95BB0" w:rsidRPr="004266DA" w:rsidRDefault="004266D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units</w:t>
            </w:r>
          </w:p>
        </w:tc>
        <w:tc>
          <w:tcPr>
            <w:tcW w:w="2755" w:type="dxa"/>
            <w:vAlign w:val="center"/>
          </w:tcPr>
          <w:p w14:paraId="1091ADCD" w14:textId="10ACF3DF" w:rsidR="00A95BB0" w:rsidRDefault="004266DA" w:rsidP="004266DA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w:r w:rsidRPr="00AE0A1C">
              <w:rPr>
                <w:rFonts w:eastAsia="Calibri"/>
                <w:sz w:val="22"/>
                <w:szCs w:val="22"/>
                <w:lang w:bidi="fa-IR"/>
              </w:rPr>
              <w:t>G1 Forecast (WMA),</w:t>
            </w:r>
            <w:r>
              <w:rPr>
                <w:rFonts w:eastAsia="Calibri"/>
                <w:sz w:val="22"/>
                <w:szCs w:val="22"/>
                <w:lang w:bidi="fa-IR"/>
              </w:rPr>
              <w:br/>
            </w:r>
            <w:r w:rsidRPr="00AE0A1C">
              <w:rPr>
                <w:rFonts w:eastAsia="Calibri"/>
                <w:sz w:val="22"/>
                <w:szCs w:val="22"/>
                <w:lang w:bidi="fa-IR"/>
              </w:rPr>
              <w:t>G2 Forecast (ALR),</w:t>
            </w:r>
            <w:r>
              <w:rPr>
                <w:rFonts w:eastAsia="Calibri"/>
                <w:sz w:val="22"/>
                <w:szCs w:val="22"/>
                <w:lang w:bidi="fa-IR"/>
              </w:rPr>
              <w:br/>
            </w:r>
            <w:r w:rsidRPr="00AE0A1C">
              <w:rPr>
                <w:rFonts w:eastAsia="Calibri"/>
                <w:sz w:val="22"/>
                <w:szCs w:val="22"/>
                <w:lang w:bidi="fa-IR"/>
              </w:rPr>
              <w:t>G3 Forecast (ALR)</w:t>
            </w:r>
          </w:p>
        </w:tc>
      </w:tr>
      <w:tr w:rsidR="0093656A" w:rsidRPr="00AE0A1C" w14:paraId="11DBDD3E" w14:textId="77777777" w:rsidTr="00940AFE">
        <w:tc>
          <w:tcPr>
            <w:tcW w:w="1218" w:type="dxa"/>
            <w:vAlign w:val="center"/>
          </w:tcPr>
          <w:p w14:paraId="69755B18" w14:textId="41685C8E" w:rsidR="0093656A" w:rsidRPr="00AE0A1C" w:rsidRDefault="0093656A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g</m:t>
                  </m:r>
                </m:sub>
              </m:sSub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5634A72C" w14:textId="79AC7A55" w:rsidR="0093656A" w:rsidRPr="00AE0A1C" w:rsidRDefault="0093656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rFonts w:eastAsiaTheme="minorEastAsia"/>
                <w:sz w:val="22"/>
                <w:szCs w:val="22"/>
                <w:lang w:bidi="fa-IR"/>
              </w:rPr>
              <w:t xml:space="preserve">production capacity </w:t>
            </w:r>
            <w:r w:rsidR="00A12642">
              <w:rPr>
                <w:rFonts w:eastAsiaTheme="minorEastAsia"/>
                <w:sz w:val="22"/>
                <w:szCs w:val="22"/>
                <w:lang w:bidi="fa-IR"/>
              </w:rPr>
              <w:t>of</w:t>
            </w:r>
            <w:r>
              <w:rPr>
                <w:rFonts w:eastAsiaTheme="minorEastAsia"/>
                <w:sz w:val="22"/>
                <w:szCs w:val="22"/>
                <w:lang w:bidi="fa-IR"/>
              </w:rPr>
              <w:t xml:space="preserve"> </w:t>
            </w:r>
            <w:r>
              <w:rPr>
                <w:sz w:val="22"/>
                <w:szCs w:val="22"/>
                <w:lang w:bidi="fa-IR"/>
              </w:rPr>
              <w:t xml:space="preserve">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</w:p>
        </w:tc>
        <w:tc>
          <w:tcPr>
            <w:tcW w:w="1920" w:type="dxa"/>
            <w:vAlign w:val="center"/>
          </w:tcPr>
          <w:p w14:paraId="3CFE1BB3" w14:textId="77777777" w:rsidR="0093656A" w:rsidRPr="00AE0A1C" w:rsidRDefault="0093656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 w:rsidRPr="00AE0A1C">
              <w:rPr>
                <w:sz w:val="22"/>
                <w:szCs w:val="22"/>
                <w:lang w:bidi="fa-IR"/>
              </w:rPr>
              <w:t>units</w:t>
            </w:r>
          </w:p>
        </w:tc>
        <w:tc>
          <w:tcPr>
            <w:tcW w:w="2755" w:type="dxa"/>
            <w:vAlign w:val="center"/>
          </w:tcPr>
          <w:p w14:paraId="0218F0D5" w14:textId="3BFD12D0" w:rsidR="0093656A" w:rsidRPr="00AE0A1C" w:rsidRDefault="0093656A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2.4e4,1.6e4,1e4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 xml:space="preserve"> </m:t>
              </m:r>
            </m:oMath>
            <w:r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</w:tr>
      <w:tr w:rsidR="0093656A" w:rsidRPr="00AE0A1C" w14:paraId="46D685E8" w14:textId="77777777" w:rsidTr="00940AFE">
        <w:tc>
          <w:tcPr>
            <w:tcW w:w="1218" w:type="dxa"/>
            <w:vAlign w:val="center"/>
          </w:tcPr>
          <w:p w14:paraId="3AC36067" w14:textId="5C6AFE84" w:rsidR="0093656A" w:rsidRPr="00AE0A1C" w:rsidRDefault="0093656A" w:rsidP="00940AFE">
            <w:pPr>
              <w:spacing w:line="276" w:lineRule="auto"/>
              <w:rPr>
                <w:rFonts w:eastAsia="Times New Roman"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="Times New Roman" w:hAnsi="Cambria Math"/>
                  <w:sz w:val="22"/>
                  <w:szCs w:val="22"/>
                  <w:lang w:bidi="fa-IR"/>
                </w:rPr>
                <m:t>s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2"/>
                      <w:szCs w:val="22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sz w:val="22"/>
                      <w:szCs w:val="22"/>
                      <w:lang w:bidi="fa-IR"/>
                    </w:rPr>
                    <m:t>g</m:t>
                  </m:r>
                </m:sub>
              </m:sSub>
            </m:oMath>
            <w:r w:rsidRPr="00AE0A1C">
              <w:rPr>
                <w:rFonts w:eastAsia="Times New Roman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745627D5" w14:textId="513BE831" w:rsidR="0093656A" w:rsidRPr="00AE0A1C" w:rsidRDefault="0093656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rFonts w:eastAsiaTheme="minorEastAsia"/>
                <w:sz w:val="22"/>
                <w:szCs w:val="22"/>
                <w:lang w:bidi="fa-IR"/>
              </w:rPr>
              <w:t>startup time</w:t>
            </w:r>
            <w:r>
              <w:rPr>
                <w:sz w:val="22"/>
                <w:szCs w:val="22"/>
                <w:lang w:bidi="fa-IR"/>
              </w:rPr>
              <w:t xml:space="preserve"> </w:t>
            </w:r>
            <w:r w:rsidR="00A12642">
              <w:rPr>
                <w:sz w:val="22"/>
                <w:szCs w:val="22"/>
                <w:lang w:bidi="fa-IR"/>
              </w:rPr>
              <w:t>of</w:t>
            </w:r>
            <w:r>
              <w:rPr>
                <w:sz w:val="22"/>
                <w:szCs w:val="22"/>
                <w:lang w:bidi="fa-IR"/>
              </w:rPr>
              <w:t xml:space="preserve"> 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  <w:r>
              <w:rPr>
                <w:rFonts w:eastAsiaTheme="minorEastAsia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1920" w:type="dxa"/>
            <w:vAlign w:val="center"/>
          </w:tcPr>
          <w:p w14:paraId="2842FD1B" w14:textId="3C286E0E" w:rsidR="0093656A" w:rsidRPr="00AE0A1C" w:rsidRDefault="00A12642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months</w:t>
            </w:r>
          </w:p>
        </w:tc>
        <w:tc>
          <w:tcPr>
            <w:tcW w:w="2755" w:type="dxa"/>
            <w:vAlign w:val="center"/>
          </w:tcPr>
          <w:p w14:paraId="2CF4CFD9" w14:textId="70BA35A4" w:rsidR="0093656A" w:rsidRPr="00AE0A1C" w:rsidRDefault="00A12642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0.6,0.36,0.24</m:t>
                  </m:r>
                </m:e>
              </m:d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</w:tr>
      <w:tr w:rsidR="0093656A" w:rsidRPr="00AE0A1C" w14:paraId="4D2C1914" w14:textId="77777777" w:rsidTr="00940AFE">
        <w:tc>
          <w:tcPr>
            <w:tcW w:w="1218" w:type="dxa"/>
            <w:vAlign w:val="center"/>
          </w:tcPr>
          <w:p w14:paraId="2EDBF976" w14:textId="1E1FA0D2" w:rsidR="0093656A" w:rsidRPr="00AE0A1C" w:rsidRDefault="0093656A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s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g</m:t>
                  </m:r>
                </m:sub>
              </m:sSub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47FDF816" w14:textId="3E074C77" w:rsidR="0093656A" w:rsidRPr="00AE0A1C" w:rsidRDefault="0093656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 xml:space="preserve">startup cost </w:t>
            </w:r>
            <w:r w:rsidR="00A12642">
              <w:rPr>
                <w:sz w:val="22"/>
                <w:szCs w:val="22"/>
                <w:lang w:bidi="fa-IR"/>
              </w:rPr>
              <w:t>of</w:t>
            </w:r>
            <w:r>
              <w:rPr>
                <w:sz w:val="22"/>
                <w:szCs w:val="22"/>
                <w:lang w:bidi="fa-IR"/>
              </w:rPr>
              <w:t xml:space="preserve"> 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</w:p>
        </w:tc>
        <w:tc>
          <w:tcPr>
            <w:tcW w:w="1920" w:type="dxa"/>
            <w:vAlign w:val="center"/>
          </w:tcPr>
          <w:p w14:paraId="7523441F" w14:textId="7436E928" w:rsidR="0093656A" w:rsidRPr="00AE0A1C" w:rsidRDefault="00A12642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tomans</w:t>
            </w:r>
          </w:p>
        </w:tc>
        <w:tc>
          <w:tcPr>
            <w:tcW w:w="2755" w:type="dxa"/>
            <w:vAlign w:val="center"/>
          </w:tcPr>
          <w:p w14:paraId="64F95B2F" w14:textId="0EC3797A" w:rsidR="0093656A" w:rsidRPr="00AE0A1C" w:rsidRDefault="00A12642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1e10</m:t>
                  </m:r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,</m:t>
                  </m:r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8e9</m:t>
                  </m:r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,</m:t>
                  </m:r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6e9</m:t>
                  </m:r>
                </m:e>
              </m:d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</w:tr>
      <w:tr w:rsidR="0093656A" w:rsidRPr="00AE0A1C" w14:paraId="0F5A3E3C" w14:textId="77777777" w:rsidTr="00940AFE">
        <w:tc>
          <w:tcPr>
            <w:tcW w:w="1218" w:type="dxa"/>
            <w:vAlign w:val="center"/>
          </w:tcPr>
          <w:p w14:paraId="2FCAE989" w14:textId="0D0B43BD" w:rsidR="0093656A" w:rsidRPr="00AE0A1C" w:rsidRDefault="00A12642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is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g</m:t>
                  </m:r>
                </m:sub>
              </m:sSub>
            </m:oMath>
            <w:r w:rsidR="0093656A"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3457" w:type="dxa"/>
            <w:vAlign w:val="center"/>
          </w:tcPr>
          <w:p w14:paraId="166DFB5F" w14:textId="3D1428BA" w:rsidR="0093656A" w:rsidRPr="00AE0A1C" w:rsidRDefault="00A12642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 xml:space="preserve">inventory surplus cost of 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</w:p>
        </w:tc>
        <w:tc>
          <w:tcPr>
            <w:tcW w:w="1920" w:type="dxa"/>
            <w:vAlign w:val="center"/>
          </w:tcPr>
          <w:p w14:paraId="145133BF" w14:textId="77777777" w:rsidR="0093656A" w:rsidRPr="00AE0A1C" w:rsidRDefault="0093656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 w:rsidRPr="00AE0A1C">
              <w:rPr>
                <w:sz w:val="22"/>
                <w:szCs w:val="22"/>
                <w:lang w:bidi="fa-IR"/>
              </w:rPr>
              <w:t>tomans per unit</w:t>
            </w:r>
          </w:p>
        </w:tc>
        <w:tc>
          <w:tcPr>
            <w:tcW w:w="2755" w:type="dxa"/>
            <w:vAlign w:val="center"/>
          </w:tcPr>
          <w:p w14:paraId="0A3ADDC3" w14:textId="16D900E7" w:rsidR="0093656A" w:rsidRPr="00AE0A1C" w:rsidRDefault="00A12642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bidi="fa-IR"/>
                        </w:rPr>
                        <m:t>2.3e6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bidi="fa-IR"/>
                        </w:rPr>
                        <m:t>12</m:t>
                      </m:r>
                    </m:den>
                  </m:f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,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bidi="fa-IR"/>
                        </w:rPr>
                        <m:t>3.1e6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bidi="fa-IR"/>
                        </w:rPr>
                        <m:t>12</m:t>
                      </m:r>
                    </m:den>
                  </m:f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,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2"/>
                          <w:szCs w:val="2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bidi="fa-IR"/>
                        </w:rPr>
                        <m:t>5.6e6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2"/>
                          <w:szCs w:val="22"/>
                          <w:lang w:bidi="fa-IR"/>
                        </w:rPr>
                        <m:t>12</m:t>
                      </m:r>
                    </m:den>
                  </m:f>
                </m:e>
              </m:d>
            </m:oMath>
            <w:r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</w:tr>
    </w:tbl>
    <w:p w14:paraId="12618032" w14:textId="77777777" w:rsidR="00A95BB0" w:rsidRDefault="00A95BB0" w:rsidP="00A95BB0">
      <w:pPr>
        <w:bidi/>
        <w:rPr>
          <w:lang w:bidi="fa-IR"/>
        </w:rPr>
      </w:pPr>
    </w:p>
    <w:p w14:paraId="1639E401" w14:textId="7C598C1F" w:rsidR="00A12642" w:rsidRDefault="00A12642" w:rsidP="00A95BB0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توضیحات </w:t>
      </w:r>
      <w:r>
        <w:rPr>
          <w:rFonts w:hint="cs"/>
          <w:rtl/>
          <w:lang w:bidi="fa-IR"/>
        </w:rPr>
        <w:t>متغیرها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246"/>
        <w:gridCol w:w="1219"/>
      </w:tblGrid>
      <w:tr w:rsidR="00A12642" w:rsidRPr="00AE0A1C" w14:paraId="6B6D94E3" w14:textId="77777777" w:rsidTr="00940AFE">
        <w:tc>
          <w:tcPr>
            <w:tcW w:w="1885" w:type="dxa"/>
          </w:tcPr>
          <w:p w14:paraId="50FBEB12" w14:textId="7B3FE9E1" w:rsidR="00A12642" w:rsidRPr="00AE0A1C" w:rsidRDefault="00A12642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Variable</w:t>
            </w:r>
          </w:p>
        </w:tc>
        <w:tc>
          <w:tcPr>
            <w:tcW w:w="6246" w:type="dxa"/>
          </w:tcPr>
          <w:p w14:paraId="6B760168" w14:textId="77777777" w:rsidR="00A12642" w:rsidRPr="00AE0A1C" w:rsidRDefault="00A12642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Description</w:t>
            </w:r>
          </w:p>
        </w:tc>
        <w:tc>
          <w:tcPr>
            <w:tcW w:w="1219" w:type="dxa"/>
          </w:tcPr>
          <w:p w14:paraId="2920D3E4" w14:textId="77777777" w:rsidR="00A12642" w:rsidRPr="00AE0A1C" w:rsidRDefault="00A12642" w:rsidP="00940AFE">
            <w:pPr>
              <w:spacing w:line="276" w:lineRule="auto"/>
              <w:rPr>
                <w:b/>
                <w:bCs/>
                <w:sz w:val="22"/>
                <w:szCs w:val="22"/>
                <w:lang w:bidi="fa-IR"/>
              </w:rPr>
            </w:pPr>
            <w:r w:rsidRPr="00AE0A1C">
              <w:rPr>
                <w:b/>
                <w:bCs/>
                <w:sz w:val="22"/>
                <w:szCs w:val="22"/>
                <w:lang w:bidi="fa-IR"/>
              </w:rPr>
              <w:t>Dimension</w:t>
            </w:r>
          </w:p>
        </w:tc>
      </w:tr>
      <w:tr w:rsidR="00A12642" w:rsidRPr="00AE0A1C" w14:paraId="455C55E9" w14:textId="77777777" w:rsidTr="00940AFE">
        <w:tc>
          <w:tcPr>
            <w:tcW w:w="1885" w:type="dxa"/>
          </w:tcPr>
          <w:p w14:paraId="65F5B81B" w14:textId="042F8A68" w:rsidR="00A12642" w:rsidRPr="00AE0A1C" w:rsidRDefault="004266D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bidi="fa-IR"/>
                    </w:rPr>
                    <m:t>g</m:t>
                  </m:r>
                </m:sub>
              </m:sSub>
            </m:oMath>
            <w:r w:rsidR="00A12642" w:rsidRPr="00AE0A1C">
              <w:rPr>
                <w:rFonts w:eastAsiaTheme="minorEastAsia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6246" w:type="dxa"/>
          </w:tcPr>
          <w:p w14:paraId="1EA4D687" w14:textId="69E54BC9" w:rsidR="00A12642" w:rsidRPr="00AE0A1C" w:rsidRDefault="004266D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 xml:space="preserve">demand for 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</w:p>
        </w:tc>
        <w:tc>
          <w:tcPr>
            <w:tcW w:w="1219" w:type="dxa"/>
          </w:tcPr>
          <w:p w14:paraId="34C6B00B" w14:textId="77777777" w:rsidR="00A12642" w:rsidRPr="00AE0A1C" w:rsidRDefault="00A12642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 w:rsidRPr="00AE0A1C">
              <w:rPr>
                <w:sz w:val="22"/>
                <w:szCs w:val="22"/>
                <w:lang w:bidi="fa-IR"/>
              </w:rPr>
              <w:t>units</w:t>
            </w:r>
          </w:p>
        </w:tc>
      </w:tr>
      <w:tr w:rsidR="00A12642" w:rsidRPr="00AE0A1C" w14:paraId="7227B7BD" w14:textId="77777777" w:rsidTr="00940AFE">
        <w:tc>
          <w:tcPr>
            <w:tcW w:w="1885" w:type="dxa"/>
          </w:tcPr>
          <w:p w14:paraId="0258A32A" w14:textId="3FF1E2B6" w:rsidR="00A12642" w:rsidRPr="00AE0A1C" w:rsidRDefault="004266DA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T</m:t>
              </m:r>
            </m:oMath>
            <w:r w:rsidR="00A12642" w:rsidRPr="00AE0A1C"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6246" w:type="dxa"/>
          </w:tcPr>
          <w:p w14:paraId="1D783BBB" w14:textId="1A15A7B6" w:rsidR="00A12642" w:rsidRPr="00AE0A1C" w:rsidRDefault="004266D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joint production cycle time</w:t>
            </w:r>
          </w:p>
        </w:tc>
        <w:tc>
          <w:tcPr>
            <w:tcW w:w="1219" w:type="dxa"/>
          </w:tcPr>
          <w:p w14:paraId="289834A0" w14:textId="220D29AB" w:rsidR="00A12642" w:rsidRPr="00AE0A1C" w:rsidRDefault="004266DA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months</w:t>
            </w:r>
          </w:p>
        </w:tc>
      </w:tr>
      <w:tr w:rsidR="009976ED" w:rsidRPr="00AE0A1C" w14:paraId="2CAF8260" w14:textId="77777777" w:rsidTr="00940AFE">
        <w:tc>
          <w:tcPr>
            <w:tcW w:w="1885" w:type="dxa"/>
          </w:tcPr>
          <w:p w14:paraId="5BAEB12B" w14:textId="781501B2" w:rsidR="009976ED" w:rsidRDefault="009976ED" w:rsidP="00940AFE">
            <w:pPr>
              <w:spacing w:line="276" w:lineRule="auto"/>
              <w:rPr>
                <w:rFonts w:eastAsia="Calibri"/>
                <w:sz w:val="22"/>
                <w:szCs w:val="22"/>
                <w:lang w:bidi="fa-IR"/>
              </w:rPr>
            </w:pPr>
            <m:oMath>
              <m:r>
                <w:rPr>
                  <w:rFonts w:ascii="Cambria Math" w:eastAsia="Calibri" w:hAnsi="Cambria Math"/>
                  <w:sz w:val="22"/>
                  <w:szCs w:val="22"/>
                  <w:lang w:bidi="fa-IR"/>
                </w:rPr>
                <m:t>L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/>
                      <w:sz w:val="22"/>
                      <w:szCs w:val="22"/>
                      <w:lang w:bidi="fa-IR"/>
                    </w:rPr>
                    <m:t>g</m:t>
                  </m:r>
                </m:sub>
              </m:sSub>
            </m:oMath>
            <w:r>
              <w:rPr>
                <w:rFonts w:eastAsia="Calibri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6246" w:type="dxa"/>
          </w:tcPr>
          <w:p w14:paraId="57CFA9B1" w14:textId="443AA83B" w:rsidR="009976ED" w:rsidRDefault="009976ED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 xml:space="preserve">lot size of group </w:t>
            </w:r>
            <m:oMath>
              <m:r>
                <w:rPr>
                  <w:rFonts w:ascii="Cambria Math" w:hAnsi="Cambria Math"/>
                  <w:sz w:val="22"/>
                  <w:szCs w:val="22"/>
                  <w:lang w:bidi="fa-IR"/>
                </w:rPr>
                <m:t>g</m:t>
              </m:r>
            </m:oMath>
          </w:p>
        </w:tc>
        <w:tc>
          <w:tcPr>
            <w:tcW w:w="1219" w:type="dxa"/>
          </w:tcPr>
          <w:p w14:paraId="54ADDACB" w14:textId="4AE7EE2F" w:rsidR="009976ED" w:rsidRDefault="009976ED" w:rsidP="00940AFE">
            <w:pPr>
              <w:spacing w:line="276" w:lineRule="auto"/>
              <w:rPr>
                <w:sz w:val="22"/>
                <w:szCs w:val="22"/>
                <w:lang w:bidi="fa-IR"/>
              </w:rPr>
            </w:pPr>
            <w:r>
              <w:rPr>
                <w:sz w:val="22"/>
                <w:szCs w:val="22"/>
                <w:lang w:bidi="fa-IR"/>
              </w:rPr>
              <w:t>units</w:t>
            </w:r>
          </w:p>
        </w:tc>
      </w:tr>
    </w:tbl>
    <w:p w14:paraId="6BCB1499" w14:textId="7A1163D0" w:rsidR="009976ED" w:rsidRDefault="009976ED" w:rsidP="0093656A">
      <w:pPr>
        <w:bidi/>
        <w:rPr>
          <w:rtl/>
          <w:lang w:bidi="fa-IR"/>
        </w:rPr>
      </w:pPr>
    </w:p>
    <w:p w14:paraId="082F2970" w14:textId="77777777" w:rsidR="009976ED" w:rsidRDefault="009976ED">
      <w:pPr>
        <w:spacing w:before="0"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5F9F3717" w14:textId="181E3EB5" w:rsidR="0093656A" w:rsidRDefault="009976ED" w:rsidP="009976E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تعیین سربرنامه تولید</w:t>
      </w:r>
    </w:p>
    <w:p w14:paraId="4A9B8885" w14:textId="77777777" w:rsidR="003F0BB6" w:rsidRDefault="007319A6" w:rsidP="003F0BB6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برای این بخش، الگوریتم تدریس‌شده در کلاس را در زبان پایتون پیاده‌سازی کردیم. نخست، مقادیر پیشبینی </w:t>
      </w:r>
      <w:r w:rsidR="003F0BB6">
        <w:rPr>
          <w:rFonts w:hint="cs"/>
          <w:rtl/>
          <w:lang w:bidi="fa-IR"/>
        </w:rPr>
        <w:t>هر ماه را بر چهار تقسیم کرده و از پنجره زمانی هفتگی استفاده کردیم</w:t>
      </w:r>
      <w:r>
        <w:rPr>
          <w:rFonts w:hint="cs"/>
          <w:rtl/>
          <w:lang w:bidi="fa-IR"/>
        </w:rPr>
        <w:t>.</w:t>
      </w:r>
    </w:p>
    <w:p w14:paraId="274967D2" w14:textId="77777777" w:rsidR="003F0BB6" w:rsidRDefault="003F0BB6" w:rsidP="003F0BB6">
      <w:pPr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gt</m:t>
            </m:r>
          </m:sub>
        </m:sSub>
        <m:r>
          <w:rPr>
            <w:rFonts w:ascii="Cambria Math" w:hAnsi="Cambria Math"/>
            <w:lang w:bidi="fa-IR"/>
          </w:rPr>
          <m:t>: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forecasted demand for group </m:t>
        </m:r>
        <m:r>
          <w:rPr>
            <w:rFonts w:ascii="Cambria Math" w:hAnsi="Cambria Math"/>
            <w:lang w:bidi="fa-IR"/>
          </w:rPr>
          <m:t xml:space="preserve">g 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in month </m:t>
        </m:r>
        <m:r>
          <w:rPr>
            <w:rFonts w:ascii="Cambria Math" w:hAnsi="Cambria Math"/>
            <w:lang w:bidi="fa-IR"/>
          </w:rPr>
          <m:t>t</m:t>
        </m:r>
      </m:oMath>
      <w:r>
        <w:rPr>
          <w:lang w:bidi="fa-IR"/>
        </w:rPr>
        <w:t xml:space="preserve"> </w:t>
      </w:r>
    </w:p>
    <w:p w14:paraId="30FAF9AE" w14:textId="3930AFC2" w:rsidR="003F0BB6" w:rsidRPr="003F0BB6" w:rsidRDefault="003F0BB6" w:rsidP="003F0BB6">
      <w:pPr>
        <w:rPr>
          <w:rFonts w:eastAsiaTheme="minorEastAsia"/>
          <w:lang w:bidi="fa-IR"/>
        </w:rPr>
      </w:pP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gw</m:t>
            </m:r>
          </m:sub>
          <m:sup>
            <m:r>
              <w:rPr>
                <w:rFonts w:ascii="Cambria Math" w:hAnsi="Cambria Math"/>
                <w:lang w:bidi="fa-IR"/>
              </w:rPr>
              <m:t>'</m:t>
            </m:r>
          </m:sup>
        </m:sSubSup>
        <m:r>
          <w:rPr>
            <w:rFonts w:ascii="Cambria Math" w:hAnsi="Cambria Math"/>
            <w:lang w:bidi="fa-IR"/>
          </w:rPr>
          <m:t>: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forecasted demand for group </m:t>
        </m:r>
        <m:r>
          <w:rPr>
            <w:rFonts w:ascii="Cambria Math" w:hAnsi="Cambria Math"/>
            <w:lang w:bidi="fa-IR"/>
          </w:rPr>
          <m:t>g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in week </m:t>
        </m:r>
        <m:r>
          <w:rPr>
            <w:rFonts w:ascii="Cambria Math" w:hAnsi="Cambria Math"/>
            <w:lang w:bidi="fa-IR"/>
          </w:rPr>
          <m:t>w</m:t>
        </m:r>
      </m:oMath>
      <w:r>
        <w:rPr>
          <w:rFonts w:eastAsiaTheme="minorEastAsia" w:hint="cs"/>
          <w:rtl/>
          <w:lang w:bidi="fa-IR"/>
        </w:rPr>
        <w:t xml:space="preserve"> </w:t>
      </w:r>
    </w:p>
    <w:p w14:paraId="1A99914E" w14:textId="4BD12165" w:rsidR="007319A6" w:rsidRDefault="007319A6" w:rsidP="003F0BB6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سپس، برای مقادیر سفارش مشتریان، از رابطه‌ی زیر بهره بردیم:</w:t>
      </w:r>
    </w:p>
    <w:p w14:paraId="2524ED5B" w14:textId="5A095980" w:rsidR="007319A6" w:rsidRDefault="007319A6" w:rsidP="007319A6">
      <w:p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β~Uniform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0.8,1.2</m:t>
            </m:r>
          </m:e>
        </m:d>
      </m:oMath>
      <w:r>
        <w:rPr>
          <w:rFonts w:eastAsiaTheme="minorEastAsia"/>
          <w:lang w:bidi="fa-IR"/>
        </w:rPr>
        <w:t xml:space="preserve"> </w:t>
      </w:r>
    </w:p>
    <w:p w14:paraId="3779D2F3" w14:textId="3DF09164" w:rsidR="007319A6" w:rsidRDefault="007319A6" w:rsidP="007319A6">
      <w:pPr>
        <w:rPr>
          <w:rFonts w:eastAsiaTheme="minorEastAsia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/>
                <w:lang w:bidi="fa-IR"/>
              </w:rPr>
              <m:t>gw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β.</m:t>
            </m:r>
            <m:sSubSup>
              <m:sSub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Sup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g1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/>
                <w:i/>
                <w:lang w:bidi="fa-IR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fa-IR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bidi="fa-IR"/>
                  </w:rPr>
                  <m:t>0.2</m:t>
                </m:r>
              </m:sup>
            </m:sSup>
          </m:den>
        </m:f>
      </m:oMath>
      <w:r w:rsidR="003F0BB6">
        <w:rPr>
          <w:rFonts w:eastAsiaTheme="minorEastAsia"/>
          <w:lang w:bidi="fa-IR"/>
        </w:rPr>
        <w:t xml:space="preserve"> </w:t>
      </w:r>
    </w:p>
    <w:p w14:paraId="1D4666E6" w14:textId="4D3B5BA7" w:rsidR="003F0BB6" w:rsidRDefault="003F0BB6" w:rsidP="003F0BB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همچنین</w:t>
      </w:r>
      <w:r w:rsidR="00D5517B">
        <w:rPr>
          <w:rFonts w:eastAsiaTheme="minorEastAsia" w:hint="cs"/>
          <w:rtl/>
          <w:lang w:bidi="fa-IR"/>
        </w:rPr>
        <w:t>،</w:t>
      </w:r>
      <w:r>
        <w:rPr>
          <w:rFonts w:eastAsiaTheme="minorEastAsia" w:hint="cs"/>
          <w:rtl/>
          <w:lang w:bidi="fa-IR"/>
        </w:rPr>
        <w:t xml:space="preserve"> موجودی احتیاطی هر محصول را برابر با 5% تقاضای میانگین ماهانه‌ی آن قرار دادیم:</w:t>
      </w:r>
    </w:p>
    <w:p w14:paraId="0D7D16B6" w14:textId="72984808" w:rsidR="003F0BB6" w:rsidRDefault="003F0BB6" w:rsidP="003F0BB6">
      <w:pPr>
        <w:rPr>
          <w:rFonts w:eastAsiaTheme="minorEastAsia"/>
          <w:lang w:bidi="fa-IR"/>
        </w:rPr>
      </w:pPr>
      <m:oMath>
        <m:r>
          <w:rPr>
            <w:rFonts w:ascii="Cambria Math" w:hAnsi="Cambria Math"/>
            <w:lang w:bidi="fa-IR"/>
          </w:rPr>
          <m:t>S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g</m:t>
            </m:r>
          </m:sub>
        </m:sSub>
        <m:r>
          <w:rPr>
            <w:rFonts w:ascii="Cambria Math" w:hAnsi="Cambria Math"/>
            <w:lang w:bidi="fa-IR"/>
          </w:rPr>
          <m:t>=0.05×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g</m:t>
            </m:r>
          </m:sub>
        </m:sSub>
      </m:oMath>
      <w:r>
        <w:rPr>
          <w:rFonts w:eastAsiaTheme="minorEastAsia"/>
          <w:lang w:bidi="fa-IR"/>
        </w:rPr>
        <w:t xml:space="preserve"> </w:t>
      </w:r>
    </w:p>
    <w:p w14:paraId="285360A1" w14:textId="5BC0625E" w:rsidR="003F0BB6" w:rsidRPr="007319A6" w:rsidRDefault="003F0BB6" w:rsidP="003F0BB6">
      <w:pPr>
        <w:bidi/>
        <w:rPr>
          <w:rFonts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در نهایت، موجودی در دست را برابر با موجودی احتیاطی و حصار زمان تقاضا را نیز برابر با 6 هفته در نظر گرفتیم.</w:t>
      </w:r>
    </w:p>
    <w:p w14:paraId="49F5AF6C" w14:textId="1AF8F553" w:rsidR="009976ED" w:rsidRDefault="009976ED" w:rsidP="009976E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نتایج</w:t>
      </w:r>
    </w:p>
    <w:p w14:paraId="43CC15F4" w14:textId="18F93B15" w:rsidR="009976ED" w:rsidRDefault="009976ED" w:rsidP="009976ED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گروه 1</w:t>
      </w:r>
    </w:p>
    <w:p w14:paraId="6B5E0472" w14:textId="584FAC03" w:rsidR="009976ED" w:rsidRDefault="000F0C04" w:rsidP="009976ED">
      <w:pPr>
        <w:bidi/>
        <w:rPr>
          <w:rtl/>
          <w:lang w:bidi="fa-IR"/>
        </w:rPr>
      </w:pPr>
      <w:r w:rsidRPr="000F0C04">
        <w:rPr>
          <w:rtl/>
        </w:rPr>
        <w:drawing>
          <wp:inline distT="0" distB="0" distL="0" distR="0" wp14:anchorId="0E74C7FB" wp14:editId="66F6FFD5">
            <wp:extent cx="5943600" cy="483235"/>
            <wp:effectExtent l="0" t="0" r="0" b="0"/>
            <wp:docPr id="916063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4D20" w14:textId="7929A02C" w:rsidR="009976ED" w:rsidRDefault="009976ED" w:rsidP="009976ED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گروه 2</w:t>
      </w:r>
    </w:p>
    <w:p w14:paraId="0B928045" w14:textId="305FC37F" w:rsidR="009976ED" w:rsidRDefault="000F0C04" w:rsidP="009976ED">
      <w:pPr>
        <w:bidi/>
        <w:rPr>
          <w:lang w:bidi="fa-IR"/>
        </w:rPr>
      </w:pPr>
      <w:r w:rsidRPr="000F0C04">
        <w:rPr>
          <w:rtl/>
        </w:rPr>
        <w:drawing>
          <wp:inline distT="0" distB="0" distL="0" distR="0" wp14:anchorId="45AA174A" wp14:editId="17635A1A">
            <wp:extent cx="5943600" cy="483235"/>
            <wp:effectExtent l="0" t="0" r="0" b="0"/>
            <wp:docPr id="6836628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5EB0" w14:textId="5676CC7B" w:rsidR="007319A6" w:rsidRDefault="007319A6" w:rsidP="007319A6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گروه 3</w:t>
      </w:r>
    </w:p>
    <w:p w14:paraId="1F370E43" w14:textId="4911BC32" w:rsidR="007319A6" w:rsidRDefault="00564882" w:rsidP="007319A6">
      <w:pPr>
        <w:bidi/>
        <w:rPr>
          <w:rtl/>
          <w:lang w:bidi="fa-IR"/>
        </w:rPr>
      </w:pPr>
      <w:r w:rsidRPr="00564882">
        <w:rPr>
          <w:rtl/>
        </w:rPr>
        <w:drawing>
          <wp:inline distT="0" distB="0" distL="0" distR="0" wp14:anchorId="217A0FDD" wp14:editId="4A9864C1">
            <wp:extent cx="5943600" cy="483235"/>
            <wp:effectExtent l="0" t="0" r="0" b="0"/>
            <wp:docPr id="11349799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BF45" w14:textId="1184A71A" w:rsidR="007319A6" w:rsidRDefault="007319A6" w:rsidP="007319A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برنامه‌ریزی مواد مورد نیاز</w:t>
      </w:r>
    </w:p>
    <w:p w14:paraId="26D2794C" w14:textId="1F52F986" w:rsidR="007319A6" w:rsidRPr="007319A6" w:rsidRDefault="007319A6" w:rsidP="000F0C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برای این بخش</w:t>
      </w:r>
      <w:r>
        <w:rPr>
          <w:rFonts w:hint="cs"/>
          <w:rtl/>
          <w:lang w:bidi="fa-IR"/>
        </w:rPr>
        <w:t xml:space="preserve"> نیز</w:t>
      </w:r>
      <w:r>
        <w:rPr>
          <w:rFonts w:hint="cs"/>
          <w:rtl/>
          <w:lang w:bidi="fa-IR"/>
        </w:rPr>
        <w:t>، الگوریتم تدریس‌شده در کلاس را در زبان پایتون پیاده‌سازی کردیم.</w:t>
      </w:r>
      <w:r w:rsidR="003F0BB6">
        <w:rPr>
          <w:rFonts w:hint="cs"/>
          <w:rtl/>
          <w:lang w:bidi="fa-IR"/>
        </w:rPr>
        <w:t xml:space="preserve"> برای نیازمندی ناخالص</w:t>
      </w:r>
      <w:r w:rsidR="00564882">
        <w:rPr>
          <w:rFonts w:hint="cs"/>
          <w:rtl/>
          <w:lang w:bidi="fa-IR"/>
        </w:rPr>
        <w:t>،</w:t>
      </w:r>
      <w:r w:rsidR="003F0BB6">
        <w:rPr>
          <w:rFonts w:hint="cs"/>
          <w:rtl/>
          <w:lang w:bidi="fa-IR"/>
        </w:rPr>
        <w:t xml:space="preserve"> از سربرنامه تولید</w:t>
      </w:r>
      <w:r w:rsidR="000F0C04">
        <w:rPr>
          <w:rFonts w:hint="cs"/>
          <w:rtl/>
          <w:lang w:bidi="fa-IR"/>
        </w:rPr>
        <w:t xml:space="preserve"> استفاده گردید. همچنین، برای هر گروه</w:t>
      </w:r>
      <w:r w:rsidR="00D5517B">
        <w:rPr>
          <w:rFonts w:hint="cs"/>
          <w:rtl/>
          <w:lang w:bidi="fa-IR"/>
        </w:rPr>
        <w:t>،</w:t>
      </w:r>
      <w:r w:rsidR="000F0C04">
        <w:rPr>
          <w:rFonts w:hint="cs"/>
          <w:rtl/>
          <w:lang w:bidi="fa-IR"/>
        </w:rPr>
        <w:t xml:space="preserve"> به اندازه یک انباشته اقتصادی دریافت برنامه‌ریزی‌شده در دوره 1 قرار دادیم. میزان موجودی ابتدایی را برابر با ذخیره احتیاطی و زمان آماده‌سازی را نیز برابر با 1 هفته در نظر گرفتیم.</w:t>
      </w:r>
    </w:p>
    <w:p w14:paraId="28520EAD" w14:textId="74DC153F" w:rsidR="007319A6" w:rsidRDefault="007319A6" w:rsidP="007319A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نتایج</w:t>
      </w:r>
    </w:p>
    <w:p w14:paraId="260EAA24" w14:textId="27357E10" w:rsidR="007319A6" w:rsidRDefault="007319A6" w:rsidP="007319A6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گروه 1</w:t>
      </w:r>
    </w:p>
    <w:p w14:paraId="5DCE9B08" w14:textId="1E4EFBE3" w:rsidR="007319A6" w:rsidRDefault="00564882" w:rsidP="007319A6">
      <w:pPr>
        <w:bidi/>
        <w:rPr>
          <w:rtl/>
          <w:lang w:bidi="fa-IR"/>
        </w:rPr>
      </w:pPr>
      <w:r w:rsidRPr="00564882">
        <w:rPr>
          <w:rtl/>
        </w:rPr>
        <w:drawing>
          <wp:inline distT="0" distB="0" distL="0" distR="0" wp14:anchorId="31BFB360" wp14:editId="52259305">
            <wp:extent cx="5943600" cy="460375"/>
            <wp:effectExtent l="0" t="0" r="0" b="0"/>
            <wp:docPr id="2055163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7BEB" w14:textId="7539026D" w:rsidR="007319A6" w:rsidRDefault="007319A6" w:rsidP="007319A6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گروه 2</w:t>
      </w:r>
    </w:p>
    <w:p w14:paraId="50A28C4C" w14:textId="07E99DCA" w:rsidR="007319A6" w:rsidRDefault="00564882" w:rsidP="007319A6">
      <w:pPr>
        <w:bidi/>
        <w:rPr>
          <w:rtl/>
          <w:lang w:bidi="fa-IR"/>
        </w:rPr>
      </w:pPr>
      <w:r w:rsidRPr="00564882">
        <w:rPr>
          <w:rtl/>
        </w:rPr>
        <w:drawing>
          <wp:inline distT="0" distB="0" distL="0" distR="0" wp14:anchorId="6C99347C" wp14:editId="67774DFD">
            <wp:extent cx="5943600" cy="460375"/>
            <wp:effectExtent l="0" t="0" r="0" b="0"/>
            <wp:docPr id="6428096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9CC2" w14:textId="5FE0815A" w:rsidR="007319A6" w:rsidRDefault="007319A6" w:rsidP="007319A6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گروه 3</w:t>
      </w:r>
    </w:p>
    <w:p w14:paraId="33D0143A" w14:textId="1D9B646D" w:rsidR="007319A6" w:rsidRPr="007319A6" w:rsidRDefault="00564882" w:rsidP="007319A6">
      <w:pPr>
        <w:bidi/>
        <w:rPr>
          <w:rFonts w:hint="cs"/>
          <w:rtl/>
          <w:lang w:bidi="fa-IR"/>
        </w:rPr>
      </w:pPr>
      <w:r w:rsidRPr="00564882">
        <w:rPr>
          <w:rFonts w:hint="cs"/>
          <w:rtl/>
        </w:rPr>
        <w:drawing>
          <wp:inline distT="0" distB="0" distL="0" distR="0" wp14:anchorId="2F4767A2" wp14:editId="77A0EB35">
            <wp:extent cx="5943600" cy="460375"/>
            <wp:effectExtent l="0" t="0" r="0" b="0"/>
            <wp:docPr id="5542810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9A6" w:rsidRPr="0073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C01B6"/>
    <w:multiLevelType w:val="hybridMultilevel"/>
    <w:tmpl w:val="CF94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AD"/>
    <w:rsid w:val="000F0C04"/>
    <w:rsid w:val="00262635"/>
    <w:rsid w:val="002E3EAD"/>
    <w:rsid w:val="003F0BB6"/>
    <w:rsid w:val="004266DA"/>
    <w:rsid w:val="004653E0"/>
    <w:rsid w:val="005130C1"/>
    <w:rsid w:val="00564882"/>
    <w:rsid w:val="005F5934"/>
    <w:rsid w:val="006C57FE"/>
    <w:rsid w:val="007319A6"/>
    <w:rsid w:val="00776CAF"/>
    <w:rsid w:val="008F0C96"/>
    <w:rsid w:val="0093656A"/>
    <w:rsid w:val="009976ED"/>
    <w:rsid w:val="00A12642"/>
    <w:rsid w:val="00A667AB"/>
    <w:rsid w:val="00A95BB0"/>
    <w:rsid w:val="00BA7DF1"/>
    <w:rsid w:val="00D5517B"/>
    <w:rsid w:val="00E50F67"/>
    <w:rsid w:val="00EE5D49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5A13"/>
  <w15:chartTrackingRefBased/>
  <w15:docId w15:val="{E5C549F4-48D2-4831-9C64-79F1A5E4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A6"/>
    <w:pPr>
      <w:spacing w:before="120" w:after="120" w:line="360" w:lineRule="auto"/>
    </w:pPr>
    <w:rPr>
      <w:rFonts w:ascii="Times New Roman" w:hAnsi="Times New Roman" w:cs="B Nazani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FE"/>
    <w:pPr>
      <w:keepNext/>
      <w:keepLines/>
      <w:spacing w:before="240" w:after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E"/>
    <w:pPr>
      <w:keepNext/>
      <w:keepLines/>
      <w:spacing w:before="40" w:after="0"/>
      <w:outlineLvl w:val="1"/>
    </w:pPr>
    <w:rPr>
      <w:rFonts w:asciiTheme="majorBidi" w:eastAsiaTheme="majorEastAsia" w:hAnsi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FE"/>
    <w:pPr>
      <w:keepNext/>
      <w:keepLines/>
      <w:spacing w:before="40" w:after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C57FE"/>
    <w:pPr>
      <w:keepNext/>
      <w:keepLines/>
      <w:spacing w:before="40" w:after="0"/>
      <w:outlineLvl w:val="3"/>
    </w:pPr>
    <w:rPr>
      <w:rFonts w:asciiTheme="majorBidi" w:eastAsiaTheme="majorEastAsia" w:hAnsi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7FE"/>
    <w:pPr>
      <w:spacing w:before="0" w:after="0"/>
      <w:contextualSpacing/>
      <w:jc w:val="center"/>
    </w:pPr>
    <w:rPr>
      <w:rFonts w:asciiTheme="majorBidi" w:eastAsiaTheme="majorEastAsia" w:hAnsiTheme="majorBidi"/>
      <w:b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7FE"/>
    <w:rPr>
      <w:rFonts w:asciiTheme="majorBidi" w:eastAsiaTheme="majorEastAsia" w:hAnsiTheme="majorBidi" w:cs="B Nazanin"/>
      <w:b/>
      <w:spacing w:val="-10"/>
      <w:kern w:val="28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57FE"/>
    <w:rPr>
      <w:rFonts w:asciiTheme="majorBidi" w:eastAsiaTheme="majorEastAsia" w:hAnsiTheme="majorBidi" w:cs="B Nazanin"/>
      <w:b/>
      <w:bCs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C57FE"/>
    <w:pPr>
      <w:numPr>
        <w:ilvl w:val="1"/>
      </w:numPr>
      <w:spacing w:before="0" w:after="0"/>
      <w:jc w:val="center"/>
    </w:pPr>
    <w:rPr>
      <w:rFonts w:asciiTheme="majorBidi" w:eastAsiaTheme="minorEastAsia" w:hAnsiTheme="maj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7FE"/>
    <w:rPr>
      <w:rFonts w:asciiTheme="majorBidi" w:eastAsiaTheme="minorEastAsia" w:hAnsiTheme="majorBidi" w:cs="B Nazanin"/>
      <w:spacing w:val="15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57FE"/>
    <w:rPr>
      <w:rFonts w:asciiTheme="majorBidi" w:eastAsiaTheme="majorEastAsia" w:hAnsiTheme="majorBidi" w:cs="B Nazani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57FE"/>
    <w:rPr>
      <w:rFonts w:asciiTheme="majorBidi" w:eastAsiaTheme="majorEastAsia" w:hAnsiTheme="majorBidi" w:cs="B Nazanin"/>
      <w:b/>
      <w:bCs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C57FE"/>
    <w:pPr>
      <w:spacing w:after="0" w:line="360" w:lineRule="auto"/>
    </w:pPr>
    <w:rPr>
      <w:rFonts w:ascii="Times New Roman" w:hAnsi="Times New Roman" w:cs="B Nazani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7FE"/>
    <w:rPr>
      <w:rFonts w:asciiTheme="majorBidi" w:eastAsiaTheme="majorEastAsia" w:hAnsiTheme="majorBidi" w:cs="B Nazanin"/>
      <w:b/>
      <w:bCs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E3EAD"/>
    <w:rPr>
      <w:color w:val="666666"/>
    </w:rPr>
  </w:style>
  <w:style w:type="paragraph" w:styleId="ListParagraph">
    <w:name w:val="List Paragraph"/>
    <w:basedOn w:val="Normal"/>
    <w:uiPriority w:val="34"/>
    <w:qFormat/>
    <w:rsid w:val="002E3EAD"/>
    <w:pPr>
      <w:ind w:left="720"/>
      <w:contextualSpacing/>
    </w:pPr>
  </w:style>
  <w:style w:type="table" w:styleId="TableGrid">
    <w:name w:val="Table Grid"/>
    <w:basedOn w:val="TableNormal"/>
    <w:uiPriority w:val="39"/>
    <w:rsid w:val="0093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Hamed Araab</cp:lastModifiedBy>
  <cp:revision>2</cp:revision>
  <cp:lastPrinted>2024-01-26T21:59:00Z</cp:lastPrinted>
  <dcterms:created xsi:type="dcterms:W3CDTF">2024-01-26T20:30:00Z</dcterms:created>
  <dcterms:modified xsi:type="dcterms:W3CDTF">2024-01-26T22:07:00Z</dcterms:modified>
</cp:coreProperties>
</file>