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 (Web)"/>
        <w:spacing w:before="20" w:beforeAutospacing="false" w:after="0" w:afterAutospacing="false" w:line="276" w:lineRule="auto"/>
        <w:ind w:right="-108"/>
        <w:jc w:val="center"/>
        <w:rPr/>
      </w:pP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4234234234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bbbbbbbbbbbbbbbbbbbbb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c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d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eeeee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42424242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434234</w:t>
      </w:r>
      <w:r>
        <w:rPr>
          <w:rFonts w:ascii="Times New Roman" w:eastAsia="Times New Roman" w:hAnsi="Times New Roman" w:cs="Calibri"/>
          <w:b/>
          <w:bCs/>
          <w:i w:val="0"/>
          <w:iCs w:val="0"/>
          <w:caps w:val="0"/>
          <w:strike w:val="0"/>
          <w:dstrike w:val="0"/>
          <w:color w:val="auto"/>
          <w:sz w:val="52"/>
          <w:spacing w:val="0"/>
          <w:w w:val="100"/>
          <w:u w:val="none"/>
          <w:vertAlign w:val="baseline"/>
        </w:rPr>
        <w:t xml:space="preserve">ee</w:t>
      </w: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M</w:t>
      </w:r>
      <w:r>
        <w:rPr>
          <w:rStyle w:val="Strong"/>
          <w:sz w:val="52"/>
          <w:szCs w:val="52"/>
        </w:rPr>
        <w:t xml:space="preserve">P</w:t>
      </w:r>
      <w:r>
        <w:rPr>
          <w:rStyle w:val="Strong"/>
          <w:sz w:val="52"/>
          <w:szCs w:val="52"/>
        </w:rPr>
        <w:t xml:space="preserve">L</w:t>
      </w:r>
      <w:r>
        <w:rPr>
          <w:rStyle w:val="Strong"/>
          <w:sz w:val="52"/>
          <w:szCs w:val="52"/>
        </w:rPr>
        <w:t xml:space="preserve">O</w:t>
      </w:r>
      <w:r>
        <w:rPr>
          <w:rStyle w:val="Strong"/>
          <w:sz w:val="52"/>
          <w:szCs w:val="52"/>
        </w:rPr>
        <w:t xml:space="preserve">Y</w:t>
      </w:r>
      <w:r>
        <w:rPr>
          <w:rStyle w:val="Strong"/>
          <w:sz w:val="52"/>
          <w:szCs w:val="52"/>
        </w:rPr>
        <w:t xml:space="preserve">M</w:t>
      </w:r>
      <w:r>
        <w:rPr>
          <w:rStyle w:val="Strong"/>
          <w:sz w:val="52"/>
          <w:szCs w:val="52"/>
        </w:rPr>
        <w:t xml:space="preserve">E</w:t>
      </w:r>
      <w:r>
        <w:rPr>
          <w:rStyle w:val="Strong"/>
          <w:sz w:val="52"/>
          <w:szCs w:val="52"/>
        </w:rPr>
        <w:t xml:space="preserve">N</w:t>
      </w:r>
      <w:r>
        <w:rPr>
          <w:rStyle w:val="Strong"/>
          <w:sz w:val="52"/>
          <w:szCs w:val="52"/>
        </w:rPr>
        <w:t xml:space="preserve">T </w:t>
      </w:r>
      <w:r>
        <w:rPr>
          <w:rStyle w:val="Strong"/>
          <w:sz w:val="52"/>
          <w:szCs w:val="52"/>
        </w:rPr>
        <w:t xml:space="preserve">CONTRACT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52"/>
          <w:szCs w:val="52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Employment Contract Agreement (hereinafter referred to as the "Agreement") was made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becomes effective on 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28/11/2024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 (the “Effective Date”),</w:t>
      </w:r>
    </w:p>
    <w:tbl>
      <w:tblPr>
        <w:tblW w:w="0" w:type="auto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  <w:tblBorders>
          <w:top w:val="single" w:color="A3A3A3" w:sz="2" w:space="0"/>
          <w:left w:val="single" w:color="A3A3A3" w:sz="2" w:space="0"/>
          <w:bottom w:val="single" w:color="A3A3A3" w:sz="2" w:space="0"/>
          <w:right w:val="single" w:color="A3A3A3" w:sz="2" w:space="0"/>
        </w:tblBorders>
        <w:shd w:fill="auto" w:color="auto"/>
      </w:tblPr>
      <w:tblGrid>
        <w:gridCol w:w="1546"/>
        <w:gridCol w:w="7814"/>
      </w:tblGrid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BY AND </w:t>
            </w:r>
            <w:r>
              <w:rPr>
                <w:color w:val="101828"/>
                <w:sz w:val="24"/>
                <w:szCs w:val="24"/>
              </w:rPr>
              <w:t xml:space="preserve">BETWEEN: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“Employer”.</w:t>
            </w:r>
          </w:p>
        </w:tc>
      </w:tr>
      <w:tr>
        <w:tblPrEx>
          <w:tblBorders>
            <w:top w:val="single" w:color="A3A3A3" w:sz="2" w:space="0"/>
            <w:left w:val="single" w:color="A3A3A3" w:sz="2" w:space="0"/>
            <w:bottom w:val="single" w:color="A3A3A3" w:sz="2" w:space="0"/>
            <w:right w:val="single" w:color="A3A3A3" w:sz="2" w:space="0"/>
            <w:insideH w:val="None" w:sz="0" w:space="0"/>
            <w:insideV w:val="None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atLeast" w:val="20"/>
        </w:trPr>
        <w:tc>
          <w:tcPr>
            <w:tcW w:w="1564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color w:val="101828"/>
                <w:sz w:val="24"/>
                <w:szCs w:val="24"/>
              </w:rPr>
            </w:pPr>
            <w:r>
              <w:rPr>
                <w:color w:val="101828"/>
                <w:sz w:val="24"/>
                <w:szCs w:val="24"/>
              </w:rPr>
              <w:t xml:space="preserve">AND:</w:t>
            </w:r>
          </w:p>
        </w:tc>
        <w:tc>
          <w:tcPr>
            <w:tcW w:w="7908" w:type="dxa"/>
            <w:tcMar>
              <w:top w:w="80" w:type="dxa"/>
              <w:left w:w="80" w:type="dxa"/>
              <w:bottom w:w="80" w:type="dxa"/>
              <w:right w:w="80" w:type="dxa"/>
            </w:tcMar>
            <w:tcBorders>
              <w:top w:val="nil"/>
              <w:left w:val="nil"/>
              <w:bottom w:val="nil"/>
              <w:right w:val="nil"/>
            </w:tcBorders>
            <w:shd w:fill="FFFFFF" w:color="auto" w:val="clear"/>
            <w:vAlign w:val="top"/>
          </w:tcPr>
          <w:p>
            <w:pPr>
              <w:pBdr/>
              <w:pStyle w:val="Normal"/>
              <w:spacing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Haxhi Zogaj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with an address of 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xx, yy, zzzz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, hereinafter referred to as the 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“Employee”, collectively referred to as the “Parties”.</w:t>
            </w:r>
          </w:p>
        </w:tc>
      </w:tr>
    </w:tbl>
    <w:p>
      <w:pPr>
        <w:pBdr/>
        <w:pStyle w:val="Heading 1"/>
        <w:spacing/>
        <w:ind/>
        <w:rPr/>
      </w:pPr>
      <w:r>
        <w:rPr/>
        <w:t xml:space="preserve">DUTIES AND RESPONSIBILITIEs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agrees to perform the following duties and responsibilities: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Provide a clear and detailed description of the Employee's role, tasks, and responsibiliti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es.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Programmer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Inxhinier-Softuerik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.NetCore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MVC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8.0</w:t>
      </w:r>
    </w:p>
    <w:p>
      <w:pPr>
        <w:pBdr/>
        <w:pStyle w:val="Normal"/>
        <w:numPr>
          <w:ilvl w:val="0"/>
          <w:numId w:val="2"/>
        </w:numPr>
        <w:spacing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Syncfusion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/>
        <w:ind w:left="360"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agree that any responsibilities provided in this Agreement may not be assigned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to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other party unless both parties agree to the assignment in writing.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PAY AND COMPENSATION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receive compensation as follows: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Compensation - aaaaaaa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(Specify the salary, wages, or payment structure, including any bonuses or incentives.)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BENEFITS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will be entitled to the following benefits: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BENEFITS - Page te larte, Pushim vjetor, ccccccccccc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i/>
          <w:iCs/>
          <w:color w:val="101828"/>
          <w:sz w:val="24"/>
          <w:szCs w:val="24"/>
        </w:rPr>
      </w:pP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(List the benefits, such as health insurance, retirement plans, vacation days, sick leave,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etc., </w:t>
      </w:r>
      <w:r>
        <w:rPr>
          <w:rFonts w:ascii="Times New Roman" w:eastAsia="Times New Roman" w:hAnsi="Times New Roman"/>
          <w:i/>
          <w:iCs/>
          <w:color w:val="101828"/>
          <w:sz w:val="24"/>
          <w:szCs w:val="24"/>
        </w:rPr>
        <w:t xml:space="preserve">along with any eligibility criteria.)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WORKING HOURS AND LOCATION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Employee's working schedule shall be 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12/11/2024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to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13/08/2025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Monday to Friday,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with a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ONE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-hour lunch break.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Specifically, the Employee agrees to work an average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Thirty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hours per week.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designated place of work for the Employee shall be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AABBBCCDDD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, or any other mutually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agreed-upon location determined by the Parties from time to time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INTELLECTUAL PROPERTY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Employee acknowledges that any intellectual property provided by the Employer shall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exclusive property of the Employer. This includes copyrights, patents, trade secret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rights,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other intellectual property rights associated with ideas, concepts, techniques,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inventions,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processes, works of authorship, confidential information, or trade secrets.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EXCLUSIVITY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Both Parties acknowledge that this Agreement does not create an exclusive arrangement, and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Employer is entitled to enter into similar agreements with other employees. However,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Employee agrees not to enter into a similar agreement with any other party as long as they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remain a party to this Agreement.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LIMITATION OF LIABILITY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Neither the Employer nor the Employee shall be individually liable for any damages arising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from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breach of duty by third parties, unless such breach involves intentional misconduct,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fraud,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 knowing violation of the law.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SEVERABILITY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If any provision of this Agreement is determined to be void or unenforceable by a court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competent jurisdiction, the remaining provisions shall remain in full force and effect, in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accordance with the Parties' original intent.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GOVERNING LAW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shall be governed by and construed in accordance with the laws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jurisdiction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where the Employer's principal place of business is located. Any dispute arising out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of 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connection with this Agreement shall be exclusively submitted to the jurisdiction of the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courts in that jurisdiction.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Heading 2"/>
        <w:spacing/>
        <w:ind/>
        <w:rPr/>
      </w:pPr>
      <w:r>
        <w:rPr/>
        <w:t xml:space="preserve">ALTERNATIVE DISPUTE RESOLUTION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dispute or difference arising from this Agreement shall be resolved through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(Arbitration/Mediation/Negotiation), in accordance with the laws of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________________.</w:t>
      </w:r>
    </w:p>
    <w:p>
      <w:pPr>
        <w:pBdr/>
        <w:pStyle w:val="Heading 2"/>
        <w:spacing/>
        <w:ind/>
        <w:rPr/>
      </w:pPr>
      <w:r>
        <w:rPr/>
        <w:t xml:space="preserve">ATTORNEY FEES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 the event of any dispute regarding the terms and provisions of this Agreement, the prevailing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party shall be entitled to recover all costs incurred in resolving the dispute, including reasonable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attorney fees.</w:t>
      </w:r>
    </w:p>
    <w:p>
      <w:pPr>
        <w:pBdr/>
        <w:pStyle w:val="Heading 2"/>
        <w:spacing/>
        <w:ind/>
        <w:rPr/>
      </w:pPr>
      <w:r>
        <w:rPr/>
        <w:t xml:space="preserve">ENTIRE AGREEMENT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This Agreement constitutes the entire agreement and understanding between the Parties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regarding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subject matter herein and supersedes all prior agreements, understandings,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inducements,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and conditions, whether express or implied, oral or written, relating to the subject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matter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herein. The terms of this Agreement prevail over any inconsistent course of performance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or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trade usage.</w:t>
      </w:r>
    </w:p>
    <w:p>
      <w:pPr>
        <w:pBdr/>
        <w:pStyle w:val="Heading 2"/>
        <w:spacing/>
        <w:ind/>
        <w:rPr/>
      </w:pPr>
      <w:r>
        <w:rPr/>
        <w:t xml:space="preserve">AMENDMENTS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Any amendments to this Agreement must be in writing and signed by both Parties.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amendments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shall be incorporated into and considered a part of this Agreement.</w:t>
      </w:r>
    </w:p>
    <w:p>
      <w:pPr>
        <w:pBdr/>
        <w:pStyle w:val="Heading 1"/>
        <w:spacing/>
        <w:ind/>
        <w:rPr/>
      </w:pPr>
      <w:r>
        <w:rPr/>
        <w:t xml:space="preserve">SIGNATURE AND DATE</w:t>
      </w: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The Parties hereby agree to the terms and conditions set forth in this Agreement, and such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is </w:t>
      </w:r>
      <w:r>
        <w:rPr>
          <w:rFonts w:ascii="Times New Roman" w:eastAsia="Times New Roman" w:hAnsi="Times New Roman"/>
          <w:color w:val="101828"/>
          <w:sz w:val="24"/>
          <w:szCs w:val="24"/>
        </w:rPr>
        <w:t xml:space="preserve">demonstrated throughout by their signatures below:</w:t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4680"/>
        <w:gridCol w:w="4680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20"/>
        </w:trPr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EMPLOYER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  <w:tc>
          <w:tcPr>
            <w:tcW w:type="auto" w:w="0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center"/>
          </w:tcPr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EMPLOYEE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Signed (signature)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  <w:u w:val="single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Print Name</w:t>
            </w:r>
          </w:p>
          <w:p>
            <w:pPr>
              <w:pBdr/>
              <w:pStyle w:val="Normal"/>
              <w:spacing w:after="140"/>
              <w:ind/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_____________________________</w:t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/>
                <w:color w:val="101828"/>
                <w:sz w:val="24"/>
                <w:szCs w:val="24"/>
              </w:rPr>
              <w:t xml:space="preserve">Date</w:t>
            </w:r>
          </w:p>
        </w:tc>
      </w:tr>
    </w:tbl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>
          <w:rFonts w:ascii="Times New Roman" w:eastAsia="Times New Roman" w:hAnsi="Times New Roman"/>
          <w:color w:val="101828"/>
          <w:sz w:val="24"/>
          <w:szCs w:val="24"/>
        </w:rPr>
      </w:pPr>
    </w:p>
    <w:p>
      <w:pPr>
        <w:pBdr/>
        <w:pStyle w:val="Normal"/>
        <w:spacing w:after="140"/>
        <w:ind/>
        <w:rPr/>
      </w:pPr>
    </w:p>
    <w:sectPr>
      <w:type w:val="nextPage"/>
      <w:pgSz w:w="12240" w:h="15840"/>
      <w:pgMar w:top="1440" w:right="1440" w:bottom="1440" w:left="1440" w:header="720" w:footer="720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A64BA6"/>
    <w:lvl w:ilvl="0">
      <w:start w:val="1"/>
      <w:numFmt w:val="decimal"/>
      <w:suff w:val="tab"/>
      <w:lvlText w:val="%1."/>
      <w:pPr>
        <w:pBdr/>
        <w:spacing/>
        <w:ind w:left="720" w:hanging="360"/>
        <w:tabs>
          <w:tab w:val="num" w:pos="720"/>
        </w:tabs>
      </w:pPr>
      <w:rPr/>
    </w:lvl>
    <w:lvl w:ilvl="1">
      <w:start w:val="1"/>
      <w:numFmt w:val="decimal"/>
      <w:suff w:val="tab"/>
      <w:lvlText w:val="%2."/>
      <w:pPr>
        <w:pBdr/>
        <w:spacing/>
        <w:ind w:left="1440" w:hanging="360"/>
        <w:tabs>
          <w:tab w:val="num" w:pos="1440"/>
        </w:tabs>
      </w:pPr>
      <w:rPr/>
    </w:lvl>
    <w:lvl w:ilvl="2">
      <w:start w:val="1"/>
      <w:numFmt w:val="decimal"/>
      <w:suff w:val="tab"/>
      <w:lvlText w:val="%3."/>
      <w:pPr>
        <w:pBdr/>
        <w:spacing/>
        <w:ind w:left="2160" w:hanging="360"/>
        <w:tabs>
          <w:tab w:val="num" w:pos="2160"/>
        </w:tabs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  <w:tabs>
          <w:tab w:val="num" w:pos="2880"/>
        </w:tabs>
      </w:pPr>
      <w:rPr/>
    </w:lvl>
    <w:lvl w:ilvl="4">
      <w:start w:val="1"/>
      <w:numFmt w:val="decimal"/>
      <w:suff w:val="tab"/>
      <w:lvlText w:val="%5."/>
      <w:pPr>
        <w:pBdr/>
        <w:spacing/>
        <w:ind w:left="3600" w:hanging="360"/>
        <w:tabs>
          <w:tab w:val="num" w:pos="3600"/>
        </w:tabs>
      </w:pPr>
      <w:rPr/>
    </w:lvl>
    <w:lvl w:ilvl="5">
      <w:start w:val="1"/>
      <w:numFmt w:val="decimal"/>
      <w:suff w:val="tab"/>
      <w:lvlText w:val="%6."/>
      <w:pPr>
        <w:pBdr/>
        <w:spacing/>
        <w:ind w:left="4320" w:hanging="360"/>
        <w:tabs>
          <w:tab w:val="num" w:pos="4320"/>
        </w:tabs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  <w:tabs>
          <w:tab w:val="num" w:pos="5040"/>
        </w:tabs>
      </w:pPr>
      <w:rPr/>
    </w:lvl>
    <w:lvl w:ilvl="7">
      <w:start w:val="1"/>
      <w:numFmt w:val="decimal"/>
      <w:suff w:val="tab"/>
      <w:lvlText w:val="%8."/>
      <w:pPr>
        <w:pBdr/>
        <w:spacing/>
        <w:ind w:left="5760" w:hanging="360"/>
        <w:tabs>
          <w:tab w:val="num" w:pos="5760"/>
        </w:tabs>
      </w:pPr>
      <w:rPr/>
    </w:lvl>
    <w:lvl w:ilvl="8">
      <w:start w:val="1"/>
      <w:numFmt w:val="decimal"/>
      <w:suff w:val="tab"/>
      <w:lvlText w:val="%9."/>
      <w:pPr>
        <w:pBdr/>
        <w:spacing/>
        <w:ind w:left="6480" w:hanging="360"/>
        <w:tabs>
          <w:tab w:val="num" w:pos="6480"/>
        </w:tabs>
      </w:pPr>
      <w:rPr/>
    </w:lvl>
  </w:abstract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US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 w:after="0" w:line="240" w:lineRule="auto"/>
      <w:ind/>
    </w:pPr>
    <w:rPr>
      <w:rFonts w:ascii="Calibri" w:eastAsia="Calibri" w:hAnsi="Calibri" w:cs="Times New Roman"/>
      <w:sz w:val="15"/>
      <w:szCs w:val="16"/>
    </w:rPr>
  </w:style>
  <w:style w:type="paragraph" w:styleId="Heading 1">
    <w:name w:val="Heading 1"/>
    <w:basedOn w:val="Normal"/>
    <w:next w:val="Normal"/>
    <w:pPr>
      <w:pBdr/>
      <w:keepNext/>
      <w:keepLines/>
      <w:outlineLvl w:val="0"/>
      <w:spacing w:before="240"/>
      <w:ind/>
    </w:pPr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Heading 1 Char">
    <w:name w:val="Heading 1 Char"/>
    <w:basedOn w:val="Default Paragraph Font"/>
    <w:rPr>
      <w:rFonts w:asciiTheme="majorHAnsi" w:eastAsiaTheme="majorEastAsia" w:hAnsiTheme="majorHAnsi" w:cstheme="majorBidi"/>
      <w:color w:val="2F5496"/>
      <w:sz w:val="32"/>
      <w:szCs w:val="32"/>
    </w:rPr>
  </w:style>
  <w:style w:type="character" w:styleId="Default Paragraph Font">
    <w:name w:val="Default Paragraph Font"/>
    <w:rPr/>
  </w:style>
  <w:style w:type="paragraph" w:styleId="Heading 2">
    <w:name w:val="Heading 2"/>
    <w:basedOn w:val="Normal"/>
    <w:next w:val="Normal"/>
    <w:pPr>
      <w:pBdr/>
      <w:keepNext/>
      <w:keepLines/>
      <w:outlineLvl w:val="1"/>
      <w:spacing w:before="40"/>
      <w:ind/>
    </w:pPr>
    <w:rPr>
      <w:rFonts w:asciiTheme="majorHAnsi" w:eastAsiaTheme="majorEastAsia" w:hAnsiTheme="majorHAnsi" w:cstheme="majorBidi"/>
      <w:color w:val="2F5496"/>
      <w:sz w:val="26"/>
      <w:szCs w:val="26"/>
    </w:rPr>
  </w:style>
  <w:style w:type="character" w:styleId="Heading 2 Char">
    <w:name w:val="Heading 2 Char"/>
    <w:basedOn w:val="Default Paragraph Font"/>
    <w:rPr>
      <w:rFonts w:asciiTheme="majorHAnsi" w:eastAsiaTheme="majorEastAsia" w:hAnsiTheme="majorHAnsi" w:cstheme="majorBidi"/>
      <w:color w:val="2F5496"/>
      <w:sz w:val="26"/>
      <w:szCs w:val="26"/>
    </w:rPr>
  </w:style>
  <w:style w:type="table" w:styleId="Normal Table">
    <w:name w:val="Normal Table"/>
    <w:next w:val="Normal Table"/>
  </w:style>
  <w:style w:type="paragraph" w:styleId="Normal (Web)">
    <w:name w:val="Normal (Web)"/>
    <w:basedOn w:val="Normal"/>
    <w:next w:val="Normal (Web)"/>
    <w:pPr>
      <w:pBdr/>
      <w:spacing w:before="100" w:beforeAutospacing="true" w:after="100" w:afterAutospacing="true"/>
      <w:ind/>
    </w:pPr>
    <w:rPr>
      <w:rFonts w:ascii="Times New Roman" w:eastAsiaTheme="minorEastAsia" w:hAnsi="Times New Roman"/>
      <w:sz w:val="24"/>
      <w:szCs w:val="24"/>
    </w:rPr>
  </w:style>
  <w:style w:type="character" w:styleId="Strong">
    <w:name w:val="Strong"/>
    <w:basedOn w:val="Default Paragraph Font"/>
    <w:rPr>
      <w:b/>
      <w:bCs/>
    </w:rPr>
  </w:style>
  <w:style w:type="character" w:styleId="Emphasis">
    <w:name w:val="Emphasis"/>
    <w:basedOn w:val="Default Paragraph Font"/>
    <w:rPr>
      <w:i/>
      <w:iCs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  <w:style w:type="paragraph" w:styleId="Header">
    <w:name w:val="Header"/>
    <w:basedOn w:val="Normal"/>
    <w:next w:val="Header"/>
    <w:pPr>
      <w:pBdr/>
      <w:spacing w:after="0" w:line="240" w:lineRule="auto"/>
      <w:ind/>
    </w:pPr>
    <w:rPr/>
  </w:style>
  <w:style w:type="paragraph" w:styleId="Footer">
    <w:name w:val="Footer"/>
    <w:basedOn w:val="Normal"/>
    <w:next w:val="Footer"/>
    <w:pPr>
      <w:pBdr/>
      <w:spacing w:after="0" w:line="240" w:lineRule="auto"/>
      <w:ind/>
    </w:pPr>
    <w:rPr/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endnotes" Target="endnotes.xml" /><Relationship Id="rId4" Type="http://schemas.openxmlformats.org/officeDocument/2006/relationships/footnotes" Target="footnotes.xml" /><Relationship Id="rId5" Type="http://schemas.openxmlformats.org/officeDocument/2006/relationships/theme" Target="theme/theme1.xml" /><Relationship Id="rId6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