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ddddd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ggggggggggggg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MPLOYMEN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bbbbbbbbbbbbbbbbbbbbbbb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ccccccc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ddddd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xx,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yy,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zzzz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XXYYZZ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