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obosiiiiii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«obosiiiiii»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NAME]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NAME]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