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82C8D" w14:textId="36D90265" w:rsidR="00EF2DA2" w:rsidRPr="000B31EB" w:rsidRDefault="00EF2DA2" w:rsidP="00EF2DA2">
      <w:pPr>
        <w:pStyle w:val="NoSpacing"/>
        <w:rPr>
          <w:b/>
          <w:bCs/>
          <w:lang w:val="en-GB"/>
        </w:rPr>
      </w:pPr>
      <w:r>
        <w:rPr>
          <w:b/>
          <w:bCs/>
          <w:lang w:val="en-GB"/>
        </w:rPr>
        <w:t>Stage One – final writing – analysing data – example i model answer</w:t>
      </w:r>
    </w:p>
    <w:p w14:paraId="2BBAFC27" w14:textId="77777777" w:rsidR="00EF2DA2" w:rsidRDefault="00EF2DA2" w:rsidP="00666A58">
      <w:pPr>
        <w:pStyle w:val="NoSpacing"/>
        <w:rPr>
          <w:lang w:val="en-GB"/>
        </w:rPr>
      </w:pPr>
    </w:p>
    <w:p w14:paraId="0BA46416" w14:textId="5A4532CE" w:rsidR="00666A58" w:rsidRDefault="00666A58" w:rsidP="00666A58">
      <w:pPr>
        <w:pStyle w:val="NoSpacing"/>
        <w:rPr>
          <w:lang w:val="en-GB"/>
        </w:rPr>
      </w:pPr>
      <w:r>
        <w:rPr>
          <w:lang w:val="en-GB"/>
        </w:rPr>
        <w:t>The grouped bar chart shows the amount of alcohol drunk per person</w:t>
      </w:r>
      <w:r w:rsidR="00CA002B">
        <w:rPr>
          <w:lang w:val="en-GB"/>
        </w:rPr>
        <w:t xml:space="preserve"> across six world regions</w:t>
      </w:r>
      <w:r>
        <w:rPr>
          <w:lang w:val="en-GB"/>
        </w:rPr>
        <w:t xml:space="preserve"> in 2018 compared with 2000. Overall, </w:t>
      </w:r>
      <w:proofErr w:type="gramStart"/>
      <w:r>
        <w:rPr>
          <w:lang w:val="en-GB"/>
        </w:rPr>
        <w:t>it can be seen that alcohol</w:t>
      </w:r>
      <w:proofErr w:type="gramEnd"/>
      <w:r>
        <w:rPr>
          <w:lang w:val="en-GB"/>
        </w:rPr>
        <w:t xml:space="preserve"> consumption was higher globally in 2018 than in 2000, but also that there was notable variation between regions. </w:t>
      </w:r>
    </w:p>
    <w:p w14:paraId="70A5D21F" w14:textId="77777777" w:rsidR="00666A58" w:rsidRDefault="00666A58" w:rsidP="00666A58">
      <w:pPr>
        <w:pStyle w:val="NoSpacing"/>
        <w:rPr>
          <w:lang w:val="en-GB"/>
        </w:rPr>
      </w:pPr>
    </w:p>
    <w:p w14:paraId="6CB4D758" w14:textId="64A96F18" w:rsidR="00666A58" w:rsidRDefault="00666A58" w:rsidP="00666A58">
      <w:pPr>
        <w:pStyle w:val="NoSpacing"/>
        <w:rPr>
          <w:lang w:val="en-GB"/>
        </w:rPr>
      </w:pPr>
      <w:r>
        <w:rPr>
          <w:lang w:val="en-GB"/>
        </w:rPr>
        <w:t xml:space="preserve">The amount of alcohol consumed in Europe was </w:t>
      </w:r>
      <w:r w:rsidR="00CA002B">
        <w:rPr>
          <w:lang w:val="en-GB"/>
        </w:rPr>
        <w:t xml:space="preserve">the </w:t>
      </w:r>
      <w:r>
        <w:rPr>
          <w:lang w:val="en-GB"/>
        </w:rPr>
        <w:t xml:space="preserve">highest of all regions in both years. However, </w:t>
      </w:r>
      <w:r w:rsidR="0021630B">
        <w:rPr>
          <w:lang w:val="en-GB"/>
        </w:rPr>
        <w:t xml:space="preserve">in 2018, Europeans drank around 800ml less per person than they did in 2000. At 11.44 litres, this was still over a litre and half more than North Americans, who consumed 9.77 litres in the same year. In South America and Africa, the amount of alcohol consumed was also lower in 2018 than 2000, but the overall amount was much less than in Europe. </w:t>
      </w:r>
    </w:p>
    <w:p w14:paraId="01DE72DF" w14:textId="77777777" w:rsidR="0021630B" w:rsidRDefault="0021630B" w:rsidP="00666A58">
      <w:pPr>
        <w:pStyle w:val="NoSpacing"/>
        <w:rPr>
          <w:lang w:val="en-GB"/>
        </w:rPr>
      </w:pPr>
    </w:p>
    <w:p w14:paraId="3BBADE71" w14:textId="18FF5D67" w:rsidR="00666A58" w:rsidRDefault="0021630B" w:rsidP="00666A58">
      <w:pPr>
        <w:pStyle w:val="NoSpacing"/>
        <w:rPr>
          <w:lang w:val="en-GB"/>
        </w:rPr>
      </w:pPr>
      <w:r>
        <w:rPr>
          <w:lang w:val="en-GB"/>
        </w:rPr>
        <w:t>In South and East Asia, there was a significant increase in alcohol consumption per person. In both regions, this increase amounted to rough</w:t>
      </w:r>
      <w:r w:rsidR="008976BD">
        <w:rPr>
          <w:lang w:val="en-GB"/>
        </w:rPr>
        <w:t>ly</w:t>
      </w:r>
      <w:r>
        <w:rPr>
          <w:lang w:val="en-GB"/>
        </w:rPr>
        <w:t xml:space="preserve"> 2.5 litres</w:t>
      </w:r>
      <w:r w:rsidR="00FC0A5F">
        <w:rPr>
          <w:lang w:val="en-GB"/>
        </w:rPr>
        <w:t xml:space="preserve">. Even so, alcohol consumption in Asia remained relatively low when compared to Europe and North America. </w:t>
      </w:r>
    </w:p>
    <w:p w14:paraId="31E0454D" w14:textId="77777777" w:rsidR="00FC0A5F" w:rsidRDefault="00FC0A5F" w:rsidP="00666A58">
      <w:pPr>
        <w:pStyle w:val="NoSpacing"/>
        <w:rPr>
          <w:lang w:val="en-GB"/>
        </w:rPr>
      </w:pPr>
    </w:p>
    <w:p w14:paraId="5C63C8E6" w14:textId="6AB46AA5" w:rsidR="00CA002B" w:rsidRDefault="00FC0A5F" w:rsidP="00666A58">
      <w:pPr>
        <w:pStyle w:val="NoSpacing"/>
        <w:rPr>
          <w:lang w:val="en-GB"/>
        </w:rPr>
      </w:pPr>
      <w:r>
        <w:rPr>
          <w:lang w:val="en-GB"/>
        </w:rPr>
        <w:t xml:space="preserve">It is perhaps not surprising that alcohol consumption </w:t>
      </w:r>
      <w:r w:rsidR="00CA002B">
        <w:rPr>
          <w:lang w:val="en-GB"/>
        </w:rPr>
        <w:t>wa</w:t>
      </w:r>
      <w:r>
        <w:rPr>
          <w:lang w:val="en-GB"/>
        </w:rPr>
        <w:t>s highest in Europe. Drinking wine is a part of the culture of France and Southern Europe, while beer drinking also has origins in Northern Europe. The reduction in drinking</w:t>
      </w:r>
      <w:r w:rsidR="00DA662A">
        <w:rPr>
          <w:lang w:val="en-GB"/>
        </w:rPr>
        <w:t xml:space="preserve"> in this region</w:t>
      </w:r>
      <w:r>
        <w:rPr>
          <w:lang w:val="en-GB"/>
        </w:rPr>
        <w:t xml:space="preserve"> may reflect increased awareness of the harmful effects of ex</w:t>
      </w:r>
      <w:r w:rsidR="00CA002B">
        <w:rPr>
          <w:lang w:val="en-GB"/>
        </w:rPr>
        <w:t xml:space="preserve">cessive alcohol through educational campaigns. In Asia, meanwhile, the increase might reflect the wider availability of different types of alcohol and changes in lifestyle. </w:t>
      </w:r>
    </w:p>
    <w:p w14:paraId="72F2B414" w14:textId="77777777" w:rsidR="00CA002B" w:rsidRDefault="00CA002B" w:rsidP="00666A58">
      <w:pPr>
        <w:pStyle w:val="NoSpacing"/>
        <w:rPr>
          <w:lang w:val="en-GB"/>
        </w:rPr>
      </w:pPr>
    </w:p>
    <w:p w14:paraId="0785009A" w14:textId="548FD951" w:rsidR="00DA662A" w:rsidRDefault="00DA662A" w:rsidP="00DA662A">
      <w:pPr>
        <w:pStyle w:val="NoSpacing"/>
        <w:rPr>
          <w:lang w:val="en-GB"/>
        </w:rPr>
      </w:pPr>
      <w:r>
        <w:rPr>
          <w:lang w:val="en-GB"/>
        </w:rPr>
        <w:t>While t</w:t>
      </w:r>
      <w:r w:rsidR="00CA002B">
        <w:rPr>
          <w:lang w:val="en-GB"/>
        </w:rPr>
        <w:t>he global increase in alcohol consumption may be seen as concerning</w:t>
      </w:r>
      <w:r>
        <w:rPr>
          <w:lang w:val="en-GB"/>
        </w:rPr>
        <w:t xml:space="preserve">, it is hard to draw definite conclusions. This is because the UN has not defined a specific target or indicated the amount of alcohol consumption per year that should be considered harmful. Finally, the chart does not distinguish between different age groups, so it is not easy to tell whose drinking habits have changed the most. </w:t>
      </w:r>
    </w:p>
    <w:p w14:paraId="2A14B21D" w14:textId="77777777" w:rsidR="00DA662A" w:rsidRDefault="00DA662A" w:rsidP="00DA662A">
      <w:pPr>
        <w:pStyle w:val="NoSpacing"/>
        <w:rPr>
          <w:lang w:val="en-GB"/>
        </w:rPr>
      </w:pPr>
    </w:p>
    <w:p w14:paraId="138C2526" w14:textId="77777777" w:rsidR="008238D4" w:rsidRDefault="008238D4" w:rsidP="008238D4">
      <w:pPr>
        <w:pStyle w:val="NoSpacing"/>
        <w:pBdr>
          <w:bottom w:val="single" w:sz="6" w:space="1" w:color="auto"/>
        </w:pBdr>
        <w:rPr>
          <w:lang w:val="en-GB"/>
        </w:rPr>
      </w:pPr>
    </w:p>
    <w:p w14:paraId="0279DCE1" w14:textId="77777777" w:rsidR="008238D4" w:rsidRDefault="008238D4" w:rsidP="008238D4">
      <w:pPr>
        <w:pStyle w:val="NoSpacing"/>
        <w:rPr>
          <w:lang w:val="en-GB"/>
        </w:rPr>
      </w:pPr>
    </w:p>
    <w:p w14:paraId="56DB8B47" w14:textId="77777777" w:rsidR="00EB5539" w:rsidRDefault="00EB5539" w:rsidP="008238D4">
      <w:pPr>
        <w:pStyle w:val="NoSpacing"/>
        <w:rPr>
          <w:lang w:val="en-GB"/>
        </w:rPr>
      </w:pPr>
    </w:p>
    <w:p w14:paraId="6BF8877F" w14:textId="77777777" w:rsidR="00EB5539" w:rsidRDefault="00EB5539" w:rsidP="008238D4">
      <w:pPr>
        <w:pStyle w:val="NoSpacing"/>
        <w:rPr>
          <w:lang w:val="en-GB"/>
        </w:rPr>
      </w:pPr>
    </w:p>
    <w:p w14:paraId="2E9D861A" w14:textId="77777777" w:rsidR="00EB5539" w:rsidRDefault="00EB5539" w:rsidP="008238D4">
      <w:pPr>
        <w:pStyle w:val="NoSpacing"/>
        <w:rPr>
          <w:lang w:val="en-GB"/>
        </w:rPr>
      </w:pPr>
    </w:p>
    <w:p w14:paraId="4AAACC22" w14:textId="77777777" w:rsidR="00EB5539" w:rsidRDefault="00EB5539" w:rsidP="008238D4">
      <w:pPr>
        <w:pStyle w:val="NoSpacing"/>
        <w:rPr>
          <w:lang w:val="en-GB"/>
        </w:rPr>
      </w:pPr>
    </w:p>
    <w:p w14:paraId="07973B57" w14:textId="77777777" w:rsidR="00EB5539" w:rsidRDefault="00EB5539" w:rsidP="008238D4">
      <w:pPr>
        <w:pStyle w:val="NoSpacing"/>
        <w:rPr>
          <w:lang w:val="en-GB"/>
        </w:rPr>
      </w:pPr>
    </w:p>
    <w:p w14:paraId="642ED10B" w14:textId="77777777" w:rsidR="00EB5539" w:rsidRDefault="00EB5539" w:rsidP="008238D4">
      <w:pPr>
        <w:pStyle w:val="NoSpacing"/>
        <w:rPr>
          <w:lang w:val="en-GB"/>
        </w:rPr>
      </w:pPr>
    </w:p>
    <w:p w14:paraId="42597160" w14:textId="77777777" w:rsidR="00EB5539" w:rsidRDefault="00EB5539" w:rsidP="008238D4">
      <w:pPr>
        <w:pStyle w:val="NoSpacing"/>
        <w:rPr>
          <w:lang w:val="en-GB"/>
        </w:rPr>
      </w:pPr>
    </w:p>
    <w:p w14:paraId="6D2613F6" w14:textId="77777777" w:rsidR="00EB5539" w:rsidRDefault="00EB5539" w:rsidP="008238D4">
      <w:pPr>
        <w:pStyle w:val="NoSpacing"/>
        <w:rPr>
          <w:lang w:val="en-GB"/>
        </w:rPr>
      </w:pPr>
    </w:p>
    <w:p w14:paraId="5EB4E9E3" w14:textId="77777777" w:rsidR="00EB5539" w:rsidRDefault="00EB5539" w:rsidP="008238D4">
      <w:pPr>
        <w:pStyle w:val="NoSpacing"/>
        <w:rPr>
          <w:lang w:val="en-GB"/>
        </w:rPr>
      </w:pPr>
    </w:p>
    <w:p w14:paraId="3770077A" w14:textId="77777777" w:rsidR="00EB5539" w:rsidRDefault="00EB5539" w:rsidP="008238D4">
      <w:pPr>
        <w:pStyle w:val="NoSpacing"/>
        <w:rPr>
          <w:lang w:val="en-GB"/>
        </w:rPr>
      </w:pPr>
    </w:p>
    <w:p w14:paraId="08ABB9C9" w14:textId="77777777" w:rsidR="00EB5539" w:rsidRDefault="00EB5539" w:rsidP="008238D4">
      <w:pPr>
        <w:pStyle w:val="NoSpacing"/>
        <w:rPr>
          <w:lang w:val="en-GB"/>
        </w:rPr>
      </w:pPr>
    </w:p>
    <w:p w14:paraId="74FDE561" w14:textId="77777777" w:rsidR="00EB5539" w:rsidRDefault="00EB5539" w:rsidP="008238D4">
      <w:pPr>
        <w:pStyle w:val="NoSpacing"/>
        <w:rPr>
          <w:lang w:val="en-GB"/>
        </w:rPr>
      </w:pPr>
    </w:p>
    <w:p w14:paraId="3234BA5B" w14:textId="77777777" w:rsidR="00EB5539" w:rsidRDefault="00EB5539" w:rsidP="008238D4">
      <w:pPr>
        <w:pStyle w:val="NoSpacing"/>
        <w:rPr>
          <w:lang w:val="en-GB"/>
        </w:rPr>
      </w:pPr>
    </w:p>
    <w:p w14:paraId="181B4E73" w14:textId="77777777" w:rsidR="008238D4" w:rsidRDefault="008238D4" w:rsidP="008238D4">
      <w:pPr>
        <w:pStyle w:val="NoSpacing"/>
        <w:rPr>
          <w:lang w:val="en-GB"/>
        </w:rPr>
      </w:pPr>
      <w:r>
        <w:rPr>
          <w:lang w:val="en-GB"/>
        </w:rPr>
        <w:lastRenderedPageBreak/>
        <w:t xml:space="preserve">Work in pairs to complete the following questions. </w:t>
      </w:r>
    </w:p>
    <w:p w14:paraId="6A9D59C9" w14:textId="77777777" w:rsidR="008238D4" w:rsidRDefault="008238D4" w:rsidP="008238D4">
      <w:pPr>
        <w:pStyle w:val="NoSpacing"/>
        <w:rPr>
          <w:lang w:val="en-GB"/>
        </w:rPr>
      </w:pPr>
    </w:p>
    <w:p w14:paraId="318A53DB" w14:textId="77777777" w:rsidR="008238D4" w:rsidRDefault="008238D4" w:rsidP="008238D4">
      <w:pPr>
        <w:pStyle w:val="NoSpacing"/>
        <w:numPr>
          <w:ilvl w:val="0"/>
          <w:numId w:val="1"/>
        </w:numPr>
        <w:rPr>
          <w:lang w:val="en-GB"/>
        </w:rPr>
      </w:pPr>
      <w:r>
        <w:rPr>
          <w:lang w:val="en-GB"/>
        </w:rPr>
        <w:t>Highlight the following in the text:</w:t>
      </w:r>
    </w:p>
    <w:p w14:paraId="22BFB840" w14:textId="77777777" w:rsidR="008238D4" w:rsidRDefault="008238D4" w:rsidP="008238D4">
      <w:pPr>
        <w:pStyle w:val="NoSpacing"/>
        <w:rPr>
          <w:lang w:val="en-GB"/>
        </w:rPr>
      </w:pPr>
    </w:p>
    <w:p w14:paraId="300C31DD" w14:textId="30B7FF1A" w:rsidR="008238D4" w:rsidRDefault="008238D4" w:rsidP="008238D4">
      <w:pPr>
        <w:pStyle w:val="NoSpacing"/>
        <w:rPr>
          <w:color w:val="3A7C22" w:themeColor="accent6" w:themeShade="BF"/>
          <w:lang w:val="en-GB"/>
        </w:rPr>
      </w:pPr>
      <w:r>
        <w:rPr>
          <w:color w:val="3A7C22" w:themeColor="accent6" w:themeShade="BF"/>
          <w:lang w:val="en-GB"/>
        </w:rPr>
        <w:t>language to describe an increase</w:t>
      </w:r>
      <w:r w:rsidR="00CA457A">
        <w:rPr>
          <w:color w:val="3A7C22" w:themeColor="accent6" w:themeShade="BF"/>
          <w:lang w:val="en-GB"/>
        </w:rPr>
        <w:t>:</w:t>
      </w:r>
    </w:p>
    <w:p w14:paraId="5EE1B11E" w14:textId="77777777" w:rsidR="008238D4" w:rsidRDefault="008238D4" w:rsidP="008238D4">
      <w:pPr>
        <w:pStyle w:val="NoSpacing"/>
        <w:rPr>
          <w:color w:val="3A7C22" w:themeColor="accent6" w:themeShade="BF"/>
          <w:lang w:val="en-GB"/>
        </w:rPr>
      </w:pPr>
    </w:p>
    <w:p w14:paraId="15952C2D" w14:textId="77777777" w:rsidR="00CA457A" w:rsidRDefault="00CA457A" w:rsidP="008238D4">
      <w:pPr>
        <w:pStyle w:val="NoSpacing"/>
        <w:rPr>
          <w:color w:val="3A7C22" w:themeColor="accent6" w:themeShade="BF"/>
          <w:lang w:val="en-GB"/>
        </w:rPr>
      </w:pPr>
    </w:p>
    <w:p w14:paraId="3B396DDA" w14:textId="77777777" w:rsidR="00CA457A" w:rsidRDefault="00CA457A" w:rsidP="008238D4">
      <w:pPr>
        <w:pStyle w:val="NoSpacing"/>
        <w:rPr>
          <w:color w:val="3A7C22" w:themeColor="accent6" w:themeShade="BF"/>
          <w:lang w:val="en-GB"/>
        </w:rPr>
      </w:pPr>
    </w:p>
    <w:p w14:paraId="1354B0D4" w14:textId="00EF1031" w:rsidR="008238D4" w:rsidRDefault="008238D4" w:rsidP="008238D4">
      <w:pPr>
        <w:pStyle w:val="NoSpacing"/>
        <w:rPr>
          <w:color w:val="77206D" w:themeColor="accent5" w:themeShade="BF"/>
          <w:lang w:val="en-GB"/>
        </w:rPr>
      </w:pPr>
      <w:r>
        <w:rPr>
          <w:color w:val="77206D" w:themeColor="accent5" w:themeShade="BF"/>
          <w:lang w:val="en-GB"/>
        </w:rPr>
        <w:t>language to describe a decrease</w:t>
      </w:r>
      <w:r w:rsidR="00CA457A">
        <w:rPr>
          <w:color w:val="77206D" w:themeColor="accent5" w:themeShade="BF"/>
          <w:lang w:val="en-GB"/>
        </w:rPr>
        <w:t>:</w:t>
      </w:r>
    </w:p>
    <w:p w14:paraId="33108231" w14:textId="77777777" w:rsidR="008238D4" w:rsidRDefault="008238D4" w:rsidP="008238D4">
      <w:pPr>
        <w:pStyle w:val="NoSpacing"/>
        <w:rPr>
          <w:color w:val="77206D" w:themeColor="accent5" w:themeShade="BF"/>
          <w:lang w:val="en-GB"/>
        </w:rPr>
      </w:pPr>
    </w:p>
    <w:p w14:paraId="7372419F" w14:textId="77777777" w:rsidR="00CA457A" w:rsidRDefault="00CA457A" w:rsidP="008238D4">
      <w:pPr>
        <w:pStyle w:val="NoSpacing"/>
        <w:rPr>
          <w:color w:val="77206D" w:themeColor="accent5" w:themeShade="BF"/>
          <w:lang w:val="en-GB"/>
        </w:rPr>
      </w:pPr>
    </w:p>
    <w:p w14:paraId="6BB36F9E" w14:textId="77777777" w:rsidR="00CA457A" w:rsidRDefault="00CA457A" w:rsidP="008238D4">
      <w:pPr>
        <w:pStyle w:val="NoSpacing"/>
        <w:rPr>
          <w:color w:val="77206D" w:themeColor="accent5" w:themeShade="BF"/>
          <w:lang w:val="en-GB"/>
        </w:rPr>
      </w:pPr>
    </w:p>
    <w:p w14:paraId="1B5F6F17" w14:textId="3DD6EEE6" w:rsidR="008238D4" w:rsidRDefault="008238D4" w:rsidP="008238D4">
      <w:pPr>
        <w:pStyle w:val="NoSpacing"/>
        <w:rPr>
          <w:color w:val="0B769F" w:themeColor="accent4" w:themeShade="BF"/>
          <w:lang w:val="en-GB"/>
        </w:rPr>
      </w:pPr>
      <w:r>
        <w:rPr>
          <w:color w:val="0B769F" w:themeColor="accent4" w:themeShade="BF"/>
          <w:lang w:val="en-GB"/>
        </w:rPr>
        <w:t>language of approximation</w:t>
      </w:r>
      <w:r w:rsidR="00CA457A">
        <w:rPr>
          <w:color w:val="0B769F" w:themeColor="accent4" w:themeShade="BF"/>
          <w:lang w:val="en-GB"/>
        </w:rPr>
        <w:t>:</w:t>
      </w:r>
    </w:p>
    <w:p w14:paraId="37357E4D" w14:textId="77777777" w:rsidR="008238D4" w:rsidRDefault="008238D4" w:rsidP="008238D4">
      <w:pPr>
        <w:pStyle w:val="NoSpacing"/>
        <w:rPr>
          <w:color w:val="0B769F" w:themeColor="accent4" w:themeShade="BF"/>
          <w:lang w:val="en-GB"/>
        </w:rPr>
      </w:pPr>
    </w:p>
    <w:p w14:paraId="3FF4B3F2" w14:textId="77777777" w:rsidR="00CA457A" w:rsidRDefault="00CA457A" w:rsidP="008238D4">
      <w:pPr>
        <w:pStyle w:val="NoSpacing"/>
        <w:rPr>
          <w:color w:val="0B769F" w:themeColor="accent4" w:themeShade="BF"/>
          <w:lang w:val="en-GB"/>
        </w:rPr>
      </w:pPr>
    </w:p>
    <w:p w14:paraId="31C4FB3A" w14:textId="77777777" w:rsidR="00CA457A" w:rsidRDefault="00CA457A" w:rsidP="008238D4">
      <w:pPr>
        <w:pStyle w:val="NoSpacing"/>
        <w:rPr>
          <w:color w:val="0B769F" w:themeColor="accent4" w:themeShade="BF"/>
          <w:lang w:val="en-GB"/>
        </w:rPr>
      </w:pPr>
    </w:p>
    <w:p w14:paraId="1A3B2B9D" w14:textId="7A67BC82" w:rsidR="008238D4" w:rsidRDefault="008238D4" w:rsidP="008238D4">
      <w:pPr>
        <w:pStyle w:val="NoSpacing"/>
        <w:rPr>
          <w:color w:val="0B769F" w:themeColor="accent4" w:themeShade="BF"/>
          <w:lang w:val="en-GB"/>
        </w:rPr>
      </w:pPr>
      <w:r>
        <w:rPr>
          <w:color w:val="BF4E14" w:themeColor="accent2" w:themeShade="BF"/>
          <w:lang w:val="en-GB"/>
        </w:rPr>
        <w:t>language of contrast</w:t>
      </w:r>
      <w:r w:rsidR="00CA457A">
        <w:rPr>
          <w:color w:val="BF4E14" w:themeColor="accent2" w:themeShade="BF"/>
          <w:lang w:val="en-GB"/>
        </w:rPr>
        <w:t>:</w:t>
      </w:r>
    </w:p>
    <w:p w14:paraId="6B04DF21" w14:textId="77777777" w:rsidR="008238D4" w:rsidRDefault="008238D4" w:rsidP="008238D4">
      <w:pPr>
        <w:pStyle w:val="NoSpacing"/>
        <w:rPr>
          <w:color w:val="0B769F" w:themeColor="accent4" w:themeShade="BF"/>
          <w:lang w:val="en-GB"/>
        </w:rPr>
      </w:pPr>
    </w:p>
    <w:p w14:paraId="697CDC91" w14:textId="77777777" w:rsidR="00CA457A" w:rsidRDefault="00CA457A" w:rsidP="008238D4">
      <w:pPr>
        <w:pStyle w:val="NoSpacing"/>
        <w:rPr>
          <w:color w:val="0B769F" w:themeColor="accent4" w:themeShade="BF"/>
          <w:lang w:val="en-GB"/>
        </w:rPr>
      </w:pPr>
    </w:p>
    <w:p w14:paraId="400B8362" w14:textId="77777777" w:rsidR="00CA457A" w:rsidRDefault="00CA457A" w:rsidP="008238D4">
      <w:pPr>
        <w:pStyle w:val="NoSpacing"/>
        <w:rPr>
          <w:color w:val="0B769F" w:themeColor="accent4" w:themeShade="BF"/>
          <w:lang w:val="en-GB"/>
        </w:rPr>
      </w:pPr>
    </w:p>
    <w:p w14:paraId="34F0DE90" w14:textId="6E4E79E2" w:rsidR="008238D4" w:rsidRDefault="008238D4" w:rsidP="008238D4">
      <w:pPr>
        <w:pStyle w:val="NoSpacing"/>
        <w:rPr>
          <w:color w:val="C00000"/>
          <w:lang w:val="en-GB"/>
        </w:rPr>
      </w:pPr>
      <w:r>
        <w:rPr>
          <w:color w:val="C00000"/>
          <w:lang w:val="en-GB"/>
        </w:rPr>
        <w:t>hedging language</w:t>
      </w:r>
      <w:r w:rsidR="00CA457A">
        <w:rPr>
          <w:color w:val="C00000"/>
          <w:lang w:val="en-GB"/>
        </w:rPr>
        <w:t>:</w:t>
      </w:r>
    </w:p>
    <w:p w14:paraId="3EA3EFEF" w14:textId="77777777" w:rsidR="00CA457A" w:rsidRDefault="00CA457A" w:rsidP="008238D4">
      <w:pPr>
        <w:pStyle w:val="NoSpacing"/>
        <w:rPr>
          <w:color w:val="77206D" w:themeColor="accent5" w:themeShade="BF"/>
          <w:lang w:val="en-GB"/>
        </w:rPr>
      </w:pPr>
    </w:p>
    <w:p w14:paraId="0D66C10F" w14:textId="77777777" w:rsidR="00CA457A" w:rsidRDefault="00CA457A" w:rsidP="008238D4">
      <w:pPr>
        <w:pStyle w:val="NoSpacing"/>
        <w:rPr>
          <w:color w:val="77206D" w:themeColor="accent5" w:themeShade="BF"/>
          <w:lang w:val="en-GB"/>
        </w:rPr>
      </w:pPr>
    </w:p>
    <w:p w14:paraId="07CED31F" w14:textId="77777777" w:rsidR="00CA457A" w:rsidRPr="00FA3BDC" w:rsidRDefault="00CA457A" w:rsidP="008238D4">
      <w:pPr>
        <w:pStyle w:val="NoSpacing"/>
        <w:rPr>
          <w:color w:val="77206D" w:themeColor="accent5" w:themeShade="BF"/>
          <w:lang w:val="en-GB"/>
        </w:rPr>
      </w:pPr>
    </w:p>
    <w:p w14:paraId="1797119B" w14:textId="77777777" w:rsidR="008238D4" w:rsidRDefault="008238D4" w:rsidP="008238D4">
      <w:pPr>
        <w:pStyle w:val="NoSpacing"/>
        <w:rPr>
          <w:color w:val="3A7C22" w:themeColor="accent6" w:themeShade="BF"/>
          <w:lang w:val="en-GB"/>
        </w:rPr>
      </w:pPr>
    </w:p>
    <w:p w14:paraId="198B323D" w14:textId="77777777" w:rsidR="008238D4" w:rsidRDefault="008238D4" w:rsidP="008238D4">
      <w:pPr>
        <w:pStyle w:val="NoSpacing"/>
        <w:numPr>
          <w:ilvl w:val="0"/>
          <w:numId w:val="1"/>
        </w:numPr>
        <w:rPr>
          <w:color w:val="000000" w:themeColor="text1"/>
          <w:lang w:val="en-GB"/>
        </w:rPr>
      </w:pPr>
      <w:r>
        <w:rPr>
          <w:color w:val="000000" w:themeColor="text1"/>
          <w:lang w:val="en-GB"/>
        </w:rPr>
        <w:t>What is the purpose of each paragraph? What is the main point in each paragraph?</w:t>
      </w:r>
    </w:p>
    <w:p w14:paraId="4149A302" w14:textId="1F92D6E7" w:rsidR="00CA457A" w:rsidRDefault="00CA457A" w:rsidP="00CA457A">
      <w:pPr>
        <w:pStyle w:val="NoSpacing"/>
        <w:ind w:left="720"/>
        <w:rPr>
          <w:color w:val="000000" w:themeColor="text1"/>
          <w:lang w:val="en-GB"/>
        </w:rPr>
      </w:pPr>
    </w:p>
    <w:p w14:paraId="5F3294FF" w14:textId="77777777" w:rsidR="00CA457A" w:rsidRDefault="00CA457A" w:rsidP="00CA457A">
      <w:pPr>
        <w:pStyle w:val="NoSpacing"/>
        <w:ind w:left="720"/>
        <w:rPr>
          <w:color w:val="000000" w:themeColor="text1"/>
          <w:lang w:val="en-GB"/>
        </w:rPr>
      </w:pPr>
    </w:p>
    <w:p w14:paraId="0C131A37" w14:textId="77777777" w:rsidR="008238D4" w:rsidRDefault="008238D4" w:rsidP="008238D4">
      <w:pPr>
        <w:pStyle w:val="NoSpacing"/>
        <w:ind w:left="720"/>
        <w:rPr>
          <w:color w:val="000000" w:themeColor="text1"/>
          <w:lang w:val="en-GB"/>
        </w:rPr>
      </w:pPr>
    </w:p>
    <w:p w14:paraId="173EED5E" w14:textId="4AC92956" w:rsidR="00CA457A" w:rsidRDefault="008238D4" w:rsidP="00CA457A">
      <w:pPr>
        <w:pStyle w:val="NoSpacing"/>
        <w:numPr>
          <w:ilvl w:val="0"/>
          <w:numId w:val="1"/>
        </w:numPr>
        <w:rPr>
          <w:color w:val="000000" w:themeColor="text1"/>
          <w:lang w:val="en-GB"/>
        </w:rPr>
      </w:pPr>
      <w:r>
        <w:rPr>
          <w:color w:val="000000" w:themeColor="text1"/>
          <w:lang w:val="en-GB"/>
        </w:rPr>
        <w:t xml:space="preserve">List all the </w:t>
      </w:r>
      <w:r>
        <w:rPr>
          <w:b/>
          <w:bCs/>
          <w:color w:val="000000" w:themeColor="text1"/>
          <w:lang w:val="en-GB"/>
        </w:rPr>
        <w:t>verbs</w:t>
      </w:r>
      <w:r>
        <w:rPr>
          <w:color w:val="000000" w:themeColor="text1"/>
          <w:lang w:val="en-GB"/>
        </w:rPr>
        <w:t xml:space="preserve"> in the model answer. What tenses have been used? Can you explain why these tenses have been used?</w:t>
      </w:r>
    </w:p>
    <w:p w14:paraId="19853C18" w14:textId="77777777" w:rsidR="00CA457A" w:rsidRDefault="00CA457A" w:rsidP="00CA457A">
      <w:pPr>
        <w:pStyle w:val="NoSpacing"/>
        <w:rPr>
          <w:color w:val="000000" w:themeColor="text1"/>
          <w:lang w:val="en-GB"/>
        </w:rPr>
      </w:pPr>
    </w:p>
    <w:p w14:paraId="08522F45" w14:textId="77777777" w:rsidR="00CA457A" w:rsidRPr="00CA457A" w:rsidRDefault="00CA457A" w:rsidP="00CA457A">
      <w:pPr>
        <w:pStyle w:val="NoSpacing"/>
        <w:rPr>
          <w:color w:val="000000" w:themeColor="text1"/>
          <w:lang w:val="en-GB"/>
        </w:rPr>
      </w:pPr>
    </w:p>
    <w:p w14:paraId="0ACAD8FF" w14:textId="77777777" w:rsidR="008238D4" w:rsidRDefault="008238D4" w:rsidP="008238D4">
      <w:pPr>
        <w:pStyle w:val="ListParagraph"/>
        <w:rPr>
          <w:color w:val="000000" w:themeColor="text1"/>
          <w:lang w:val="en-GB"/>
        </w:rPr>
      </w:pPr>
    </w:p>
    <w:p w14:paraId="22F35E4B" w14:textId="77777777" w:rsidR="008238D4" w:rsidRDefault="008238D4" w:rsidP="008238D4">
      <w:pPr>
        <w:pStyle w:val="NoSpacing"/>
        <w:ind w:left="720"/>
        <w:rPr>
          <w:color w:val="000000" w:themeColor="text1"/>
          <w:lang w:val="en-GB"/>
        </w:rPr>
      </w:pPr>
    </w:p>
    <w:p w14:paraId="6D752ACD" w14:textId="77777777" w:rsidR="008238D4" w:rsidRDefault="008238D4" w:rsidP="008238D4">
      <w:pPr>
        <w:pStyle w:val="ListParagraph"/>
        <w:rPr>
          <w:color w:val="000000" w:themeColor="text1"/>
          <w:lang w:val="en-GB"/>
        </w:rPr>
      </w:pPr>
    </w:p>
    <w:p w14:paraId="42F7E638" w14:textId="3447D620" w:rsidR="008238D4" w:rsidRPr="001F6738" w:rsidRDefault="008238D4" w:rsidP="008238D4">
      <w:pPr>
        <w:pStyle w:val="NoSpacing"/>
        <w:numPr>
          <w:ilvl w:val="0"/>
          <w:numId w:val="1"/>
        </w:numPr>
        <w:rPr>
          <w:color w:val="000000" w:themeColor="text1"/>
          <w:lang w:val="en-GB"/>
        </w:rPr>
      </w:pPr>
      <w:r>
        <w:rPr>
          <w:color w:val="000000" w:themeColor="text1"/>
          <w:lang w:val="en-GB"/>
        </w:rPr>
        <w:t>How many reasons are given to explain the trends in the chart? How convincing do you find these reasons? Can you think of any others?</w:t>
      </w:r>
    </w:p>
    <w:p w14:paraId="29B853F5" w14:textId="77777777" w:rsidR="00666A58" w:rsidRDefault="00666A58" w:rsidP="00666A58">
      <w:pPr>
        <w:pStyle w:val="NoSpacing"/>
        <w:rPr>
          <w:lang w:val="en-GB"/>
        </w:rPr>
      </w:pPr>
    </w:p>
    <w:sectPr w:rsidR="00666A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4D730F"/>
    <w:multiLevelType w:val="hybridMultilevel"/>
    <w:tmpl w:val="643010A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32913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A58"/>
    <w:rsid w:val="00016B06"/>
    <w:rsid w:val="001A199B"/>
    <w:rsid w:val="0021630B"/>
    <w:rsid w:val="00353575"/>
    <w:rsid w:val="003A5A33"/>
    <w:rsid w:val="00666A58"/>
    <w:rsid w:val="008238D4"/>
    <w:rsid w:val="008976BD"/>
    <w:rsid w:val="00987BEA"/>
    <w:rsid w:val="00A24981"/>
    <w:rsid w:val="00CA002B"/>
    <w:rsid w:val="00CA457A"/>
    <w:rsid w:val="00DA662A"/>
    <w:rsid w:val="00DE0867"/>
    <w:rsid w:val="00EB5539"/>
    <w:rsid w:val="00EF2DA2"/>
    <w:rsid w:val="00FC0A5F"/>
    <w:rsid w:val="00FF7E35"/>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7BE1D38"/>
  <w15:chartTrackingRefBased/>
  <w15:docId w15:val="{F9F79C21-4EA3-8340-A1C7-5F152C71E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line="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6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6A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6A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6A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A5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A5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A5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A5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A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6A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6A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6A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6A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6A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A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A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A58"/>
    <w:rPr>
      <w:rFonts w:eastAsiaTheme="majorEastAsia" w:cstheme="majorBidi"/>
      <w:color w:val="272727" w:themeColor="text1" w:themeTint="D8"/>
    </w:rPr>
  </w:style>
  <w:style w:type="paragraph" w:styleId="Title">
    <w:name w:val="Title"/>
    <w:basedOn w:val="Normal"/>
    <w:next w:val="Normal"/>
    <w:link w:val="TitleChar"/>
    <w:uiPriority w:val="10"/>
    <w:qFormat/>
    <w:rsid w:val="00666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A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A5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A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A5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66A58"/>
    <w:rPr>
      <w:i/>
      <w:iCs/>
      <w:color w:val="404040" w:themeColor="text1" w:themeTint="BF"/>
    </w:rPr>
  </w:style>
  <w:style w:type="paragraph" w:styleId="ListParagraph">
    <w:name w:val="List Paragraph"/>
    <w:basedOn w:val="Normal"/>
    <w:uiPriority w:val="34"/>
    <w:qFormat/>
    <w:rsid w:val="00666A58"/>
    <w:pPr>
      <w:ind w:left="720"/>
      <w:contextualSpacing/>
    </w:pPr>
  </w:style>
  <w:style w:type="character" w:styleId="IntenseEmphasis">
    <w:name w:val="Intense Emphasis"/>
    <w:basedOn w:val="DefaultParagraphFont"/>
    <w:uiPriority w:val="21"/>
    <w:qFormat/>
    <w:rsid w:val="00666A58"/>
    <w:rPr>
      <w:i/>
      <w:iCs/>
      <w:color w:val="0F4761" w:themeColor="accent1" w:themeShade="BF"/>
    </w:rPr>
  </w:style>
  <w:style w:type="paragraph" w:styleId="IntenseQuote">
    <w:name w:val="Intense Quote"/>
    <w:basedOn w:val="Normal"/>
    <w:next w:val="Normal"/>
    <w:link w:val="IntenseQuoteChar"/>
    <w:uiPriority w:val="30"/>
    <w:qFormat/>
    <w:rsid w:val="00666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6A58"/>
    <w:rPr>
      <w:i/>
      <w:iCs/>
      <w:color w:val="0F4761" w:themeColor="accent1" w:themeShade="BF"/>
    </w:rPr>
  </w:style>
  <w:style w:type="character" w:styleId="IntenseReference">
    <w:name w:val="Intense Reference"/>
    <w:basedOn w:val="DefaultParagraphFont"/>
    <w:uiPriority w:val="32"/>
    <w:qFormat/>
    <w:rsid w:val="00666A58"/>
    <w:rPr>
      <w:b/>
      <w:bCs/>
      <w:smallCaps/>
      <w:color w:val="0F4761" w:themeColor="accent1" w:themeShade="BF"/>
      <w:spacing w:val="5"/>
    </w:rPr>
  </w:style>
  <w:style w:type="paragraph" w:styleId="NoSpacing">
    <w:name w:val="No Spacing"/>
    <w:uiPriority w:val="1"/>
    <w:qFormat/>
    <w:rsid w:val="00666A58"/>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378</Words>
  <Characters>2155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Runchman</dc:creator>
  <cp:keywords/>
  <dc:description/>
  <cp:lastModifiedBy>John Salvino</cp:lastModifiedBy>
  <cp:revision>7</cp:revision>
  <dcterms:created xsi:type="dcterms:W3CDTF">2024-05-17T05:56:00Z</dcterms:created>
  <dcterms:modified xsi:type="dcterms:W3CDTF">2024-06-06T14:05:00Z</dcterms:modified>
</cp:coreProperties>
</file>