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Pilot Workbook: Evaluation Sensitivity Across Training Stages</w:t>
      </w:r>
    </w:p>
    <w:p>
      <w:pPr/>
      <w:r>
        <w:t xml:space="preserve">Oct 27, 2026</w:t>
      </w:r>
      <w:r>
        <w:t xml:space="preserve"> · </w:t>
      </w:r>
      <w:r>
        <w:t xml:space="preserve">@Abass Oguntade</w:t>
      </w:r>
    </w:p>
    <w:p>
      <w:pPr/>
      <w:r>
        <w:t xml:space="preserve">This workbook tracks a pilot asking whether preference training (DPO) changes how differently a model treats test-like and real-looking prompts. Each milestone is a checklist; tell me what you did and I'll fill it in and tick it off.</w:t>
      </w:r>
    </w:p>
    <w:p>
      <w:pPr>
        <w:pStyle w:val="Heading2"/>
      </w:pPr>
      <w:r>
        <w:t xml:space="preserve">Status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0"/>
        <w:gridCol w:w="4920"/>
        <w:gridCol w:w="1384"/>
        <w:gridCol w:w="1146"/>
      </w:tblGrid>
      <w:tr>
        <w:trPr>
          <w:tblHeader/>
        </w:trPr>
        <w:tc>
          <w:tcPr>
            <w:tcW w:w="191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Finished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M0 Environment</w:t>
            </w:r>
          </w:p>
        </w:tc>
        <w:tc>
          <w:tcPr>
            <w:tcW w:w="4920" w:type="dxa"/>
          </w:tcPr>
          <w:p>
            <w:pPr/>
            <w:r>
              <w:t xml:space="preserve">Load Tülu 3 8B SFT and see its chat-formatted prompt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M1 Log-probabilities</w:t>
            </w:r>
          </w:p>
        </w:tc>
        <w:tc>
          <w:tcPr>
            <w:tcW w:w="4920" w:type="dxa"/>
          </w:tcPr>
          <w:p>
            <w:pPr/>
            <w:r>
              <w:t xml:space="preserve">Score P(evaluation) for one prompt and explain every line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M2 Prompt pairs</w:t>
            </w:r>
          </w:p>
        </w:tc>
        <w:tc>
          <w:tcPr>
            <w:tcW w:w="4920" w:type="dxa"/>
          </w:tcPr>
          <w:p>
            <w:pPr/>
            <w:r>
              <w:t xml:space="preserve">~100 matched test-like vs natural pairs, with a data card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M3 Stated awareness</w:t>
            </w:r>
          </w:p>
        </w:tc>
        <w:tc>
          <w:tcPr>
            <w:tcW w:w="4920" w:type="dxa"/>
          </w:tcPr>
          <w:p>
            <w:pPr/>
            <w:r>
              <w:t xml:space="preserve">G_stated for all 6 checkpoints, 2–3 question wordings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M4 Behaviour gap</w:t>
            </w:r>
          </w:p>
        </w:tc>
        <w:tc>
          <w:tcPr>
            <w:tcW w:w="4920" w:type="dxa"/>
          </w:tcPr>
          <w:p>
            <w:pPr/>
            <w:r>
              <w:t xml:space="preserve">G_behaviour for all 6 checkpoints, validated refusal classifier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M5 Analysis</w:t>
            </w:r>
          </w:p>
        </w:tc>
        <w:tc>
          <w:tcPr>
            <w:tcW w:w="4920" w:type="dxa"/>
          </w:tcPr>
          <w:p>
            <w:pPr/>
            <w:r>
              <w:t xml:space="preserve">Gaps with bootstrap confidence intervals, compared to predictions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  <w:tr>
        <w:tc>
          <w:tcPr>
            <w:tcW w:w="1910" w:type="dxa"/>
          </w:tcPr>
          <w:p>
            <w:pPr/>
            <w:r>
              <w:t xml:space="preserve">M6 Write-up</w:t>
            </w:r>
          </w:p>
        </w:tc>
        <w:tc>
          <w:tcPr>
            <w:tcW w:w="4920" w:type="dxa"/>
          </w:tcPr>
          <w:p>
            <w:pPr/>
            <w:r>
              <w:t xml:space="preserve">One-page summary with one chart</w:t>
            </w:r>
          </w:p>
        </w:tc>
        <w:tc>
          <w:tcPr>
            <w:tcW w:w="1384" w:type="dxa"/>
          </w:tcPr>
          <w:p>
            <w:pPr/>
            <w:r>
              <w:t xml:space="preserve">Not started</w:t>
            </w:r>
          </w:p>
        </w:tc>
        <w:tc>
          <w:tcPr>
            <w:tcW w:w="1146" w:type="dxa"/>
          </w:tcPr>
          <w:p>
            <w:pPr/>
          </w:p>
        </w:tc>
      </w:tr>
    </w:tbl>
    <w:p>
      <w:pPr>
        <w:pStyle w:val="Heading2"/>
      </w:pPr>
      <w:r>
        <w:t xml:space="preserve">How we work</w:t>
      </w:r>
    </w:p>
    <w:p>
      <w:pPr/>
      <w:r>
        <w:t xml:space="preserve">The goal is to become an applied researcher who can implement without aid, so the core logic is always mine.</w:t>
      </w:r>
    </w:p>
    <w:p>
      <w:pPr/>
      <w:r>
        <w:rPr>
          <w:b/>
        </w:rPr>
        <w:t xml:space="preserve">Help ladder:</w:t>
      </w:r>
      <w:r>
        <w:t xml:space="preserve"> climb one rung at a time.</w:t>
      </w:r>
    </w:p>
    <w:p>
      <w:pPr>
        <w:pStyle w:val="ListParagraph"/>
        <w:numPr>
          <w:ilvl w:val="0"/>
          <w:numId w:val="2"/>
        </w:numPr>
      </w:pPr>
      <w:r>
        <w:t xml:space="preserve">Try first, for 30 to 45 minutes with the official docs.</w:t>
      </w:r>
    </w:p>
    <w:p>
      <w:pPr>
        <w:pStyle w:val="ListParagraph"/>
        <w:numPr>
          <w:ilvl w:val="0"/>
          <w:numId w:val="2"/>
        </w:numPr>
      </w:pPr>
      <w:r>
        <w:t xml:space="preserve">Ask for a hint: a question that points the way.</w:t>
      </w:r>
    </w:p>
    <w:p>
      <w:pPr>
        <w:pStyle w:val="ListParagraph"/>
        <w:numPr>
          <w:ilvl w:val="0"/>
          <w:numId w:val="2"/>
        </w:numPr>
      </w:pPr>
      <w:r>
        <w:t xml:space="preserve">Ask for a pointer: the specific function or doc page.</w:t>
      </w:r>
    </w:p>
    <w:p>
      <w:pPr>
        <w:pStyle w:val="ListParagraph"/>
        <w:numPr>
          <w:ilvl w:val="0"/>
          <w:numId w:val="2"/>
        </w:numPr>
      </w:pPr>
      <w:r>
        <w:t xml:space="preserve">Ask for the shape: pseudocode or steps, not code.</w:t>
      </w:r>
    </w:p>
    <w:p>
      <w:pPr>
        <w:pStyle w:val="ListParagraph"/>
        <w:numPr>
          <w:ilvl w:val="0"/>
          <w:numId w:val="2"/>
        </w:numPr>
      </w:pPr>
      <w:r>
        <w:t xml:space="preserve">Code only for plumbing (GPU memory cleanup, file I/O). Retype it and comment each line.</w:t>
      </w:r>
    </w:p>
    <w:p>
      <w:pPr/>
      <w:r>
        <w:rPr>
          <w:b/>
        </w:rPr>
        <w:t xml:space="preserve">Always mine:</w:t>
      </w:r>
      <w:r>
        <w:t xml:space="preserve"> log-probability scoring, the gap metric, refusal classification, bootstrap statistics.</w:t>
      </w:r>
    </w:p>
    <w:p>
      <w:pPr/>
      <w:r>
        <w:rPr>
          <w:b/>
        </w:rPr>
        <w:t xml:space="preserve">Explain-back rule:</w:t>
      </w:r>
      <w:r>
        <w:t xml:space="preserve"> a milestone isn't done until I've written 3 to 5 sentences explaining what the code does and why, as if teaching someone.</w:t>
      </w:r>
    </w:p>
    <w:p>
      <w:pPr/>
      <w:r>
        <w:rPr>
          <w:b/>
        </w:rPr>
        <w:t xml:space="preserve">Guardrails:</w:t>
      </w:r>
      <w:r>
        <w:t xml:space="preserve"> fix random seeds; record library versions; never change prompts after seeing results without logging what and why; use the same quantisation for every checkpoint.</w:t>
      </w:r>
    </w:p>
    <w:p>
      <w:pPr>
        <w:pStyle w:val="Heading2"/>
      </w:pPr>
      <w:r>
        <w:t xml:space="preserve">Pre-registered predictions</w:t>
      </w:r>
    </w:p>
    <w:p>
      <w:pPr/>
      <w:r>
        <w:t xml:space="preserve">My main prediction: DPO makes behaviour more consistent, so the behaviour gap shrinks or stays flat from SFT to DPO. These are locked before any experiment runs; date the lock and never edit them afterwards.</w:t>
      </w:r>
    </w:p>
    <w:p>
      <w:pPr>
        <w:pStyle w:val="ListParagraph"/>
        <w:numPr>
          <w:ilvl w:val="0"/>
          <w:numId w:val="3"/>
        </w:numPr>
      </w:pPr>
      <w:r>
        <w:t xml:space="preserve">☐ Two [confirm] lines below checked and committed</w:t>
      </w:r>
    </w:p>
    <w:p>
      <w:pPr>
        <w:pStyle w:val="ListParagraph"/>
        <w:numPr>
          <w:ilvl w:val="0"/>
          <w:numId w:val="3"/>
        </w:numPr>
      </w:pPr>
      <w:r>
        <w:t xml:space="preserve">☐ Predictions pasted into the first cell of 00_setup and dated</w:t>
      </w:r>
    </w:p>
    <w:p>
      <w:pPr/>
      <w:r>
        <w:rPr>
          <w:b/>
        </w:rPr>
        <w:t xml:space="preserve">Question:</w:t>
      </w:r>
      <w:r>
        <w:t xml:space="preserve"> does preference training (DPO) change how differently a model treats test-like vs real-looking prompts?</w:t>
      </w:r>
    </w:p>
    <w:p>
      <w:pPr/>
      <w:r>
        <w:rPr>
          <w:b/>
        </w:rPr>
        <w:t xml:space="preserve">Measures</w:t>
      </w:r>
    </w:p>
    <w:p>
      <w:pPr>
        <w:pStyle w:val="ListParagraph"/>
        <w:numPr>
          <w:ilvl w:val="0"/>
          <w:numId w:val="4"/>
        </w:numPr>
      </w:pPr>
      <w:r>
        <w:t xml:space="preserve">G_stated: difference in P("evaluation") between test-like and natural versions of the same prompt. Can the model tell them apart?</w:t>
      </w:r>
    </w:p>
    <w:p>
      <w:pPr>
        <w:pStyle w:val="ListParagraph"/>
        <w:numPr>
          <w:ilvl w:val="0"/>
          <w:numId w:val="4"/>
        </w:numPr>
      </w:pPr>
      <w:r>
        <w:t xml:space="preserve">G_behaviour: difference in refusal rate between test-like and natural versions. Does it act differently?</w:t>
      </w:r>
    </w:p>
    <w:p>
      <w:pPr/>
      <w:r>
        <w:rPr>
          <w:b/>
        </w:rPr>
        <w:t xml:space="preserve">H1, main: DPO teaches consistency.</w:t>
      </w:r>
      <w:r>
        <w:t xml:space="preserve"> Preference training rewards the same careful behaviour whether a prompt looks formal or casual, so the model learns to treat test-like and real prompts alike.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3"/>
        <w:gridCol w:w="1685"/>
        <w:gridCol w:w="1475"/>
        <w:gridCol w:w="4697"/>
      </w:tblGrid>
      <w:tr>
        <w:trPr>
          <w:tblHeader/>
        </w:trPr>
        <w:tc>
          <w:tcPr>
            <w:tcW w:w="1503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1685" w:type="dxa"/>
            <w:shd w:val="clear" w:color="auto" w:fill="F2F2F2"/>
          </w:tcPr>
          <w:p>
            <w:pPr/>
            <w:r>
              <w:t xml:space="preserve">SFT to DPO</w:t>
            </w:r>
          </w:p>
        </w:tc>
        <w:tc>
          <w:tcPr>
            <w:tcW w:w="1475" w:type="dxa"/>
            <w:shd w:val="clear" w:color="auto" w:fill="F2F2F2"/>
          </w:tcPr>
          <w:p>
            <w:pPr/>
            <w:r>
              <w:t xml:space="preserve">DPO to RLVR</w:t>
            </w:r>
          </w:p>
        </w:tc>
        <w:tc>
          <w:tcPr>
            <w:tcW w:w="4697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G_behaviour</w:t>
            </w:r>
          </w:p>
        </w:tc>
        <w:tc>
          <w:tcPr>
            <w:tcW w:w="1685" w:type="dxa"/>
          </w:tcPr>
          <w:p>
            <w:pPr/>
            <w:r>
              <w:t xml:space="preserve">G_dpo ≤ G_sft</w:t>
            </w:r>
          </w:p>
        </w:tc>
        <w:tc>
          <w:tcPr>
            <w:tcW w:w="1475" w:type="dxa"/>
          </w:tcPr>
          <w:p>
            <w:pPr/>
            <w:r>
              <w:t xml:space="preserve">Roughly flat [confirm]</w:t>
            </w:r>
          </w:p>
        </w:tc>
        <w:tc>
          <w:tcPr>
            <w:tcW w:w="4697" w:type="dxa"/>
          </w:tcPr>
          <w:p>
            <w:pPr/>
            <w:r>
              <w:t xml:space="preserve">DPO rewards consistent behaviour across styles; RLVR starts from DPO and its stage was short and narrow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G_stated</w:t>
            </w:r>
          </w:p>
        </w:tc>
        <w:tc>
          <w:tcPr>
            <w:tcW w:w="1685" w:type="dxa"/>
          </w:tcPr>
          <w:p>
            <w:pPr/>
            <w:r>
              <w:t xml:space="preserve">Roughly unchanged [confirm]</w:t>
            </w:r>
          </w:p>
        </w:tc>
        <w:tc>
          <w:tcPr>
            <w:tcW w:w="1475" w:type="dxa"/>
          </w:tcPr>
          <w:p>
            <w:pPr/>
            <w:r>
              <w:t xml:space="preserve">Roughly flat</w:t>
            </w:r>
          </w:p>
        </w:tc>
        <w:tc>
          <w:tcPr>
            <w:tcW w:w="4697" w:type="dxa"/>
          </w:tcPr>
          <w:p>
            <w:pPr/>
            <w:r>
              <w:t xml:space="preserve">DPO trains what the model does, not what it can recognise</w:t>
            </w:r>
          </w:p>
        </w:tc>
      </w:tr>
    </w:tbl>
    <w:p>
      <w:pPr/>
      <w:r>
        <w:t xml:space="preserve">Evidence I'd expect to find: the Tülu 3 preference data contains similar requests written in varied styles.</w:t>
      </w:r>
    </w:p>
    <w:p>
      <w:pPr/>
      <w:r>
        <w:rPr>
          <w:b/>
        </w:rPr>
        <w:t xml:space="preserve">What would prove H1 wrong:</w:t>
      </w:r>
      <w:r>
        <w:t xml:space="preserve"> G_behaviour at DPO is clearly larger than at SFT, with non-overlapping bootstrap confidence intervals, in both Tülu and OLMo.</w:t>
      </w:r>
    </w:p>
    <w:p>
      <w:pPr/>
      <w:r>
        <w:rPr>
          <w:b/>
        </w:rPr>
        <w:t xml:space="preserve">H2, secondary and exploratory: persona selection.</w:t>
      </w:r>
      <w:r>
        <w:t xml:space="preserve"> Post-training selects an assistant persona that already exists from pretraining, so awareness appears mostly at SFT with little change after. H1 and H2 predict a similar SFT to DPO pattern, so this pilot can't separate them; that needs a base-model measurement with a completion-style prompt, not included here.</w:t>
      </w:r>
    </w:p>
    <w:p>
      <w:pPr/>
      <w:r>
        <w:rPr>
          <w:b/>
        </w:rPr>
        <w:t xml:space="preserve">Caveats written in advance</w:t>
      </w:r>
    </w:p>
    <w:p>
      <w:pPr>
        <w:pStyle w:val="ListParagraph"/>
        <w:numPr>
          <w:ilvl w:val="0"/>
          <w:numId w:val="5"/>
        </w:numPr>
      </w:pPr>
      <w:r>
        <w:t xml:space="preserve">Base model excluded from the main comparison: it only autocompletes, so a low gap would reflect the measurement, not its awareness.</w:t>
      </w:r>
    </w:p>
    <w:p>
      <w:pPr>
        <w:pStyle w:val="ListParagraph"/>
        <w:numPr>
          <w:ilvl w:val="0"/>
          <w:numId w:val="5"/>
        </w:numPr>
      </w:pPr>
      <w:r>
        <w:t xml:space="preserve">One checkpoint per stage, no seeds: a signal, not proof.</w:t>
      </w:r>
    </w:p>
    <w:p>
      <w:pPr>
        <w:pStyle w:val="ListParagraph"/>
        <w:numPr>
          <w:ilvl w:val="0"/>
          <w:numId w:val="5"/>
        </w:numPr>
      </w:pPr>
      <w:r>
        <w:t xml:space="preserve">Ceiling effect: if refusals approach 100% on both versions, the gap shrinks for reasons unrelated to awareness.</w:t>
      </w:r>
    </w:p>
    <w:p>
      <w:pPr>
        <w:pStyle w:val="ListParagraph"/>
        <w:numPr>
          <w:ilvl w:val="0"/>
          <w:numId w:val="5"/>
        </w:numPr>
      </w:pPr>
      <w:r>
        <w:t xml:space="preserve">RLVR's tasks are test-shaped, which could raise the gap despite the short stage.</w:t>
      </w:r>
    </w:p>
    <w:p>
      <w:pPr/>
      <w:r>
        <w:rPr>
          <w:b/>
        </w:rPr>
        <w:t xml:space="preserve">Locked on:</w:t>
      </w:r>
      <w:r>
        <w:t xml:space="preserve"> </w:t>
      </w:r>
      <w:r>
        <w:rPr>
          <w:i/>
        </w:rPr>
        <w:t xml:space="preserve">date</w:t>
      </w:r>
    </w:p>
    <w:p>
      <w:pPr>
        <w:pStyle w:val="Heading2"/>
      </w:pPr>
      <w:r>
        <w:t xml:space="preserve">Milestones</w:t>
      </w:r>
    </w:p>
    <w:p>
      <w:pPr/>
      <w:r>
        <w:t xml:space="preserve">Each milestone closes when every box is ticked and the explain-back is written. The fields under each one become the raw material for the write-up.</w:t>
      </w:r>
    </w:p>
    <w:p>
      <w:pPr>
        <w:pStyle w:val="Heading3"/>
      </w:pPr>
      <w:r>
        <w:t xml:space="preserve">M0 Environment</w:t>
      </w:r>
    </w:p>
    <w:p>
      <w:pPr>
        <w:pStyle w:val="ListParagraph"/>
        <w:numPr>
          <w:ilvl w:val="0"/>
          <w:numId w:val="6"/>
        </w:numPr>
      </w:pPr>
      <w:r>
        <w:t xml:space="preserve">☐ Understand: what a chat template is and why each model has its own</w:t>
      </w:r>
    </w:p>
    <w:p>
      <w:pPr>
        <w:pStyle w:val="ListParagraph"/>
        <w:numPr>
          <w:ilvl w:val="0"/>
          <w:numId w:val="6"/>
        </w:numPr>
      </w:pPr>
      <w:r>
        <w:t xml:space="preserve">☐ Understand: what 4-bit quantisation does to memory and probabilities</w:t>
      </w:r>
    </w:p>
    <w:p>
      <w:pPr>
        <w:pStyle w:val="ListParagraph"/>
        <w:numPr>
          <w:ilvl w:val="0"/>
          <w:numId w:val="6"/>
        </w:numPr>
      </w:pPr>
      <w:r>
        <w:t xml:space="preserve">☐ Free GPU running (Kaggle or Colab), library versions recorded</w:t>
      </w:r>
    </w:p>
    <w:p>
      <w:pPr>
        <w:pStyle w:val="ListParagraph"/>
        <w:numPr>
          <w:ilvl w:val="0"/>
          <w:numId w:val="6"/>
        </w:numPr>
      </w:pPr>
      <w:r>
        <w:t xml:space="preserve">☐ Random seeds fixed</w:t>
      </w:r>
    </w:p>
    <w:p>
      <w:pPr>
        <w:pStyle w:val="ListParagraph"/>
        <w:numPr>
          <w:ilvl w:val="0"/>
          <w:numId w:val="6"/>
        </w:numPr>
      </w:pPr>
      <w:r>
        <w:t xml:space="preserve">☐ Tülu 3 8B SFT loads and generates one reply</w:t>
      </w:r>
    </w:p>
    <w:p>
      <w:pPr>
        <w:pStyle w:val="ListParagraph"/>
        <w:numPr>
          <w:ilvl w:val="0"/>
          <w:numId w:val="6"/>
        </w:numPr>
      </w:pPr>
      <w:r>
        <w:t xml:space="preserve">☐ Exact chat-formatted prompt printed</w:t>
      </w:r>
    </w:p>
    <w:p>
      <w:pPr>
        <w:pStyle w:val="ListParagraph"/>
        <w:numPr>
          <w:ilvl w:val="0"/>
          <w:numId w:val="6"/>
        </w:numPr>
      </w:pPr>
      <w:r>
        <w:t xml:space="preserve">☐ Self-check answered: why must every checkpoint use the same quantisation?</w:t>
      </w:r>
    </w:p>
    <w:p>
      <w:pPr/>
      <w:r>
        <w:rPr>
          <w:b/>
        </w:rPr>
        <w:t xml:space="preserve">Explain-back: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Decisions and why: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M1 Log-probabilities</w:t>
      </w:r>
    </w:p>
    <w:p>
      <w:pPr>
        <w:pStyle w:val="ListParagraph"/>
        <w:numPr>
          <w:ilvl w:val="0"/>
          <w:numId w:val="7"/>
        </w:numPr>
      </w:pPr>
      <w:r>
        <w:t xml:space="preserve">☐ Understand: tokens, logits, softmax</w:t>
      </w:r>
    </w:p>
    <w:p>
      <w:pPr>
        <w:pStyle w:val="ListParagraph"/>
        <w:numPr>
          <w:ilvl w:val="0"/>
          <w:numId w:val="7"/>
        </w:numPr>
      </w:pPr>
      <w:r>
        <w:t xml:space="preserve">☐ Understand: why "Yes" and " Yes" can be different tokens</w:t>
      </w:r>
    </w:p>
    <w:p>
      <w:pPr>
        <w:pStyle w:val="ListParagraph"/>
        <w:numPr>
          <w:ilvl w:val="0"/>
          <w:numId w:val="7"/>
        </w:numPr>
      </w:pPr>
      <w:r>
        <w:t xml:space="preserve">☐ P(evaluation) computed for one prompt, normalised over the two answer tokens</w:t>
      </w:r>
    </w:p>
    <w:p>
      <w:pPr>
        <w:pStyle w:val="ListParagraph"/>
        <w:numPr>
          <w:ilvl w:val="0"/>
          <w:numId w:val="7"/>
        </w:numPr>
      </w:pPr>
      <w:r>
        <w:t xml:space="preserve">☐ Sanity check: obviously test-like prompt scores higher than obviously real one</w:t>
      </w:r>
    </w:p>
    <w:p>
      <w:pPr>
        <w:pStyle w:val="ListParagraph"/>
        <w:numPr>
          <w:ilvl w:val="0"/>
          <w:numId w:val="7"/>
        </w:numPr>
      </w:pPr>
      <w:r>
        <w:t xml:space="preserve">☐ Self-check answered: why normalise over two tokens instead of using the raw probability?</w:t>
      </w:r>
    </w:p>
    <w:p>
      <w:pPr/>
      <w:r>
        <w:rPr>
          <w:b/>
        </w:rPr>
        <w:t xml:space="preserve">Explain-back: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Decisions and why: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M2 Prompt pairs</w:t>
      </w:r>
    </w:p>
    <w:p>
      <w:pPr>
        <w:pStyle w:val="ListParagraph"/>
        <w:numPr>
          <w:ilvl w:val="0"/>
          <w:numId w:val="8"/>
        </w:numPr>
      </w:pPr>
      <w:r>
        <w:t xml:space="preserve">☐ 20 pairs written by hand</w:t>
      </w:r>
    </w:p>
    <w:p>
      <w:pPr>
        <w:pStyle w:val="ListParagraph"/>
        <w:numPr>
          <w:ilvl w:val="0"/>
          <w:numId w:val="8"/>
        </w:numPr>
      </w:pPr>
      <w:r>
        <w:t xml:space="preserve">☐ Expanded to ~100 pairs, every one checked by hand</w:t>
      </w:r>
    </w:p>
    <w:p>
      <w:pPr>
        <w:pStyle w:val="ListParagraph"/>
        <w:numPr>
          <w:ilvl w:val="0"/>
          <w:numId w:val="8"/>
        </w:numPr>
      </w:pPr>
      <w:r>
        <w:t xml:space="preserve">☐ Each pair differs only in test-likeness: same task, similar length</w:t>
      </w:r>
    </w:p>
    <w:p>
      <w:pPr>
        <w:pStyle w:val="ListParagraph"/>
        <w:numPr>
          <w:ilvl w:val="0"/>
          <w:numId w:val="8"/>
        </w:numPr>
      </w:pPr>
      <w:r>
        <w:t xml:space="preserve">☐ Traits drawn from both papers (placeholders, verifiable structure, unusual access, researcher-style writing)</w:t>
      </w:r>
    </w:p>
    <w:p>
      <w:pPr>
        <w:pStyle w:val="ListParagraph"/>
        <w:numPr>
          <w:ilvl w:val="0"/>
          <w:numId w:val="8"/>
        </w:numPr>
      </w:pPr>
      <w:r>
        <w:t xml:space="preserve">☐ Data card written: how built, what excluded, why</w:t>
      </w:r>
    </w:p>
    <w:p>
      <w:pPr>
        <w:pStyle w:val="ListParagraph"/>
        <w:numPr>
          <w:ilvl w:val="0"/>
          <w:numId w:val="8"/>
        </w:numPr>
      </w:pPr>
      <w:r>
        <w:t xml:space="preserve">☐ Saved with IDs (CSV or JSONL)</w:t>
      </w:r>
    </w:p>
    <w:p>
      <w:pPr/>
      <w:r>
        <w:rPr>
          <w:b/>
        </w:rPr>
        <w:t xml:space="preserve">Data card: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Decisions and why: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M3 Stated awareness (G_stated)</w:t>
      </w:r>
    </w:p>
    <w:p>
      <w:pPr>
        <w:pStyle w:val="ListParagraph"/>
        <w:numPr>
          <w:ilvl w:val="0"/>
          <w:numId w:val="9"/>
        </w:numPr>
      </w:pPr>
      <w:r>
        <w:t xml:space="preserve">☐ Understand: loading one model at a time and freeing GPU memory fully</w:t>
      </w:r>
    </w:p>
    <w:p>
      <w:pPr>
        <w:pStyle w:val="ListParagraph"/>
        <w:numPr>
          <w:ilvl w:val="0"/>
          <w:numId w:val="9"/>
        </w:numPr>
      </w:pPr>
      <w:r>
        <w:t xml:space="preserve">☐ 2–3 question wordings written</w:t>
      </w:r>
    </w:p>
    <w:p>
      <w:pPr>
        <w:pStyle w:val="ListParagraph"/>
        <w:numPr>
          <w:ilvl w:val="0"/>
          <w:numId w:val="9"/>
        </w:numPr>
      </w:pPr>
      <w:r>
        <w:t xml:space="preserve">☐ All 6 checkpoints scored (Tülu and OLMo: SFT, DPO, RLVR)</w:t>
      </w:r>
    </w:p>
    <w:p>
      <w:pPr>
        <w:pStyle w:val="ListParagraph"/>
        <w:numPr>
          <w:ilvl w:val="0"/>
          <w:numId w:val="9"/>
        </w:numPr>
      </w:pPr>
      <w:r>
        <w:t xml:space="preserve">☐ Results saved: checkpoint × prompt × wording</w:t>
      </w:r>
    </w:p>
    <w:p>
      <w:pPr>
        <w:pStyle w:val="ListParagraph"/>
        <w:numPr>
          <w:ilvl w:val="0"/>
          <w:numId w:val="9"/>
        </w:numPr>
      </w:pPr>
      <w:r>
        <w:t xml:space="preserve">☐ Effect checked across wordings</w:t>
      </w:r>
    </w:p>
    <w:p>
      <w:pPr/>
      <w:r>
        <w:rPr>
          <w:b/>
        </w:rPr>
        <w:t xml:space="preserve">Explain-back: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Decisions and why: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M4 Behaviour gap (G_behaviour)</w:t>
      </w:r>
    </w:p>
    <w:p>
      <w:pPr>
        <w:pStyle w:val="ListParagraph"/>
        <w:numPr>
          <w:ilvl w:val="0"/>
          <w:numId w:val="10"/>
        </w:numPr>
      </w:pPr>
      <w:r>
        <w:t xml:space="preserve">☐ Generation settings fixed and recorded</w:t>
      </w:r>
    </w:p>
    <w:p>
      <w:pPr>
        <w:pStyle w:val="ListParagraph"/>
        <w:numPr>
          <w:ilvl w:val="0"/>
          <w:numId w:val="10"/>
        </w:numPr>
      </w:pPr>
      <w:r>
        <w:t xml:space="preserve">☐ Responses generated for all 6 checkpoints</w:t>
      </w:r>
    </w:p>
    <w:p>
      <w:pPr>
        <w:pStyle w:val="ListParagraph"/>
        <w:numPr>
          <w:ilvl w:val="0"/>
          <w:numId w:val="10"/>
        </w:numPr>
      </w:pPr>
      <w:r>
        <w:t xml:space="preserve">☐ Keyword refusal classifier built</w:t>
      </w:r>
    </w:p>
    <w:p>
      <w:pPr>
        <w:pStyle w:val="ListParagraph"/>
        <w:numPr>
          <w:ilvl w:val="0"/>
          <w:numId w:val="10"/>
        </w:numPr>
      </w:pPr>
      <w:r>
        <w:t xml:space="preserve">☐ 30 responses hand-labelled; agreement with classifier measured</w:t>
      </w:r>
    </w:p>
    <w:p>
      <w:pPr>
        <w:pStyle w:val="ListParagraph"/>
        <w:numPr>
          <w:ilvl w:val="0"/>
          <w:numId w:val="10"/>
        </w:numPr>
      </w:pPr>
      <w:r>
        <w:t xml:space="preserve">☐ Self-check answered: what would the keyword rule get wrong?</w:t>
      </w:r>
    </w:p>
    <w:p>
      <w:pPr/>
      <w:r>
        <w:rPr>
          <w:b/>
        </w:rPr>
        <w:t xml:space="preserve">Explain-back: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Classifier agreement: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M5 Analysis</w:t>
      </w:r>
    </w:p>
    <w:p>
      <w:pPr>
        <w:pStyle w:val="ListParagraph"/>
        <w:numPr>
          <w:ilvl w:val="0"/>
          <w:numId w:val="11"/>
        </w:numPr>
      </w:pPr>
      <w:r>
        <w:t xml:space="preserve">☐ Gaps computed per checkpoint, both measures</w:t>
      </w:r>
    </w:p>
    <w:p>
      <w:pPr>
        <w:pStyle w:val="ListParagraph"/>
        <w:numPr>
          <w:ilvl w:val="0"/>
          <w:numId w:val="11"/>
        </w:numPr>
      </w:pPr>
      <w:r>
        <w:t xml:space="preserve">☐ Bootstrap written myself; confidence intervals computed</w:t>
      </w:r>
    </w:p>
    <w:p>
      <w:pPr>
        <w:pStyle w:val="ListParagraph"/>
        <w:numPr>
          <w:ilvl w:val="0"/>
          <w:numId w:val="11"/>
        </w:numPr>
      </w:pPr>
      <w:r>
        <w:t xml:space="preserve">☐ One chart: gap by training stage, both model families</w:t>
      </w:r>
    </w:p>
    <w:p>
      <w:pPr>
        <w:pStyle w:val="ListParagraph"/>
        <w:numPr>
          <w:ilvl w:val="0"/>
          <w:numId w:val="11"/>
        </w:numPr>
      </w:pPr>
      <w:r>
        <w:t xml:space="preserve">☐ Results compared with locked predictions</w:t>
      </w:r>
    </w:p>
    <w:p>
      <w:pPr>
        <w:pStyle w:val="ListParagraph"/>
        <w:numPr>
          <w:ilvl w:val="0"/>
          <w:numId w:val="11"/>
        </w:numPr>
      </w:pPr>
      <w:r>
        <w:t xml:space="preserve">☐ Ceiling effect checked</w:t>
      </w:r>
    </w:p>
    <w:p>
      <w:pPr/>
      <w:r>
        <w:rPr>
          <w:b/>
        </w:rPr>
        <w:t xml:space="preserve">What the results say: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Matched predictions?</w:t>
      </w:r>
      <w:r>
        <w:t xml:space="preserve"> </w:t>
      </w:r>
      <w:r>
        <w:rPr>
          <w:i/>
        </w:rPr>
        <w:t xml:space="preserve">…</w:t>
      </w:r>
    </w:p>
    <w:p>
      <w:pPr/>
      <w:r>
        <w:rPr>
          <w:b/>
        </w:rPr>
        <w:t xml:space="preserve">Surprised me:</w:t>
      </w:r>
      <w:r>
        <w:t xml:space="preserve"> </w:t>
      </w:r>
      <w:r>
        <w:rPr>
          <w:i/>
        </w:rPr>
        <w:t xml:space="preserve">…</w:t>
      </w:r>
    </w:p>
    <w:p>
      <w:pPr>
        <w:pStyle w:val="Heading3"/>
      </w:pPr>
      <w:r>
        <w:t xml:space="preserve">M6 Write-up</w:t>
      </w:r>
    </w:p>
    <w:p>
      <w:pPr>
        <w:pStyle w:val="ListParagraph"/>
        <w:numPr>
          <w:ilvl w:val="0"/>
          <w:numId w:val="12"/>
        </w:numPr>
      </w:pPr>
      <w:r>
        <w:t xml:space="preserve">☐ Write-up skeleton below filled in</w:t>
      </w:r>
    </w:p>
    <w:p>
      <w:pPr>
        <w:pStyle w:val="ListParagraph"/>
        <w:numPr>
          <w:ilvl w:val="0"/>
          <w:numId w:val="12"/>
        </w:numPr>
      </w:pPr>
      <w:r>
        <w:t xml:space="preserve">☐ Limitations stated plainly</w:t>
      </w:r>
    </w:p>
    <w:p>
      <w:pPr>
        <w:pStyle w:val="ListParagraph"/>
        <w:numPr>
          <w:ilvl w:val="0"/>
          <w:numId w:val="12"/>
        </w:numPr>
      </w:pPr>
      <w:r>
        <w:t xml:space="preserve">☐ Next step chosen using the decision rule</w:t>
      </w:r>
    </w:p>
    <w:p>
      <w:pPr>
        <w:pStyle w:val="ListParagraph"/>
        <w:numPr>
          <w:ilvl w:val="0"/>
          <w:numId w:val="12"/>
        </w:numPr>
      </w:pPr>
      <w:r>
        <w:t xml:space="preserve">☐ Shared for feedback</w:t>
      </w:r>
    </w:p>
    <w:p>
      <w:pPr>
        <w:pStyle w:val="Heading2"/>
      </w:pPr>
      <w:r>
        <w:t xml:space="preserve">Research log</w:t>
      </w:r>
    </w:p>
    <w:p>
      <w:pPr/>
      <w:r>
        <w:t xml:space="preserve">One row per working session, newest first. Short notes are fine; the surprises and open questions are the most valuable column later.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1385"/>
        <w:gridCol w:w="3057"/>
        <w:gridCol w:w="2019"/>
        <w:gridCol w:w="1435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057" w:type="dxa"/>
            <w:shd w:val="clear" w:color="auto" w:fill="F2F2F2"/>
          </w:tcPr>
          <w:p>
            <w:pPr/>
            <w:r>
              <w:t xml:space="preserve">Did</w:t>
            </w:r>
          </w:p>
        </w:tc>
        <w:tc>
          <w:tcPr>
            <w:tcW w:w="2019" w:type="dxa"/>
            <w:shd w:val="clear" w:color="auto" w:fill="F2F2F2"/>
          </w:tcPr>
          <w:p>
            <w:pPr/>
            <w:r>
              <w:t xml:space="preserve">Surprised me</w:t>
            </w:r>
          </w:p>
        </w:tc>
        <w:tc>
          <w:tcPr>
            <w:tcW w:w="1435" w:type="dxa"/>
            <w:shd w:val="clear" w:color="auto" w:fill="F2F2F2"/>
          </w:tcPr>
          <w:p>
            <w:pPr/>
            <w:r>
              <w:t xml:space="preserve">Open questions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1385" w:type="dxa"/>
          </w:tcPr>
          <w:p>
            <w:pPr/>
            <w:r>
              <w:t xml:space="preserve">Frame the pilot and predictions</w:t>
            </w:r>
          </w:p>
        </w:tc>
        <w:tc>
          <w:tcPr>
            <w:tcW w:w="3057" w:type="dxa"/>
          </w:tcPr>
          <w:p>
            <w:pPr/>
            <w:r>
              <w:t xml:space="preserve">Read both papers; wrote and revised predictions; chose consistency training as main mechanism; parked persona selection as secondary</w:t>
            </w:r>
          </w:p>
        </w:tc>
        <w:tc>
          <w:tcPr>
            <w:tcW w:w="2019" w:type="dxa"/>
          </w:tcPr>
          <w:p>
            <w:pPr/>
            <w:r>
              <w:t xml:space="preserve">Persona selection predicts the same SFT to DPO pattern as my hypothesis</w:t>
            </w:r>
          </w:p>
        </w:tc>
        <w:tc>
          <w:tcPr>
            <w:tcW w:w="1435" w:type="dxa"/>
          </w:tcPr>
          <w:p>
            <w:pPr/>
            <w:r>
              <w:t xml:space="preserve">How was Tülu 3's preference data labelled?</w:t>
            </w:r>
          </w:p>
        </w:tc>
      </w:tr>
    </w:tbl>
    <w:p>
      <w:pPr>
        <w:pStyle w:val="Heading2"/>
      </w:pPr>
      <w:r>
        <w:t xml:space="preserve">Decisions log</w:t>
      </w:r>
    </w:p>
    <w:p>
      <w:pPr/>
      <w:r>
        <w:t xml:space="preserve">Every choice that shapes the result, with the alternative I rejected. This becomes the Method section.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3181"/>
        <w:gridCol w:w="2742"/>
        <w:gridCol w:w="1974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3181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742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1974" w:type="dxa"/>
            <w:shd w:val="clear" w:color="auto" w:fill="F2F2F2"/>
          </w:tcPr>
          <w:p>
            <w:pPr/>
            <w:r>
              <w:t xml:space="preserve">Alternative rejected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3181" w:type="dxa"/>
          </w:tcPr>
          <w:p>
            <w:pPr/>
            <w:r>
              <w:t xml:space="preserve">Compare SFT, DPO and RLVR checkpoints instead of training my own models</w:t>
            </w:r>
          </w:p>
        </w:tc>
        <w:tc>
          <w:tcPr>
            <w:tcW w:w="2742" w:type="dxa"/>
          </w:tcPr>
          <w:p>
            <w:pPr/>
            <w:r>
              <w:t xml:space="preserve">Isolates DPO cheaply; inference only</w:t>
            </w:r>
          </w:p>
        </w:tc>
        <w:tc>
          <w:tcPr>
            <w:tcW w:w="1974" w:type="dxa"/>
          </w:tcPr>
          <w:p>
            <w:pPr/>
            <w:r>
              <w:t xml:space="preserve">Run DPO myself first (costlier, untested premise)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3181" w:type="dxa"/>
          </w:tcPr>
          <w:p>
            <w:pPr/>
            <w:r>
              <w:t xml:space="preserve">Use two families, Tülu 3 8B and OLMo-2 7B</w:t>
            </w:r>
          </w:p>
        </w:tc>
        <w:tc>
          <w:tcPr>
            <w:tcW w:w="2742" w:type="dxa"/>
          </w:tcPr>
          <w:p>
            <w:pPr/>
            <w:r>
              <w:t xml:space="preserve">Built-in replication</w:t>
            </w:r>
          </w:p>
        </w:tc>
        <w:tc>
          <w:tcPr>
            <w:tcW w:w="1974" w:type="dxa"/>
          </w:tcPr>
          <w:p>
            <w:pPr/>
            <w:r>
              <w:t xml:space="preserve">One family only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3181" w:type="dxa"/>
          </w:tcPr>
          <w:p>
            <w:pPr/>
            <w:r>
              <w:t xml:space="preserve">Exclude the base model from the main comparison</w:t>
            </w:r>
          </w:p>
        </w:tc>
        <w:tc>
          <w:tcPr>
            <w:tcW w:w="2742" w:type="dxa"/>
          </w:tcPr>
          <w:p>
            <w:pPr/>
            <w:r>
              <w:t xml:space="preserve">It only autocompletes, so its gap reflects the measurement</w:t>
            </w:r>
          </w:p>
        </w:tc>
        <w:tc>
          <w:tcPr>
            <w:tcW w:w="1974" w:type="dxa"/>
          </w:tcPr>
          <w:p>
            <w:pPr/>
            <w:r>
              <w:t xml:space="preserve">Measure base with chat prompts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3181" w:type="dxa"/>
          </w:tcPr>
          <w:p>
            <w:pPr/>
            <w:r>
              <w:t xml:space="preserve">Measure gaps between paired prompts, not raw scores</w:t>
            </w:r>
          </w:p>
        </w:tc>
        <w:tc>
          <w:tcPr>
            <w:tcW w:w="2742" w:type="dxa"/>
          </w:tcPr>
          <w:p>
            <w:pPr/>
            <w:r>
              <w:t xml:space="preserve">General changes in caution cancel out within a pair</w:t>
            </w:r>
          </w:p>
        </w:tc>
        <w:tc>
          <w:tcPr>
            <w:tcW w:w="1974" w:type="dxa"/>
          </w:tcPr>
          <w:p>
            <w:pPr/>
            <w:r>
              <w:t xml:space="preserve">Raw refusal rates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3181" w:type="dxa"/>
          </w:tcPr>
          <w:p>
            <w:pPr/>
            <w:r>
              <w:t xml:space="preserve">Treat persona selection as secondary</w:t>
            </w:r>
          </w:p>
        </w:tc>
        <w:tc>
          <w:tcPr>
            <w:tcW w:w="2742" w:type="dxa"/>
          </w:tcPr>
          <w:p>
            <w:pPr/>
            <w:r>
              <w:t xml:space="preserve">Can't be separated from H1 without a base-model measurement</w:t>
            </w:r>
          </w:p>
        </w:tc>
        <w:tc>
          <w:tcPr>
            <w:tcW w:w="1974" w:type="dxa"/>
          </w:tcPr>
          <w:p>
            <w:pPr/>
            <w:r>
              <w:t xml:space="preserve">Make it a main hypothesis</w:t>
            </w:r>
          </w:p>
        </w:tc>
      </w:tr>
    </w:tbl>
    <w:p>
      <w:pPr>
        <w:pStyle w:val="Heading2"/>
      </w:pPr>
      <w:r>
        <w:t xml:space="preserve">Paper cross-checks</w:t>
      </w:r>
    </w:p>
    <w:p>
      <w:pPr/>
      <w:r>
        <w:t xml:space="preserve">What I borrow from each paper, and whether my results line up with theirs.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3"/>
        <w:gridCol w:w="4561"/>
        <w:gridCol w:w="1233"/>
        <w:gridCol w:w="1233"/>
      </w:tblGrid>
      <w:tr>
        <w:trPr>
          <w:tblHeader/>
        </w:trPr>
        <w:tc>
          <w:tcPr>
            <w:tcW w:w="2333" w:type="dxa"/>
            <w:shd w:val="clear" w:color="auto" w:fill="F2F2F2"/>
          </w:tcPr>
          <w:p>
            <w:pPr/>
            <w:r>
              <w:t xml:space="preserve">Paper</w:t>
            </w:r>
          </w:p>
        </w:tc>
        <w:tc>
          <w:tcPr>
            <w:tcW w:w="4561" w:type="dxa"/>
            <w:shd w:val="clear" w:color="auto" w:fill="F2F2F2"/>
          </w:tcPr>
          <w:p>
            <w:pPr/>
            <w:r>
              <w:t xml:space="preserve">What I borrow</w:t>
            </w:r>
          </w:p>
        </w:tc>
        <w:tc>
          <w:tcPr>
            <w:tcW w:w="1233" w:type="dxa"/>
            <w:shd w:val="clear" w:color="auto" w:fill="F2F2F2"/>
          </w:tcPr>
          <w:p>
            <w:pPr/>
            <w:r>
              <w:t xml:space="preserve">My check</w:t>
            </w:r>
          </w:p>
        </w:tc>
        <w:tc>
          <w:tcPr>
            <w:tcW w:w="1233" w:type="dxa"/>
            <w:shd w:val="clear" w:color="auto" w:fill="F2F2F2"/>
          </w:tcPr>
          <w:p>
            <w:pPr/>
            <w:r>
              <w:t xml:space="preserve">Matched?</w:t>
            </w:r>
          </w:p>
        </w:tc>
      </w:tr>
      <w:tr>
        <w:tc>
          <w:tcPr>
            <w:tcW w:w="2333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Deckenbach et al. 2026, evaluation meta-knowledge</w:t>
              </w:r>
            </w:hyperlink>
          </w:p>
        </w:tc>
        <w:tc>
          <w:tcPr>
            <w:tcW w:w="4561" w:type="dxa"/>
          </w:tcPr>
          <w:p>
            <w:pPr/>
            <w:r>
              <w:t xml:space="preserve">Evaluation traits for prompt pairs; Triggers-style placeholder vs realistic prompts; judge validated against humans</w:t>
            </w:r>
          </w:p>
        </w:tc>
        <w:tc>
          <w:tcPr>
            <w:tcW w:w="1233" w:type="dxa"/>
          </w:tcPr>
          <w:p>
            <w:pPr/>
          </w:p>
        </w:tc>
        <w:tc>
          <w:tcPr>
            <w:tcW w:w="1233" w:type="dxa"/>
          </w:tcPr>
          <w:p>
            <w:pPr/>
          </w:p>
        </w:tc>
      </w:tr>
      <w:tr>
        <w:tc>
          <w:tcPr>
            <w:tcW w:w="2333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Baek et al. 2026, sycophancy and performative misalignment</w:t>
              </w:r>
            </w:hyperlink>
          </w:p>
        </w:tc>
        <w:tc>
          <w:tcPr>
            <w:tcW w:w="4561" w:type="dxa"/>
          </w:tcPr>
          <w:p>
            <w:pPr/>
            <w:r>
              <w:t xml:space="preserve">Researcher-style writing cues; three question wordings; awareness can raise misbehaviour too</w:t>
            </w:r>
          </w:p>
        </w:tc>
        <w:tc>
          <w:tcPr>
            <w:tcW w:w="1233" w:type="dxa"/>
          </w:tcPr>
          <w:p>
            <w:pPr/>
          </w:p>
        </w:tc>
        <w:tc>
          <w:tcPr>
            <w:tcW w:w="1233" w:type="dxa"/>
          </w:tcPr>
          <w:p>
            <w:pPr/>
          </w:p>
        </w:tc>
      </w:tr>
      <w:tr>
        <w:tc>
          <w:tcPr>
            <w:tcW w:w="2333" w:type="dxa"/>
          </w:tcPr>
          <w:p>
            <w:pPr/>
            <w:r>
              <w:t xml:space="preserve">Tülu 3 report</w:t>
            </w:r>
          </w:p>
        </w:tc>
        <w:tc>
          <w:tcPr>
            <w:tcW w:w="4561" w:type="dxa"/>
          </w:tcPr>
          <w:p>
            <w:pPr/>
            <w:r>
              <w:t xml:space="preserve">How the preference data was built and labelled</w:t>
            </w:r>
          </w:p>
        </w:tc>
        <w:tc>
          <w:tcPr>
            <w:tcW w:w="1233" w:type="dxa"/>
          </w:tcPr>
          <w:p>
            <w:pPr/>
          </w:p>
        </w:tc>
        <w:tc>
          <w:tcPr>
            <w:tcW w:w="1233" w:type="dxa"/>
          </w:tcPr>
          <w:p>
            <w:pPr/>
          </w:p>
        </w:tc>
      </w:tr>
    </w:tbl>
    <w:p>
      <w:pPr>
        <w:pStyle w:val="Heading2"/>
      </w:pPr>
      <w:r>
        <w:t xml:space="preserve">Concepts I learned</w:t>
      </w:r>
    </w:p>
    <w:p>
      <w:pPr/>
      <w:r>
        <w:t xml:space="preserve">Each term in my own words, written only once I can explain it without notes. These make good blog asides.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7"/>
        <w:gridCol w:w="4920"/>
        <w:gridCol w:w="1423"/>
      </w:tblGrid>
      <w:tr>
        <w:trPr>
          <w:tblHeader/>
        </w:trPr>
        <w:tc>
          <w:tcPr>
            <w:tcW w:w="3017" w:type="dxa"/>
            <w:shd w:val="clear" w:color="auto" w:fill="F2F2F2"/>
          </w:tcPr>
          <w:p>
            <w:pPr/>
            <w:r>
              <w:t xml:space="preserve">Concept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My explanation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Learned in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Measurement validity</w:t>
            </w:r>
          </w:p>
        </w:tc>
        <w:tc>
          <w:tcPr>
            <w:tcW w:w="4920" w:type="dxa"/>
          </w:tcPr>
          <w:p>
            <w:pPr/>
            <w:r>
              <w:t xml:space="preserve">A low score can mean the thing is absent, or that the measure can't see it; a base model may know what tests look like but can't show it because it only autocompletes</w:t>
            </w:r>
          </w:p>
        </w:tc>
        <w:tc>
          <w:tcPr>
            <w:tcW w:w="1423" w:type="dxa"/>
          </w:tcPr>
          <w:p>
            <w:pPr/>
            <w:r>
              <w:t xml:space="preserve">Predictions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Gap vs raw score</w:t>
            </w:r>
          </w:p>
        </w:tc>
        <w:tc>
          <w:tcPr>
            <w:tcW w:w="4920" w:type="dxa"/>
          </w:tcPr>
          <w:p>
            <w:pPr/>
            <w:r>
              <w:t xml:space="preserve">A general change, like refusing more everywhere, moves both versions of a pair equally; only a selective change moves the gap</w:t>
            </w:r>
          </w:p>
        </w:tc>
        <w:tc>
          <w:tcPr>
            <w:tcW w:w="1423" w:type="dxa"/>
          </w:tcPr>
          <w:p>
            <w:pPr/>
            <w:r>
              <w:t xml:space="preserve">Predictions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Ceiling effect</w:t>
            </w:r>
          </w:p>
        </w:tc>
        <w:tc>
          <w:tcPr>
            <w:tcW w:w="4920" w:type="dxa"/>
          </w:tcPr>
          <w:p>
            <w:pPr/>
            <w:r>
              <w:t xml:space="preserve">Near 100% on both versions, the gap shrinks because there's no room left to differ</w:t>
            </w:r>
          </w:p>
        </w:tc>
        <w:tc>
          <w:tcPr>
            <w:tcW w:w="1423" w:type="dxa"/>
          </w:tcPr>
          <w:p>
            <w:pPr/>
            <w:r>
              <w:t xml:space="preserve">Predictions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Pre-registration</w:t>
            </w:r>
          </w:p>
        </w:tc>
        <w:tc>
          <w:tcPr>
            <w:tcW w:w="4920" w:type="dxa"/>
          </w:tcPr>
          <w:p>
            <w:pPr/>
            <w:r>
              <w:t xml:space="preserve">Writing predictions before running, so results can't be rationalised afterwards</w:t>
            </w:r>
          </w:p>
        </w:tc>
        <w:tc>
          <w:tcPr>
            <w:tcW w:w="1423" w:type="dxa"/>
          </w:tcPr>
          <w:p>
            <w:pPr/>
            <w:r>
              <w:t xml:space="preserve">Predictions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Chat template</w:t>
            </w:r>
          </w:p>
        </w:tc>
        <w:tc>
          <w:tcPr>
            <w:tcW w:w="4920" w:type="dxa"/>
          </w:tcPr>
          <w:p>
            <w:pPr/>
          </w:p>
        </w:tc>
        <w:tc>
          <w:tcPr>
            <w:tcW w:w="1423" w:type="dxa"/>
          </w:tcPr>
          <w:p>
            <w:pPr/>
            <w:r>
              <w:t xml:space="preserve">M0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4-bit quantisation</w:t>
            </w:r>
          </w:p>
        </w:tc>
        <w:tc>
          <w:tcPr>
            <w:tcW w:w="4920" w:type="dxa"/>
          </w:tcPr>
          <w:p>
            <w:pPr/>
          </w:p>
        </w:tc>
        <w:tc>
          <w:tcPr>
            <w:tcW w:w="1423" w:type="dxa"/>
          </w:tcPr>
          <w:p>
            <w:pPr/>
            <w:r>
              <w:t xml:space="preserve">M0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Logits and softmax</w:t>
            </w:r>
          </w:p>
        </w:tc>
        <w:tc>
          <w:tcPr>
            <w:tcW w:w="4920" w:type="dxa"/>
          </w:tcPr>
          <w:p>
            <w:pPr/>
          </w:p>
        </w:tc>
        <w:tc>
          <w:tcPr>
            <w:tcW w:w="1423" w:type="dxa"/>
          </w:tcPr>
          <w:p>
            <w:pPr/>
            <w:r>
              <w:t xml:space="preserve">M1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Bootstrap confidence interval</w:t>
            </w:r>
          </w:p>
        </w:tc>
        <w:tc>
          <w:tcPr>
            <w:tcW w:w="4920" w:type="dxa"/>
          </w:tcPr>
          <w:p>
            <w:pPr/>
          </w:p>
        </w:tc>
        <w:tc>
          <w:tcPr>
            <w:tcW w:w="1423" w:type="dxa"/>
          </w:tcPr>
          <w:p>
            <w:pPr/>
            <w:r>
              <w:t xml:space="preserve">M5</w:t>
            </w:r>
          </w:p>
        </w:tc>
      </w:tr>
    </w:tbl>
    <w:p>
      <w:pPr>
        <w:pStyle w:val="Heading2"/>
      </w:pPr>
      <w:r>
        <w:t xml:space="preserve">Write-up and blog skeleton</w:t>
      </w:r>
    </w:p>
    <w:p>
      <w:pPr/>
      <w:r>
        <w:t xml:space="preserve">Each part says where its material comes from, so the write-up assembles from this workbook rather than from memory.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0"/>
        <w:gridCol w:w="4920"/>
        <w:gridCol w:w="2250"/>
      </w:tblGrid>
      <w:tr>
        <w:trPr>
          <w:tblHeader/>
        </w:trPr>
        <w:tc>
          <w:tcPr>
            <w:tcW w:w="219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says</w:t>
            </w:r>
          </w:p>
        </w:tc>
        <w:tc>
          <w:tcPr>
            <w:tcW w:w="2250" w:type="dxa"/>
            <w:shd w:val="clear" w:color="auto" w:fill="F2F2F2"/>
          </w:tcPr>
          <w:p>
            <w:pPr/>
            <w:r>
              <w:t xml:space="preserve">Pull from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Hook</w:t>
            </w:r>
          </w:p>
        </w:tc>
        <w:tc>
          <w:tcPr>
            <w:tcW w:w="4920" w:type="dxa"/>
          </w:tcPr>
          <w:p>
            <w:pPr/>
            <w:r>
              <w:t xml:space="preserve">Models may behave better when they think they're being tested; where does that come from?</w:t>
            </w:r>
          </w:p>
        </w:tc>
        <w:tc>
          <w:tcPr>
            <w:tcW w:w="2250" w:type="dxa"/>
          </w:tcPr>
          <w:p>
            <w:pPr/>
            <w:r>
              <w:t xml:space="preserve">Question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Question</w:t>
            </w:r>
          </w:p>
        </w:tc>
        <w:tc>
          <w:tcPr>
            <w:tcW w:w="4920" w:type="dxa"/>
          </w:tcPr>
          <w:p>
            <w:pPr/>
            <w:r>
              <w:t xml:space="preserve">Does preference training change how differently models treat test-like and real prompts?</w:t>
            </w:r>
          </w:p>
        </w:tc>
        <w:tc>
          <w:tcPr>
            <w:tcW w:w="2250" w:type="dxa"/>
          </w:tcPr>
          <w:p>
            <w:pPr/>
            <w:r>
              <w:t xml:space="preserve">Pre-registered predictions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Why it matters</w:t>
            </w:r>
          </w:p>
        </w:tc>
        <w:tc>
          <w:tcPr>
            <w:tcW w:w="4920" w:type="dxa"/>
          </w:tcPr>
          <w:p>
            <w:pPr/>
            <w:r>
              <w:t xml:space="preserve">Safety evaluations assume models behave the same in tests and deployment</w:t>
            </w:r>
          </w:p>
        </w:tc>
        <w:tc>
          <w:tcPr>
            <w:tcW w:w="2250" w:type="dxa"/>
          </w:tcPr>
          <w:p>
            <w:pPr/>
            <w:r>
              <w:t xml:space="preserve">Both papers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What I predicted</w:t>
            </w:r>
          </w:p>
        </w:tc>
        <w:tc>
          <w:tcPr>
            <w:tcW w:w="4920" w:type="dxa"/>
          </w:tcPr>
          <w:p>
            <w:pPr/>
            <w:r>
              <w:t xml:space="preserve">H1 consistency, H2 persona selection, falsification rule</w:t>
            </w:r>
          </w:p>
        </w:tc>
        <w:tc>
          <w:tcPr>
            <w:tcW w:w="2250" w:type="dxa"/>
          </w:tcPr>
          <w:p>
            <w:pPr/>
            <w:r>
              <w:t xml:space="preserve">Pre-registered predictions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Method</w:t>
            </w:r>
          </w:p>
        </w:tc>
        <w:tc>
          <w:tcPr>
            <w:tcW w:w="4920" w:type="dxa"/>
          </w:tcPr>
          <w:p>
            <w:pPr/>
            <w:r>
              <w:t xml:space="preserve">Checkpoints, prompt pairs, two measures, classifier validation</w:t>
            </w:r>
          </w:p>
        </w:tc>
        <w:tc>
          <w:tcPr>
            <w:tcW w:w="2250" w:type="dxa"/>
          </w:tcPr>
          <w:p>
            <w:pPr/>
            <w:r>
              <w:t xml:space="preserve">Decisions log, M2 data card, M4 agreement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Results</w:t>
            </w:r>
          </w:p>
        </w:tc>
        <w:tc>
          <w:tcPr>
            <w:tcW w:w="4920" w:type="dxa"/>
          </w:tcPr>
          <w:p>
            <w:pPr/>
            <w:r>
              <w:t xml:space="preserve">One chart of both gaps by stage and family</w:t>
            </w:r>
          </w:p>
        </w:tc>
        <w:tc>
          <w:tcPr>
            <w:tcW w:w="2250" w:type="dxa"/>
          </w:tcPr>
          <w:p>
            <w:pPr/>
            <w:r>
              <w:t xml:space="preserve">M5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What surprised me</w:t>
            </w:r>
          </w:p>
        </w:tc>
        <w:tc>
          <w:tcPr>
            <w:tcW w:w="4920" w:type="dxa"/>
          </w:tcPr>
          <w:p>
            <w:pPr/>
            <w:r>
              <w:t xml:space="preserve">The unexpected findings, including dead ends</w:t>
            </w:r>
          </w:p>
        </w:tc>
        <w:tc>
          <w:tcPr>
            <w:tcW w:w="2250" w:type="dxa"/>
          </w:tcPr>
          <w:p>
            <w:pPr/>
            <w:r>
              <w:t xml:space="preserve">Surprised me fields, Research log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Limitations</w:t>
            </w:r>
          </w:p>
        </w:tc>
        <w:tc>
          <w:tcPr>
            <w:tcW w:w="4920" w:type="dxa"/>
          </w:tcPr>
          <w:p>
            <w:pPr/>
            <w:r>
              <w:t xml:space="preserve">One checkpoint per stage, no seeds, ceiling effects, quantisation</w:t>
            </w:r>
          </w:p>
        </w:tc>
        <w:tc>
          <w:tcPr>
            <w:tcW w:w="2250" w:type="dxa"/>
          </w:tcPr>
          <w:p>
            <w:pPr/>
            <w:r>
              <w:t xml:space="preserve">Caveats, M5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What I learned</w:t>
            </w:r>
          </w:p>
        </w:tc>
        <w:tc>
          <w:tcPr>
            <w:tcW w:w="4920" w:type="dxa"/>
          </w:tcPr>
          <w:p>
            <w:pPr/>
            <w:r>
              <w:t xml:space="preserve">Skills and concepts, for a learning-focused blog post</w:t>
            </w:r>
          </w:p>
        </w:tc>
        <w:tc>
          <w:tcPr>
            <w:tcW w:w="2250" w:type="dxa"/>
          </w:tcPr>
          <w:p>
            <w:pPr/>
            <w:r>
              <w:t xml:space="preserve">Concepts I learned, explain-backs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Next step</w:t>
            </w:r>
          </w:p>
        </w:tc>
        <w:tc>
          <w:tcPr>
            <w:tcW w:w="4920" w:type="dxa"/>
          </w:tcPr>
          <w:p>
            <w:pPr/>
            <w:r>
              <w:t xml:space="preserve">Which branch of the decision rule I'm taking, and why</w:t>
            </w:r>
          </w:p>
        </w:tc>
        <w:tc>
          <w:tcPr>
            <w:tcW w:w="2250" w:type="dxa"/>
          </w:tcPr>
          <w:p>
            <w:pPr/>
            <w:r>
              <w:t xml:space="preserve">M5, M6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 xml:space="preserve">☐ Title chosen</w:t>
      </w:r>
    </w:p>
    <w:p>
      <w:pPr>
        <w:pStyle w:val="ListParagraph"/>
        <w:numPr>
          <w:ilvl w:val="0"/>
          <w:numId w:val="13"/>
        </w:numPr>
      </w:pPr>
      <w:r>
        <w:t xml:space="preserve">☐ Draft written</w:t>
      </w:r>
    </w:p>
    <w:p>
      <w:pPr>
        <w:pStyle w:val="ListParagraph"/>
        <w:numPr>
          <w:ilvl w:val="0"/>
          <w:numId w:val="13"/>
        </w:numPr>
      </w:pPr>
      <w:r>
        <w:t xml:space="preserve">☐ Chart final</w:t>
      </w:r>
    </w:p>
    <w:p>
      <w:pPr>
        <w:pStyle w:val="ListParagraph"/>
        <w:numPr>
          <w:ilvl w:val="0"/>
          <w:numId w:val="13"/>
        </w:numPr>
      </w:pPr>
      <w:r>
        <w:t xml:space="preserve">☐ Read by one other person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rxiv.org/abs/2605.28591" TargetMode="External"/><Relationship Id="rId4" Type="http://schemas.openxmlformats.org/officeDocument/2006/relationships/hyperlink" Target="https://arxiv.org/abs/2606.0862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Pilot Workbook Evaluation Sensitivity Across Training Stages</dc:title>
  <dc:description>Claude Docs node/4ee04f04-4a49@9 docx-w7</dc:description>
  <cp:revision>9</cp:revision>
</cp:coreProperties>
</file>