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75B6"/>
          <w:sz w:val="20"/>
          <w:szCs w:val="20"/>
        </w:rPr>
        <w:t xml:space="preserve">COMMUNITY HEALTH OUTREACH REPORT</w:t>
      </w:r>
    </w:p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Knowledge, Attitude, and Preventive Practices Regarding Malaria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Madi Community, Ilorin  —  20 December 2025</w:t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A KAP cross-sectional survey  |  N = 122 respondents</w:t>
      </w:r>
    </w:p>
    <w:p>
      <w:pPr>
        <w:pStyle w:val="Heading1"/>
      </w:pPr>
      <w:r>
        <w:t xml:space="preserve">Executive Summary</w:t>
      </w:r>
    </w:p>
    <w:p>
      <w:pPr>
        <w:spacing w:after="120" w:line="276"/>
      </w:pPr>
      <w:r>
        <w:t xml:space="preserve">This report analyses 122 valid responses from a malaria Knowledge, Attitude and Preventive Practices (KAP) survey. The headline finding is a pronounced </w:t>
      </w:r>
      <w:r>
        <w:rPr>
          <w:b/>
          <w:bCs/>
        </w:rPr>
        <w:t xml:space="preserve">knowledge–practice gap</w:t>
      </w:r>
      <w:r>
        <w:t xml:space="preserve">: community members understand malaria well and hold positive attitudes, yet protective behaviours remain weak.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“Good” level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Knowledge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86.9%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 – most know mosquitoes cause/transmit malaria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Attitude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76.2%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Positive – malaria seen as serious &amp; preventable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3.3%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 weakness – protective behaviour rarely adopted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Bottom line: </w:t>
      </w:r>
      <w:r>
        <w:t xml:space="preserve">Education alone is not the bottleneck. The intervention priority is converting existing knowledge into consistent action – chiefly nightly net use, environmental management of stagnant water, and discouraging self-medication.</w:t>
      </w:r>
    </w:p>
    <w:p>
      <w:pPr>
        <w:pStyle w:val="Heading1"/>
      </w:pPr>
      <w:r>
        <w:t xml:space="preserve">1. Background &amp; Methods</w:t>
      </w:r>
    </w:p>
    <w:p>
      <w:pPr>
        <w:spacing w:after="120" w:line="276"/>
      </w:pPr>
      <w:r>
        <w:t xml:space="preserve">A cross-sectional KAP survey was administered via Google Forms during a one-day community health outreach in Madi Community, Ilorin, on 20 December 2025. Responses were anonymous and collected for research purposes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Design: Cross-sectional, self-/interviewer-administered questionnaire.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Sample: 122 community members (convenience sample).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Domains: Socio-demographics; Knowledge (5 items); Attitude (4 items); Preventive Practices (3 items); optional malaria RDT result.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Scoring: Each correct/positive response = 1 point. Bloom’s cut-offs applied: Good ≥ 80%, Moderate 60–79%, Poor &lt; 60%.</w:t>
      </w:r>
    </w:p>
    <w:p>
      <w:pPr>
        <w:pStyle w:val="Heading2"/>
      </w:pPr>
      <w:r>
        <w:t xml:space="preserve">Data Cleaning Performed</w:t>
      </w:r>
    </w:p>
    <w:p>
      <w:pPr>
        <w:spacing w:after="120" w:line="276"/>
      </w:pPr>
      <w:r>
        <w:t xml:space="preserve">Before analysis the raw export was cleaned to senior-analyst standard: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Age: 60+ entries had birth years (e.g. 1980, 2007) instead of ages; these were converted to age = 2025 − birth-year, and impossible values removed.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Occupation/text fields: trailing spaces stripped, casing standardised, and typographic duplicates merged (e.g. “Hair deesser”/“Hair dersser” → “Hair dresser”; “Nill” → missing).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blank trailing column (“Option 1”) carrying no information was removed.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 RDT blanks were recoded as “Not Tested” rather than treated as missing.</w:t>
      </w:r>
    </w:p>
    <w:p>
      <w:pPr>
        <w:pStyle w:val="Heading1"/>
      </w:pPr>
      <w:r>
        <w:t xml:space="preserve">2. Respondent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 (%)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Sex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Female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76 (62.3%)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Male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 (37.7%)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Marital status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Married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103 (84.4%)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 (15.6%)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Education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Tertiary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 (40.2%)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Secondary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47 (38.5%)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(11.5%)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formal education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 (9.0%)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Mean (SD)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37.5 (15.2) years</w:t>
            </w:r>
          </w:p>
        </w:tc>
      </w:tr>
    </w:tbl>
    <w:p>
      <w:pPr>
        <w:pStyle w:val="Heading1"/>
      </w:pPr>
      <w:r>
        <w:t xml:space="preserve">3. Key Findings</w:t>
      </w:r>
    </w:p>
    <w:p>
      <w:pPr>
        <w:pStyle w:val="Heading2"/>
      </w:pPr>
      <w:r>
        <w:t xml:space="preserve">3.1 Knowledge – strong</w:t>
      </w:r>
    </w:p>
    <w:p>
      <w:pPr>
        <w:spacing w:after="120" w:line="276"/>
      </w:pPr>
      <w:r>
        <w:t xml:space="preserve">Knowledge of malaria aetiology was high: 90% correctly identified the mosquito bite as the cause and 91% as the route of transmission. 87% correctly affirmed that insecticide-treated nets prevent malaria. Only a small minority answered “Don’t know” across knowledge items.</w:t>
      </w:r>
    </w:p>
    <w:p>
      <w:pPr>
        <w:pStyle w:val="Heading2"/>
      </w:pPr>
      <w:r>
        <w:t xml:space="preserve">3.2 Attitude – positive</w:t>
      </w:r>
    </w:p>
    <w:p>
      <w:pPr>
        <w:spacing w:after="120" w:line="276"/>
      </w:pPr>
      <w:r>
        <w:t xml:space="preserve">Attitudes were favourable: 92% agreed malaria is a serious illness, 97% agreed early treatment is important, and 90% agreed prevention is a shared responsibility. A notable 12% preferred not to use a health facility for symptoms, hinting at a care-seeking weak spot.</w:t>
      </w:r>
    </w:p>
    <w:p>
      <w:pPr>
        <w:pStyle w:val="Heading2"/>
      </w:pPr>
      <w:r>
        <w:t xml:space="preserve">3.3 Practice – the critical gap</w:t>
      </w:r>
    </w:p>
    <w:p>
      <w:pPr>
        <w:spacing w:after="120" w:line="276"/>
      </w:pPr>
      <w:r>
        <w:t xml:space="preserve">Despite strong knowledge, protective practice collapsed. This disconnect is the central public-health concern of the survey: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380"/>
        <w:gridCol w:w="3180"/>
      </w:tblGrid>
      <w:tr>
        <w:trPr>
          <w:tblHeader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Performing it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Gap vs knowledge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 nets prevent malaria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92.6%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(reference)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Actually sleep under net every night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27.9%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− 64.7 pts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Clear stagnant water around home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18.9%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environmental risk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fever action: self-medicate at chemist</w:t>
            </w:r>
          </w:p>
        </w:tc>
        <w:tc>
          <w:tcPr>
            <w:tcW w:type="dxa" w:w="2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45.9%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Delays proper diagnosis</w:t>
            </w:r>
          </w:p>
        </w:tc>
      </w:tr>
    </w:tbl>
    <w:p>
      <w:pPr>
        <w:spacing w:after="120" w:before="160"/>
        <w:jc w:val="center"/>
      </w:pPr>
      <w:r>
        <w:drawing>
          <wp:inline distT="0" distB="0" distL="0" distR="0">
            <wp:extent cx="5334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1. KAP levels, the knowledge–practice gap, fever-response behaviour, and net-use frequency.</w:t>
      </w:r>
    </w:p>
    <w:p>
      <w:pPr>
        <w:pStyle w:val="Heading2"/>
      </w:pPr>
      <w:r>
        <w:t xml:space="preserve">3.4 Statistical associations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Education vs Knowledge level: χ² = 6.24, df = 6, p = 0.40 — no significant association; knowledge was high across all education groups.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Education vs Practice level: χ² = 7.97, df = 6, p = 0.24 — not significant; poor practice cut across all groups.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Knowledge score vs Practice score: Spearman ρ = 0.16, p = 0.08 — only a weak, non-significant correlation, confirming that knowing more did not translate into doing more.</w:t>
      </w:r>
    </w:p>
    <w:p>
      <w:pPr>
        <w:spacing w:after="120" w:line="276"/>
      </w:pPr>
      <w:r>
        <w:rPr>
          <w:b/>
          <w:bCs/>
          <w:color w:val="C62828"/>
        </w:rPr>
        <w:t xml:space="preserve">Consultant note: </w:t>
      </w:r>
      <w:r>
        <w:t xml:space="preserve">The absence of an education or knowledge gradient on practice is itself the key insight – behaviour-change barriers here are structural/motivational (access, cost, habit), not informational.</w:t>
      </w:r>
    </w:p>
    <w:p>
      <w:pPr>
        <w:pStyle w:val="Heading2"/>
      </w:pPr>
      <w:r>
        <w:t xml:space="preserve">3.5 Malaria RDT (optional)</w:t>
      </w:r>
    </w:p>
    <w:p>
      <w:pPr>
        <w:spacing w:after="120" w:line="276"/>
      </w:pPr>
      <w:r>
        <w:t xml:space="preserve">Of 122 respondents, 62 underwent a Rapid Diagnostic Test; all 62 returned negative results, consistent with a dry-season, low-transmission survey context. 60 declined the optional test.</w:t>
      </w:r>
    </w:p>
    <w:p>
      <w:pPr>
        <w:pStyle w:val="Heading1"/>
      </w:pPr>
      <w:r>
        <w:t xml:space="preserve">4. Recommendations</w:t>
      </w:r>
    </w:p>
    <w:p>
      <w:pPr>
        <w:spacing w:after="120" w:line="276"/>
      </w:pPr>
      <w:r>
        <w:t xml:space="preserve">Interventions should target the conversion of knowledge into practice rather than basic awareness: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Net-use behaviour change: pair net distribution with hang-up demonstrations and follow-up reminders; address reasons for non-use (heat, discomfort, perceived low risk in dry season).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Environmental management: community clean-up campaigns focused on clearing stagnant water, since only ~19% currently do 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Care-seeking: discourage chemist self-medication as a first response; promote testing-before-treatment and facility/RDT use, given ~46% self-medicate first.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Targeting: deliver uniformly across education levels – the data show no group is protected by education alone.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Monitoring: repeat the KAP survey in wet season to capture transmission-period behaviour and measure intervention impact.</w:t>
      </w:r>
    </w:p>
    <w:p>
      <w:pPr>
        <w:pStyle w:val="Heading1"/>
      </w:pPr>
      <w:r>
        <w:t xml:space="preserve">5. Limitations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Convenience sample from a single community and single day – not generalisable to all of Ilorin.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Self-reported practices may be over-stated (social-desirability bias).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Dry-season timing likely lowers both RDT positivity and perceived urgency of net use.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 field required reconstruction for ~50% of records; treat age estimates as approximate.</w:t>
      </w:r>
    </w:p>
    <w:p>
      <w:pPr>
        <w:pBdr>
          <w:top w:val="single" w:color="2E75B6" w:sz="6" w:space="6"/>
        </w:pBdr>
        <w:spacing w:before="240"/>
      </w:pPr>
      <w:r>
        <w:rPr>
          <w:i/>
          <w:iCs/>
          <w:color w:val="595959"/>
          <w:sz w:val="18"/>
          <w:szCs w:val="18"/>
        </w:rPr>
        <w:t xml:space="preserve">Prepared by HayMedics Academy as a biostatistical &amp; public-health analysis of the Madi Community malaria KAP outreach. Cleaned dataset supplied separately (Malaria_KAP_Cleaned.xlsx).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HayMedics Academy  |  Malaria KAP Survey – Madi Community, Ilorin  |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ae6c1f97aa025d0e02dfbe65d7324347e03893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2026-06-13T22:29:39.294Z</dcterms:created>
  <dcterms:modified xsi:type="dcterms:W3CDTF">2026-06-13T22:29:39.306Z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