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40" w:before="0"/>
        <w:jc w:val="left"/>
      </w:pPr>
      <w:r>
        <w:rPr>
          <w:rFonts w:ascii="Arial" w:hAnsi="Arial"/>
          <w:b w:val="0"/>
          <w:i w:val="0"/>
          <w:color w:val="000000"/>
          <w:sz w:val="22"/>
        </w:rPr>
        <w:t>June 25, 2026</w:t>
      </w:r>
    </w:p>
    <w:p>
      <w:pPr>
        <w:spacing w:after="240" w:before="0"/>
        <w:jc w:val="left"/>
      </w:pPr>
      <w:r>
        <w:rPr>
          <w:rFonts w:ascii="Arial" w:hAnsi="Arial"/>
          <w:b w:val="0"/>
          <w:i w:val="0"/>
          <w:color w:val="000000"/>
          <w:sz w:val="22"/>
        </w:rPr>
        <w:t>Dear Professor [Associate Editor],</w:t>
      </w:r>
    </w:p>
    <w:p>
      <w:pPr>
        <w:spacing w:after="200" w:before="0"/>
        <w:jc w:val="both"/>
      </w:pPr>
      <w:r>
        <w:rPr>
          <w:rFonts w:ascii="Arial" w:hAnsi="Arial"/>
          <w:b w:val="0"/>
          <w:i w:val="0"/>
          <w:color w:val="000000"/>
          <w:sz w:val="22"/>
        </w:rPr>
        <w:t xml:space="preserve">We are pleased to submit our manuscript, </w:t>
      </w:r>
      <w:r>
        <w:rPr>
          <w:rFonts w:ascii="Arial" w:hAnsi="Arial"/>
          <w:b/>
          <w:i w:val="0"/>
          <w:color w:val="000000"/>
          <w:sz w:val="22"/>
        </w:rPr>
        <w:t xml:space="preserve">“Catalyst-Layer Engineering of Ni Single-Atom Catalysts Enables Durable and Carbon-Efficient Flue-Gas </w:t>
      </w:r>
      <w:r>
        <w:rPr>
          <w:rFonts w:ascii="Arial" w:hAnsi="Arial"/>
          <w:b/>
          <w:i w:val="0"/>
          <w:color w:val="000000"/>
          <w:sz w:val="22"/>
        </w:rPr>
        <w:t>CO</w:t>
      </w:r>
      <w:r>
        <w:rPr>
          <w:rFonts w:ascii="Arial" w:hAnsi="Arial"/>
          <w:b/>
          <w:i w:val="0"/>
          <w:color w:val="000000"/>
          <w:sz w:val="22"/>
          <w:vertAlign w:val="subscript"/>
        </w:rPr>
        <w:t>2</w:t>
      </w:r>
      <w:r>
        <w:rPr>
          <w:rFonts w:ascii="Arial" w:hAnsi="Arial"/>
          <w:b/>
          <w:i w:val="0"/>
          <w:color w:val="000000"/>
          <w:sz w:val="22"/>
        </w:rPr>
        <w:t xml:space="preserve"> Electrolysis,”</w:t>
      </w:r>
      <w:r>
        <w:rPr>
          <w:rFonts w:ascii="Arial" w:hAnsi="Arial"/>
          <w:b w:val="0"/>
          <w:i w:val="0"/>
          <w:color w:val="000000"/>
          <w:sz w:val="22"/>
        </w:rPr>
        <w:t xml:space="preserve"> by Sothearoth Heng, Suwiwat Sangon, Kornkamon Meesombad, Ampawan Prasert, Teera Butburee, Pongtanawat Khemthong, Jakkapop Phanthasri, Chanatip Butkaew, and Pongkarn Chakthranont, for consideration as a full paper in </w:t>
      </w:r>
      <w:r>
        <w:rPr>
          <w:rFonts w:ascii="Arial" w:hAnsi="Arial"/>
          <w:b w:val="0"/>
          <w:i/>
          <w:color w:val="000000"/>
          <w:sz w:val="22"/>
        </w:rPr>
        <w:t>Energy &amp; Environmental Science</w:t>
      </w:r>
      <w:r>
        <w:rPr>
          <w:rFonts w:ascii="Arial" w:hAnsi="Arial"/>
          <w:b w:val="0"/>
          <w:i w:val="0"/>
          <w:color w:val="000000"/>
          <w:sz w:val="22"/>
        </w:rPr>
        <w:t>.</w:t>
      </w:r>
    </w:p>
    <w:p>
      <w:pPr>
        <w:spacing w:after="200" w:before="0"/>
        <w:jc w:val="both"/>
      </w:pPr>
      <w:r>
        <w:rPr>
          <w:rFonts w:ascii="Arial" w:hAnsi="Arial"/>
          <w:b w:val="0"/>
          <w:i w:val="0"/>
          <w:color w:val="000000"/>
          <w:sz w:val="22"/>
        </w:rPr>
        <w:t xml:space="preserve">The practical value of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 electrolysis for decarbonization depends on whether it can operate on the gas that industry actually emits — dilute, impurity-laden flue gas — rather than on purified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whose capture and cleanup impose a prohibitive energy and cost penalty. Most demonstrations sidestep this by benchmarking on high-purity feeds, leaving the two requirements that matter most for deployment — high carbon utilization and long-term durability under realistic gas — unmet at the same time. The central contribution of this work is to show that durability under these conditions is governed less by the catalyst itself than by how its layer is engineered.</w:t>
      </w:r>
    </w:p>
    <w:p>
      <w:pPr>
        <w:spacing w:after="200" w:before="0"/>
        <w:jc w:val="both"/>
      </w:pPr>
      <w:r>
        <w:rPr>
          <w:rFonts w:ascii="Arial" w:hAnsi="Arial"/>
          <w:b w:val="0"/>
          <w:i w:val="0"/>
          <w:color w:val="000000"/>
          <w:sz w:val="22"/>
        </w:rPr>
        <w:t xml:space="preserve">In a reverse-bias bipolar membrane electrolyzer, we demonstrate nickel single-atom catalysts (Ni-SACs) as a high-performance cathode for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 reduction to CO across pure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 dilute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 and simulated flue-gas feeds at industrially meaningful current densities (100–200 mA </w:t>
      </w:r>
      <w:r>
        <w:rPr>
          <w:rFonts w:ascii="Arial" w:hAnsi="Arial"/>
          <w:b w:val="0"/>
          <w:i w:val="0"/>
          <w:color w:val="000000"/>
          <w:sz w:val="22"/>
        </w:rPr>
        <w:t>cm</w:t>
      </w:r>
      <w:r>
        <w:rPr>
          <w:rFonts w:ascii="Arial" w:hAnsi="Arial"/>
          <w:b w:val="0"/>
          <w:i w:val="0"/>
          <w:color w:val="000000"/>
          <w:sz w:val="22"/>
          <w:vertAlign w:val="superscript"/>
        </w:rPr>
        <w:t>−2</w:t>
      </w:r>
      <w:r>
        <w:rPr>
          <w:rFonts w:ascii="Arial" w:hAnsi="Arial"/>
          <w:b w:val="0"/>
          <w:i w:val="0"/>
          <w:color w:val="000000"/>
          <w:sz w:val="22"/>
        </w:rPr>
        <w:t xml:space="preserve">), with strong tolerance to </w:t>
      </w:r>
      <w:r>
        <w:rPr>
          <w:rFonts w:ascii="Arial" w:hAnsi="Arial"/>
          <w:b w:val="0"/>
          <w:i w:val="0"/>
          <w:color w:val="000000"/>
          <w:sz w:val="22"/>
        </w:rPr>
        <w:t>SO</w:t>
      </w:r>
      <w:r>
        <w:rPr>
          <w:rFonts w:ascii="Arial" w:hAnsi="Arial"/>
          <w:b w:val="0"/>
          <w:i w:val="0"/>
          <w:color w:val="000000"/>
          <w:sz w:val="22"/>
          <w:vertAlign w:val="subscript"/>
        </w:rPr>
        <w:t>2</w:t>
      </w:r>
      <w:r>
        <w:rPr>
          <w:rFonts w:ascii="Arial" w:hAnsi="Arial"/>
          <w:b w:val="0"/>
          <w:i w:val="0"/>
          <w:color w:val="000000"/>
          <w:sz w:val="22"/>
        </w:rPr>
        <w:t xml:space="preserve"> and NO impurities. Building on this, we apply interfacial engineering of the catalyst layer — tuning its density, porosity, and thickness independently of the atomic </w:t>
      </w:r>
      <w:r>
        <w:rPr>
          <w:rFonts w:ascii="Arial" w:hAnsi="Arial"/>
          <w:b w:val="0"/>
          <w:i w:val="0"/>
          <w:color w:val="000000"/>
          <w:sz w:val="22"/>
        </w:rPr>
        <w:t>Ni–N</w:t>
      </w:r>
      <w:r>
        <w:rPr>
          <w:rFonts w:ascii="Arial" w:hAnsi="Arial"/>
          <w:b w:val="0"/>
          <w:i w:val="0"/>
          <w:color w:val="000000"/>
          <w:sz w:val="22"/>
          <w:vertAlign w:val="subscript"/>
        </w:rPr>
        <w:t>4</w:t>
      </w:r>
      <w:r>
        <w:rPr>
          <w:rFonts w:ascii="Arial" w:hAnsi="Arial"/>
          <w:b w:val="0"/>
          <w:i w:val="0"/>
          <w:color w:val="000000"/>
          <w:sz w:val="22"/>
        </w:rPr>
        <w:t xml:space="preserve"> active site — to markedly improve the durability of the electrolyzer under both pure and dilute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 operation.</w:t>
      </w:r>
    </w:p>
    <w:p>
      <w:pPr>
        <w:spacing w:after="200" w:before="0"/>
        <w:jc w:val="both"/>
      </w:pPr>
      <w:r>
        <w:rPr>
          <w:rFonts w:ascii="Arial" w:hAnsi="Arial"/>
          <w:b w:val="0"/>
          <w:i w:val="0"/>
          <w:color w:val="000000"/>
          <w:sz w:val="22"/>
        </w:rPr>
        <w:t>By combining post-mortem electron microscopy with one-dimensional transport modeling, we further establish that (bi)carbonate salt accumulation, rather than intrinsic catalyst degradation, sets device lifetime, and that catalyst-layer architecture is the lever that controls it. This reframes electrode durability from an empirical observation into a quantitative, transferable design principle.</w:t>
      </w:r>
    </w:p>
    <w:p>
      <w:pPr>
        <w:spacing w:after="200" w:before="0"/>
        <w:jc w:val="both"/>
      </w:pPr>
      <w:r>
        <w:rPr>
          <w:rFonts w:ascii="Arial" w:hAnsi="Arial"/>
          <w:b w:val="0"/>
          <w:i w:val="0"/>
          <w:color w:val="000000"/>
          <w:sz w:val="22"/>
        </w:rPr>
        <w:t xml:space="preserve">Because this principle links an easily fabricated, tunable electrode parameter to durable, carbon-efficient operation on realistic emissions, it offers practical guidance for scaling </w:t>
      </w:r>
      <w:r>
        <w:rPr>
          <w:rFonts w:ascii="Arial" w:hAnsi="Arial"/>
          <w:b w:val="0"/>
          <w:i w:val="0"/>
          <w:color w:val="000000"/>
          <w:sz w:val="22"/>
        </w:rPr>
        <w:t>CO</w:t>
      </w:r>
      <w:r>
        <w:rPr>
          <w:rFonts w:ascii="Arial" w:hAnsi="Arial"/>
          <w:b w:val="0"/>
          <w:i w:val="0"/>
          <w:color w:val="000000"/>
          <w:sz w:val="22"/>
          <w:vertAlign w:val="subscript"/>
        </w:rPr>
        <w:t>2</w:t>
      </w:r>
      <w:r>
        <w:rPr>
          <w:rFonts w:ascii="Arial" w:hAnsi="Arial"/>
          <w:b w:val="0"/>
          <w:i w:val="0"/>
          <w:color w:val="000000"/>
          <w:sz w:val="22"/>
        </w:rPr>
        <w:t xml:space="preserve">-to-CO electrolyzers beyond purified-feed laboratory conditions. We believe this work will be of strong interest to the energy- and environment-focused readership of </w:t>
      </w:r>
      <w:r>
        <w:rPr>
          <w:rFonts w:ascii="Arial" w:hAnsi="Arial"/>
          <w:b w:val="0"/>
          <w:i/>
          <w:color w:val="000000"/>
          <w:sz w:val="22"/>
        </w:rPr>
        <w:t>Energy &amp; Environmental Science</w:t>
      </w:r>
      <w:r>
        <w:rPr>
          <w:rFonts w:ascii="Arial" w:hAnsi="Arial"/>
          <w:b w:val="0"/>
          <w:i w:val="0"/>
          <w:color w:val="000000"/>
          <w:sz w:val="22"/>
        </w:rPr>
        <w:t>, speaking both to electrochemical-engineering specialists and to the wider community working on industrial carbon capture and utilization.</w:t>
      </w:r>
    </w:p>
    <w:p>
      <w:pPr>
        <w:spacing w:after="200" w:before="0"/>
        <w:jc w:val="both"/>
      </w:pPr>
      <w:r>
        <w:rPr>
          <w:rFonts w:ascii="Arial" w:hAnsi="Arial"/>
          <w:b w:val="0"/>
          <w:i w:val="0"/>
          <w:color w:val="000000"/>
          <w:sz w:val="22"/>
        </w:rPr>
        <w:t>A Broader Context statement and a Data Availability Statement accompany this submission. We confirm that the manuscript is original, has been approved by all authors, has not been published previously, and is not under consideration elsewhere, and that the authors declare no competing interests. Please direct all correspondence to me as the corresponding author.</w:t>
      </w:r>
    </w:p>
    <w:p>
      <w:pPr>
        <w:spacing w:after="240" w:before="0"/>
        <w:jc w:val="both"/>
      </w:pPr>
      <w:r>
        <w:rPr>
          <w:rFonts w:ascii="Arial" w:hAnsi="Arial"/>
          <w:b w:val="0"/>
          <w:i w:val="0"/>
          <w:color w:val="000000"/>
          <w:sz w:val="22"/>
        </w:rPr>
        <w:t>Thank you for your time and consideration.</w:t>
      </w:r>
    </w:p>
    <w:p>
      <w:pPr>
        <w:spacing w:after="480" w:before="0"/>
        <w:jc w:val="left"/>
      </w:pPr>
      <w:r>
        <w:rPr>
          <w:rFonts w:ascii="Arial" w:hAnsi="Arial"/>
          <w:b w:val="0"/>
          <w:i w:val="0"/>
          <w:color w:val="000000"/>
          <w:sz w:val="22"/>
        </w:rPr>
        <w:t>Sincerely,</w:t>
      </w:r>
    </w:p>
    <w:p>
      <w:pPr>
        <w:spacing w:after="0" w:before="0"/>
        <w:jc w:val="left"/>
      </w:pPr>
      <w:r>
        <w:rPr>
          <w:rFonts w:ascii="Arial" w:hAnsi="Arial"/>
          <w:b w:val="0"/>
          <w:i w:val="0"/>
          <w:color w:val="000000"/>
          <w:sz w:val="22"/>
        </w:rPr>
        <w:t>Pongkarn Chakthranont</w:t>
      </w:r>
    </w:p>
    <w:p>
      <w:pPr>
        <w:spacing w:after="0" w:before="0"/>
        <w:jc w:val="left"/>
      </w:pPr>
      <w:r>
        <w:rPr>
          <w:rFonts w:ascii="Arial" w:hAnsi="Arial"/>
          <w:b w:val="0"/>
          <w:i w:val="0"/>
          <w:color w:val="000000"/>
          <w:sz w:val="22"/>
        </w:rPr>
        <w:t>National Nanotechnology Center (NANOTEC)</w:t>
      </w:r>
    </w:p>
    <w:p>
      <w:pPr>
        <w:spacing w:after="0" w:before="0"/>
        <w:jc w:val="left"/>
      </w:pPr>
      <w:r>
        <w:rPr>
          <w:rFonts w:ascii="Arial" w:hAnsi="Arial"/>
          <w:b w:val="0"/>
          <w:i w:val="0"/>
          <w:color w:val="000000"/>
          <w:sz w:val="22"/>
        </w:rPr>
        <w:t>National Science and Technology Development Agency (NSTDA)</w:t>
      </w:r>
    </w:p>
    <w:p>
      <w:pPr>
        <w:spacing w:after="0" w:before="0"/>
        <w:jc w:val="left"/>
      </w:pPr>
      <w:r>
        <w:rPr>
          <w:rFonts w:ascii="Arial" w:hAnsi="Arial"/>
          <w:b w:val="0"/>
          <w:i w:val="0"/>
          <w:color w:val="000000"/>
          <w:sz w:val="22"/>
        </w:rPr>
        <w:t>111 Thailand Science Park, Phahonyothin Road,</w:t>
      </w:r>
    </w:p>
    <w:p>
      <w:pPr>
        <w:spacing w:after="0" w:before="0"/>
        <w:jc w:val="left"/>
      </w:pPr>
      <w:r>
        <w:rPr>
          <w:rFonts w:ascii="Arial" w:hAnsi="Arial"/>
          <w:b w:val="0"/>
          <w:i w:val="0"/>
          <w:color w:val="000000"/>
          <w:sz w:val="22"/>
        </w:rPr>
        <w:t>Khlong Nueng, Khlong Luang, Pathum Thani, 12120, Thailand</w:t>
      </w:r>
    </w:p>
    <w:p>
      <w:pPr>
        <w:spacing w:after="0" w:before="0"/>
        <w:jc w:val="left"/>
      </w:pPr>
      <w:r>
        <w:rPr>
          <w:rFonts w:ascii="Arial" w:hAnsi="Arial"/>
          <w:b w:val="0"/>
          <w:i w:val="0"/>
          <w:color w:val="000000"/>
          <w:sz w:val="22"/>
        </w:rPr>
        <w:t>Email: pongkarn.cha@nanotec.or.th</w:t>
      </w:r>
    </w:p>
    <w:sectPr w:rsidR="00CE6585" w:rsidRPr="00E61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11"/>
    <w:rsid w:val="000B20C0"/>
    <w:rsid w:val="000E072F"/>
    <w:rsid w:val="000F1F9F"/>
    <w:rsid w:val="00480D6B"/>
    <w:rsid w:val="0056639B"/>
    <w:rsid w:val="00CB25A6"/>
    <w:rsid w:val="00CE6585"/>
    <w:rsid w:val="00E61011"/>
    <w:rsid w:val="00EE0C3D"/>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7E241DA4"/>
  <w15:chartTrackingRefBased/>
  <w15:docId w15:val="{861BF231-7255-A144-9266-2B2A0570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6101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6101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6101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61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0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0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0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0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01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6101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6101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61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011"/>
    <w:rPr>
      <w:rFonts w:eastAsiaTheme="majorEastAsia" w:cstheme="majorBidi"/>
      <w:color w:val="272727" w:themeColor="text1" w:themeTint="D8"/>
    </w:rPr>
  </w:style>
  <w:style w:type="paragraph" w:styleId="Title">
    <w:name w:val="Title"/>
    <w:basedOn w:val="Normal"/>
    <w:next w:val="Normal"/>
    <w:link w:val="TitleChar"/>
    <w:uiPriority w:val="10"/>
    <w:qFormat/>
    <w:rsid w:val="00E6101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10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1011"/>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10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10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011"/>
    <w:rPr>
      <w:rFonts w:cs="Angsana New"/>
      <w:i/>
      <w:iCs/>
      <w:color w:val="404040" w:themeColor="text1" w:themeTint="BF"/>
    </w:rPr>
  </w:style>
  <w:style w:type="paragraph" w:styleId="ListParagraph">
    <w:name w:val="List Paragraph"/>
    <w:basedOn w:val="Normal"/>
    <w:uiPriority w:val="34"/>
    <w:qFormat/>
    <w:rsid w:val="00E61011"/>
    <w:pPr>
      <w:ind w:left="720"/>
      <w:contextualSpacing/>
    </w:pPr>
  </w:style>
  <w:style w:type="character" w:styleId="IntenseEmphasis">
    <w:name w:val="Intense Emphasis"/>
    <w:basedOn w:val="DefaultParagraphFont"/>
    <w:uiPriority w:val="21"/>
    <w:qFormat/>
    <w:rsid w:val="00E61011"/>
    <w:rPr>
      <w:i/>
      <w:iCs/>
      <w:color w:val="0F4761" w:themeColor="accent1" w:themeShade="BF"/>
    </w:rPr>
  </w:style>
  <w:style w:type="paragraph" w:styleId="IntenseQuote">
    <w:name w:val="Intense Quote"/>
    <w:basedOn w:val="Normal"/>
    <w:next w:val="Normal"/>
    <w:link w:val="IntenseQuoteChar"/>
    <w:uiPriority w:val="30"/>
    <w:qFormat/>
    <w:rsid w:val="00E61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011"/>
    <w:rPr>
      <w:rFonts w:cs="Angsana New"/>
      <w:i/>
      <w:iCs/>
      <w:color w:val="0F4761" w:themeColor="accent1" w:themeShade="BF"/>
    </w:rPr>
  </w:style>
  <w:style w:type="character" w:styleId="IntenseReference">
    <w:name w:val="Intense Reference"/>
    <w:basedOn w:val="DefaultParagraphFont"/>
    <w:uiPriority w:val="32"/>
    <w:qFormat/>
    <w:rsid w:val="00E61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SOTHEAROTH HENG</dc:creator>
  <cp:keywords/>
  <dc:description/>
  <cp:lastModifiedBy>SOTHEAROTH HENG</cp:lastModifiedBy>
  <cp:revision>1</cp:revision>
  <dcterms:created xsi:type="dcterms:W3CDTF">2026-06-25T08:48:00Z</dcterms:created>
  <dcterms:modified xsi:type="dcterms:W3CDTF">2026-06-25T08:57:00Z</dcterms:modified>
</cp:coreProperties>
</file>