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4894AB86" w:rsidR="00F21405" w:rsidRPr="00B9711B" w:rsidRDefault="00853033" w:rsidP="001C4724">
      <w:pPr>
        <w:spacing w:line="360" w:lineRule="auto"/>
        <w:jc w:val="center"/>
        <w:rPr>
          <w:rFonts w:ascii="Arial" w:hAnsi="Arial" w:cs="Arial"/>
          <w:sz w:val="28"/>
          <w:szCs w:val="28"/>
        </w:rPr>
      </w:pPr>
      <w:r>
        <w:rPr>
          <w:rFonts w:ascii="Arial" w:hAnsi="Arial" w:cs="Arial"/>
          <w:noProof/>
          <w14:ligatures w14:val="standardContextual"/>
        </w:rPr>
        <w:drawing>
          <wp:anchor distT="0" distB="0" distL="114300" distR="114300" simplePos="0" relativeHeight="251671552" behindDoc="0" locked="0" layoutInCell="1" allowOverlap="1" wp14:anchorId="0A8520DB" wp14:editId="5E67D4B5">
            <wp:simplePos x="0" y="0"/>
            <wp:positionH relativeFrom="column">
              <wp:posOffset>4444063</wp:posOffset>
            </wp:positionH>
            <wp:positionV relativeFrom="paragraph">
              <wp:posOffset>8646806</wp:posOffset>
            </wp:positionV>
            <wp:extent cx="1262457" cy="617986"/>
            <wp:effectExtent l="0" t="0" r="0" b="0"/>
            <wp:wrapNone/>
            <wp:docPr id="1441762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62504" name="Picture 1441762504"/>
                    <pic:cNvPicPr/>
                  </pic:nvPicPr>
                  <pic:blipFill>
                    <a:blip r:embed="rId6">
                      <a:extLst>
                        <a:ext uri="{28A0092B-C50C-407E-A947-70E740481C1C}">
                          <a14:useLocalDpi xmlns:a14="http://schemas.microsoft.com/office/drawing/2010/main" val="0"/>
                        </a:ext>
                      </a:extLst>
                    </a:blip>
                    <a:stretch>
                      <a:fillRect/>
                    </a:stretch>
                  </pic:blipFill>
                  <pic:spPr>
                    <a:xfrm>
                      <a:off x="0" y="0"/>
                      <a:ext cx="1262457" cy="617986"/>
                    </a:xfrm>
                    <a:prstGeom prst="rect">
                      <a:avLst/>
                    </a:prstGeom>
                  </pic:spPr>
                </pic:pic>
              </a:graphicData>
            </a:graphic>
            <wp14:sizeRelH relativeFrom="margin">
              <wp14:pctWidth>0</wp14:pctWidth>
            </wp14:sizeRelH>
            <wp14:sizeRelV relativeFrom="margin">
              <wp14:pctHeight>0</wp14:pctHeight>
            </wp14:sizeRelV>
          </wp:anchor>
        </w:drawing>
      </w:r>
      <w:r w:rsidR="00E22A94"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768EFE49">
                <wp:simplePos x="0" y="0"/>
                <wp:positionH relativeFrom="column">
                  <wp:posOffset>3948772</wp:posOffset>
                </wp:positionH>
                <wp:positionV relativeFrom="paragraph">
                  <wp:posOffset>8635609</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0.95pt;margin-top:679.95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" filled="f" stroked="f">
                <v:textbox style="mso-fit-shape-to-text:t" inset="0,0,0,0">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Dr. Pongkarn Chakthranont</w:t>
                      </w:r>
                    </w:p>
                  </w:txbxContent>
                </v:textbox>
              </v:shape>
            </w:pict>
          </mc:Fallback>
        </mc:AlternateContent>
      </w:r>
      <w:r w:rsidR="0069527A"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" filled="f" stroked="f">
                <v:textbox style="mso-fit-shape-to-text:t" inset="0,0,0,0">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val="en-TH" w:bidi="km-KH"/>
                        </w:rPr>
                      </w:pPr>
                      <w:r w:rsidRPr="000E2988">
                        <w:rPr>
                          <w:rFonts w:ascii="Arial" w:hAnsi="Arial" w:cs="Arial"/>
                          <w:b/>
                          <w:bCs/>
                          <w:sz w:val="32"/>
                          <w:szCs w:val="32"/>
                          <w:lang w:val="en-TH" w:bidi="km-KH"/>
                        </w:rPr>
                        <w:t>Advancing Integrated Materials and Devices for Electrochemical CO</w:t>
                      </w:r>
                      <w:r w:rsidRPr="000E2988">
                        <w:rPr>
                          <w:rFonts w:ascii="Arial" w:hAnsi="Arial" w:cs="Arial"/>
                          <w:b/>
                          <w:bCs/>
                          <w:sz w:val="32"/>
                          <w:szCs w:val="32"/>
                          <w:vertAlign w:val="subscript"/>
                          <w:lang w:val="en-TH" w:bidi="km-KH"/>
                        </w:rPr>
                        <w:t>2</w:t>
                      </w:r>
                      <w:r w:rsidRPr="000E2988">
                        <w:rPr>
                          <w:rFonts w:ascii="Arial" w:hAnsi="Arial" w:cs="Arial"/>
                          <w:b/>
                          <w:bCs/>
                          <w:sz w:val="32"/>
                          <w:szCs w:val="32"/>
                          <w:lang w:val="en-TH" w:bidi="km-KH"/>
                        </w:rPr>
                        <w:t xml:space="preserve"> Reduction (AIM-COR)</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" filled="f" stroked="f">
                <v:textbox style="mso-fit-shape-to-text:t" inset="0,0,0,0">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Dr. Pongkarn Chakthranont</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001B6365" w:rsidR="00CE4EEC"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January 2026 report</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" filled="f" stroked="f">
                <v:textbox style="mso-fit-shape-to-text:t" inset="0,0,0,0">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 xml:space="preserve">Contract Number: </w:t>
                      </w:r>
                      <w:r w:rsidRPr="000E2988">
                        <w:rPr>
                          <w:rFonts w:ascii="Arial" w:hAnsi="Arial" w:cs="Arial"/>
                          <w:color w:val="000000"/>
                          <w:kern w:val="24"/>
                          <w:sz w:val="32"/>
                          <w:szCs w:val="32"/>
                        </w:rPr>
                        <w:t>NCR-NN-2026-25421-EN</w:t>
                      </w:r>
                    </w:p>
                    <w:p w14:paraId="53039233" w14:textId="001B6365" w:rsidR="00CE4EEC"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January 2026 report</w:t>
                      </w:r>
                    </w:p>
                  </w:txbxContent>
                </v:textbox>
              </v:shape>
            </w:pict>
          </mc:Fallback>
        </mc:AlternateContent>
      </w:r>
      <w:r w:rsidR="006076A5">
        <w:rPr>
          <w:rFonts w:ascii="Arial" w:hAnsi="Arial" w:cs="Arial"/>
        </w:rPr>
        <w:br w:type="page"/>
      </w:r>
      <w:r w:rsidR="006B2748">
        <w:rPr>
          <w:rFonts w:ascii="Arial" w:hAnsi="Arial" w:cs="Arial"/>
          <w:b/>
          <w:bCs/>
          <w:sz w:val="28"/>
          <w:szCs w:val="28"/>
        </w:rPr>
        <w:lastRenderedPageBreak/>
        <w:t>January</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62EAA5FA"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6B2748">
        <w:rPr>
          <w:rFonts w:ascii="Arial" w:hAnsi="Arial" w:cs="Arial"/>
          <w:b/>
          <w:bCs/>
        </w:rPr>
        <w:t>January</w:t>
      </w:r>
    </w:p>
    <w:p w14:paraId="3B67E434" w14:textId="0419D96A" w:rsidR="006B2748" w:rsidRDefault="006B2748" w:rsidP="006B2748">
      <w:pPr>
        <w:pStyle w:val="ListParagraph"/>
        <w:numPr>
          <w:ilvl w:val="1"/>
          <w:numId w:val="31"/>
        </w:numPr>
        <w:spacing w:line="360" w:lineRule="auto"/>
        <w:ind w:left="567"/>
        <w:rPr>
          <w:rFonts w:ascii="Arial" w:hAnsi="Arial" w:cs="Arial"/>
        </w:rPr>
      </w:pPr>
      <w:r>
        <w:rPr>
          <w:rFonts w:ascii="Arial" w:hAnsi="Arial" w:cs="Arial"/>
        </w:rPr>
        <w:t>Optimization of Fuel cell – CO2RR coupling system for direct flue gas conversion</w:t>
      </w:r>
    </w:p>
    <w:p w14:paraId="038A1773" w14:textId="7D54A987" w:rsidR="00B302D6" w:rsidRPr="006B2748" w:rsidRDefault="00B302D6" w:rsidP="006B2748">
      <w:pPr>
        <w:pStyle w:val="ListParagraph"/>
        <w:numPr>
          <w:ilvl w:val="1"/>
          <w:numId w:val="31"/>
        </w:numPr>
        <w:spacing w:line="360" w:lineRule="auto"/>
        <w:ind w:left="567"/>
        <w:rPr>
          <w:rFonts w:ascii="Arial" w:hAnsi="Arial" w:cs="Arial"/>
        </w:rPr>
      </w:pPr>
      <w:r>
        <w:rPr>
          <w:rFonts w:ascii="Arial" w:hAnsi="Arial" w:cs="Arial"/>
        </w:rPr>
        <w:t>Recollecting the influence of Pt/C catalyst loading on ORR performance in CO2RR-ORR coupling system (Pt/C || BPM || Ni foam)</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671DCA66"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Synthesis of NiSAC by pyrolysis method</w:t>
      </w:r>
    </w:p>
    <w:p w14:paraId="5D0BBE15" w14:textId="3D86DF3F"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The synthesis of 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xml:space="preserve">. Initially, nickel phthalocyanine (NiPc), urea, and dicyanamide precursors were stoichiometrically weighed according to mass ratios of x:5:5, wherein urea and dicyanamide were maintained at 5 g each while varying the NiPc content (x = 0.25, 0.5, 1.0, and 2.0 g). 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¹) in a horizontal tube furnace under an argon atmosphere (flow rate = 200 sccm) for 2 h.</w:t>
      </w:r>
      <w:r w:rsidR="003623DB">
        <w:rPr>
          <w:rFonts w:ascii="Arial" w:eastAsiaTheme="minorHAnsi" w:hAnsi="Arial" w:cs="Arial"/>
          <w:sz w:val="22"/>
          <w:szCs w:val="22"/>
          <w:lang w:bidi="km-KH"/>
          <w14:ligatures w14:val="standardContextual"/>
        </w:rPr>
        <w:t xml:space="preserve"> The as-prepared</w:t>
      </w:r>
      <w:r w:rsidR="00874475">
        <w:rPr>
          <w:rFonts w:ascii="Arial" w:eastAsiaTheme="minorHAnsi" w:hAnsi="Arial" w:cs="Arial"/>
          <w:sz w:val="22"/>
          <w:szCs w:val="22"/>
          <w:lang w:bidi="km-KH"/>
          <w14:ligatures w14:val="standardContextual"/>
        </w:rPr>
        <w:t xml:space="preserve"> </w:t>
      </w:r>
      <w:r w:rsidR="003623DB">
        <w:rPr>
          <w:rFonts w:ascii="Arial" w:eastAsiaTheme="minorHAnsi" w:hAnsi="Arial" w:cs="Arial"/>
          <w:sz w:val="22"/>
          <w:szCs w:val="22"/>
          <w:lang w:bidi="km-KH"/>
          <w14:ligatures w14:val="standardContextual"/>
        </w:rPr>
        <w:t xml:space="preserve">xNiSAC catalysts with different NiPc contents were </w:t>
      </w:r>
      <w:r w:rsidR="00F37D48">
        <w:rPr>
          <w:rFonts w:ascii="Arial" w:eastAsiaTheme="minorHAnsi" w:hAnsi="Arial" w:cs="Arial"/>
          <w:sz w:val="22"/>
          <w:szCs w:val="22"/>
          <w:lang w:bidi="km-KH"/>
          <w14:ligatures w14:val="standardContextual"/>
        </w:rPr>
        <w:t xml:space="preserve">finally </w:t>
      </w:r>
      <w:r w:rsidR="003623DB">
        <w:rPr>
          <w:rFonts w:ascii="Arial" w:eastAsiaTheme="minorHAnsi" w:hAnsi="Arial" w:cs="Arial"/>
          <w:sz w:val="22"/>
          <w:szCs w:val="22"/>
          <w:lang w:bidi="km-KH"/>
          <w14:ligatures w14:val="standardContextual"/>
        </w:rPr>
        <w:t>obtained and labeled as 0.25NiSAC, 0.5NiSAC, 1.0NiSAC, and 2.0NiSAC</w:t>
      </w:r>
      <w:r w:rsidR="00F37D48">
        <w:rPr>
          <w:rFonts w:ascii="Arial" w:eastAsiaTheme="minorHAnsi" w:hAnsi="Arial" w:cs="Arial"/>
          <w:sz w:val="22"/>
          <w:szCs w:val="22"/>
          <w:lang w:bidi="km-KH"/>
          <w14:ligatures w14:val="standardContextual"/>
        </w:rPr>
        <w:t>.</w:t>
      </w:r>
    </w:p>
    <w:p w14:paraId="5DE4439C" w14:textId="77777777" w:rsidR="008E4595" w:rsidRDefault="008E4595" w:rsidP="001A3504">
      <w:pPr>
        <w:spacing w:line="360" w:lineRule="auto"/>
        <w:jc w:val="both"/>
        <w:rPr>
          <w:rFonts w:ascii="Arial" w:hAnsi="Arial" w:cs="Arial"/>
          <w:b/>
          <w:bCs/>
          <w:sz w:val="22"/>
          <w:szCs w:val="22"/>
        </w:rPr>
      </w:pPr>
    </w:p>
    <w:p w14:paraId="4DA34AFE" w14:textId="5AA27698"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NiSAC </w:t>
      </w:r>
      <w:r>
        <w:rPr>
          <w:rFonts w:ascii="Arial" w:eastAsiaTheme="minorHAnsi" w:hAnsi="Arial" w:cs="Arial"/>
          <w:b/>
          <w:bCs/>
          <w:sz w:val="22"/>
          <w:szCs w:val="22"/>
          <w:lang w:bidi="km-KH"/>
          <w14:ligatures w14:val="standardContextual"/>
        </w:rPr>
        <w:t xml:space="preserve">cathode </w:t>
      </w:r>
      <w:r w:rsidRPr="00631E64">
        <w:rPr>
          <w:rFonts w:ascii="Arial" w:eastAsiaTheme="minorHAnsi" w:hAnsi="Arial" w:cs="Arial"/>
          <w:b/>
          <w:bCs/>
          <w:sz w:val="22"/>
          <w:szCs w:val="22"/>
          <w:lang w:bidi="km-KH"/>
          <w14:ligatures w14:val="standardContextual"/>
        </w:rPr>
        <w:t>electrode</w:t>
      </w:r>
      <w:r>
        <w:rPr>
          <w:rFonts w:ascii="Arial" w:eastAsiaTheme="minorHAnsi" w:hAnsi="Arial" w:cs="Arial"/>
          <w:b/>
          <w:bCs/>
          <w:sz w:val="22"/>
          <w:szCs w:val="22"/>
          <w:lang w:bidi="km-KH"/>
          <w14:ligatures w14:val="standardContextual"/>
        </w:rPr>
        <w:t xml:space="preserve"> via spray coating method</w:t>
      </w:r>
    </w:p>
    <w:p w14:paraId="2FEBCD15" w14:textId="101E23B3"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 xml:space="preserve">The NiSAC gas-diffusion electrode was fabricated by spray coating onto Sigracet 39BB carbon paper or hydrophilic carbon cloth substrates. Typically, 150 mg of as-prepared NiSAC and 381 μL of XC-2 ionomer were ultrasonically dispersed in 10 mL of isopropanol (IPA) for at least 1 h to form a homogeneous dark colloidal suspension. The ink suspension was subsequently spray-coated onto a </w:t>
      </w:r>
      <w:r w:rsidR="00185F26">
        <w:rPr>
          <w:rFonts w:ascii="Arial" w:eastAsiaTheme="minorHAnsi" w:hAnsi="Arial" w:cs="Arial"/>
          <w:sz w:val="22"/>
          <w:szCs w:val="22"/>
          <w:lang w:bidi="km-KH"/>
          <w14:ligatures w14:val="standardContextual"/>
        </w:rPr>
        <w:t xml:space="preserve">11 </w:t>
      </w:r>
      <w:r w:rsidR="008A2CC2">
        <w:rPr>
          <w:rFonts w:ascii="Arial" w:eastAsiaTheme="minorHAnsi" w:hAnsi="Arial" w:cs="Arial"/>
          <w:sz w:val="22"/>
          <w:szCs w:val="22"/>
          <w:lang w:bidi="km-KH"/>
          <w14:ligatures w14:val="standardContextual"/>
        </w:rPr>
        <w:t>x</w:t>
      </w:r>
      <w:r w:rsidR="00185F26">
        <w:rPr>
          <w:rFonts w:ascii="Arial" w:eastAsiaTheme="minorHAnsi" w:hAnsi="Arial" w:cs="Arial"/>
          <w:sz w:val="22"/>
          <w:szCs w:val="22"/>
          <w:lang w:bidi="km-KH"/>
          <w14:ligatures w14:val="standardContextual"/>
        </w:rPr>
        <w:t xml:space="preserve"> 11</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w:t>
      </w:r>
      <w:r w:rsidR="00185F26">
        <w:rPr>
          <w:rFonts w:ascii="Arial" w:eastAsiaTheme="minorHAnsi" w:hAnsi="Arial" w:cs="Arial"/>
          <w:sz w:val="22"/>
          <w:szCs w:val="22"/>
          <w:lang w:bidi="km-KH"/>
          <w14:ligatures w14:val="standardContextual"/>
        </w:rPr>
        <w:t>3</w:t>
      </w:r>
      <w:r w:rsidRPr="00631E64">
        <w:rPr>
          <w:rFonts w:ascii="Arial" w:eastAsiaTheme="minorHAnsi" w:hAnsi="Arial" w:cs="Arial"/>
          <w:sz w:val="22"/>
          <w:szCs w:val="22"/>
          <w:lang w:bidi="km-KH"/>
          <w14:ligatures w14:val="standardContextual"/>
        </w:rPr>
        <w:t>0°C, yielding a catalyst mass loading of 1.8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w:t>
      </w:r>
    </w:p>
    <w:p w14:paraId="3DF31653" w14:textId="030A7490" w:rsidR="009412FA" w:rsidRPr="00185F26" w:rsidRDefault="00185F26" w:rsidP="001C4724">
      <w:pPr>
        <w:spacing w:line="360" w:lineRule="auto"/>
        <w:rPr>
          <w:rFonts w:ascii="Arial" w:hAnsi="Arial" w:cs="Browallia New"/>
          <w:sz w:val="22"/>
          <w:szCs w:val="28"/>
        </w:rPr>
      </w:pPr>
      <w:r>
        <w:rPr>
          <w:rFonts w:ascii="Arial" w:hAnsi="Arial" w:cs="Browallia New"/>
          <w:b/>
          <w:bCs/>
          <w:sz w:val="22"/>
          <w:szCs w:val="28"/>
        </w:rPr>
        <w:t xml:space="preserve">Note: </w:t>
      </w:r>
      <w:r>
        <w:rPr>
          <w:rFonts w:ascii="Arial" w:hAnsi="Arial" w:cs="Browallia New"/>
          <w:sz w:val="22"/>
          <w:szCs w:val="28"/>
        </w:rPr>
        <w:t xml:space="preserve">a bottle of ink suspension containing 150mg of Ni-SAC catalyst yields only ~ 0.7 </w:t>
      </w:r>
      <w:r w:rsidRPr="00631E64">
        <w:rPr>
          <w:rFonts w:ascii="Arial" w:eastAsiaTheme="minorHAnsi" w:hAnsi="Arial" w:cs="Arial"/>
          <w:sz w:val="22"/>
          <w:szCs w:val="22"/>
          <w:lang w:bidi="km-KH"/>
          <w14:ligatures w14:val="standardContextual"/>
        </w:rPr>
        <w:t>±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Pr>
          <w:rFonts w:ascii="Arial" w:eastAsiaTheme="minorHAnsi" w:hAnsi="Arial" w:cs="Arial"/>
          <w:sz w:val="22"/>
          <w:szCs w:val="22"/>
          <w:lang w:bidi="km-KH"/>
          <w14:ligatures w14:val="standardContextual"/>
        </w:rPr>
        <w:t>.</w:t>
      </w:r>
    </w:p>
    <w:p w14:paraId="298D7E9B" w14:textId="77777777" w:rsidR="00185F26" w:rsidRDefault="00185F26" w:rsidP="001C4724">
      <w:pPr>
        <w:spacing w:line="360" w:lineRule="auto"/>
        <w:rPr>
          <w:rFonts w:ascii="Arial" w:hAnsi="Arial" w:cs="Browallia New"/>
          <w:b/>
          <w:bCs/>
          <w:sz w:val="22"/>
          <w:szCs w:val="28"/>
        </w:rPr>
      </w:pPr>
    </w:p>
    <w:p w14:paraId="6FB0ED4D" w14:textId="0E686562" w:rsidR="00917489" w:rsidRPr="00631E64" w:rsidRDefault="00917489" w:rsidP="00917489">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w:t>
      </w:r>
      <w:r>
        <w:rPr>
          <w:rFonts w:ascii="Arial" w:eastAsiaTheme="minorHAnsi" w:hAnsi="Arial" w:cs="Arial"/>
          <w:b/>
          <w:bCs/>
          <w:sz w:val="22"/>
          <w:szCs w:val="22"/>
          <w:lang w:bidi="km-KH"/>
          <w14:ligatures w14:val="standardContextual"/>
        </w:rPr>
        <w:t xml:space="preserve">Pt/C </w:t>
      </w:r>
      <w:r w:rsidRPr="00631E64">
        <w:rPr>
          <w:rFonts w:ascii="Arial" w:eastAsiaTheme="minorHAnsi" w:hAnsi="Arial" w:cs="Arial"/>
          <w:b/>
          <w:bCs/>
          <w:sz w:val="22"/>
          <w:szCs w:val="22"/>
          <w:lang w:bidi="km-KH"/>
          <w14:ligatures w14:val="standardContextual"/>
        </w:rPr>
        <w:t>electrode</w:t>
      </w:r>
      <w:r>
        <w:rPr>
          <w:rFonts w:ascii="Arial" w:eastAsiaTheme="minorHAnsi" w:hAnsi="Arial" w:cs="Arial"/>
          <w:b/>
          <w:bCs/>
          <w:sz w:val="22"/>
          <w:szCs w:val="22"/>
          <w:lang w:bidi="km-KH"/>
          <w14:ligatures w14:val="standardContextual"/>
        </w:rPr>
        <w:t xml:space="preserve"> via spray coating method</w:t>
      </w:r>
    </w:p>
    <w:p w14:paraId="718C93BD" w14:textId="026F5CC7" w:rsidR="00917489" w:rsidRPr="00631E64" w:rsidRDefault="00917489" w:rsidP="00917489">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1</w:t>
      </w:r>
      <w:r>
        <w:rPr>
          <w:rFonts w:ascii="Arial" w:eastAsiaTheme="minorHAnsi" w:hAnsi="Arial" w:cs="Arial"/>
          <w:sz w:val="22"/>
          <w:szCs w:val="22"/>
          <w:lang w:bidi="km-KH"/>
          <w14:ligatures w14:val="standardContextual"/>
        </w:rPr>
        <w:t>0</w:t>
      </w:r>
      <w:r w:rsidRPr="00631E64">
        <w:rPr>
          <w:rFonts w:ascii="Arial" w:eastAsiaTheme="minorHAnsi" w:hAnsi="Arial" w:cs="Arial"/>
          <w:sz w:val="22"/>
          <w:szCs w:val="22"/>
          <w:lang w:bidi="km-KH"/>
          <w14:ligatures w14:val="standardContextual"/>
        </w:rPr>
        <w:t xml:space="preserve">0 mg of </w:t>
      </w:r>
      <w:r>
        <w:rPr>
          <w:rFonts w:ascii="Arial" w:eastAsiaTheme="minorHAnsi" w:hAnsi="Arial" w:cs="Arial"/>
          <w:sz w:val="22"/>
          <w:szCs w:val="22"/>
          <w:lang w:bidi="km-KH"/>
          <w14:ligatures w14:val="standardContextual"/>
        </w:rPr>
        <w:t>20-40%Pt/C catalyst</w:t>
      </w:r>
      <w:r w:rsidRPr="00631E64">
        <w:rPr>
          <w:rFonts w:ascii="Arial" w:eastAsiaTheme="minorHAnsi" w:hAnsi="Arial" w:cs="Arial"/>
          <w:sz w:val="22"/>
          <w:szCs w:val="22"/>
          <w:lang w:bidi="km-KH"/>
          <w14:ligatures w14:val="standardContextual"/>
        </w:rPr>
        <w:t xml:space="preserve"> and </w:t>
      </w:r>
      <w:r>
        <w:rPr>
          <w:rFonts w:ascii="Arial" w:eastAsiaTheme="minorHAnsi" w:hAnsi="Arial" w:cs="Arial"/>
          <w:sz w:val="22"/>
          <w:szCs w:val="22"/>
          <w:lang w:bidi="km-KH"/>
          <w14:ligatures w14:val="standardContextual"/>
        </w:rPr>
        <w:t>217.4</w:t>
      </w:r>
      <w:r w:rsidRPr="00631E64">
        <w:rPr>
          <w:rFonts w:ascii="Arial" w:eastAsiaTheme="minorHAnsi" w:hAnsi="Arial" w:cs="Arial"/>
          <w:sz w:val="22"/>
          <w:szCs w:val="22"/>
          <w:lang w:bidi="km-KH"/>
          <w14:ligatures w14:val="standardContextual"/>
        </w:rPr>
        <w:t xml:space="preserve"> μL of </w:t>
      </w:r>
      <w:r>
        <w:rPr>
          <w:rFonts w:ascii="Arial" w:eastAsiaTheme="minorHAnsi" w:hAnsi="Arial" w:cs="Arial"/>
          <w:sz w:val="22"/>
          <w:szCs w:val="22"/>
          <w:lang w:bidi="km-KH"/>
          <w14:ligatures w14:val="standardContextual"/>
        </w:rPr>
        <w:t>5%v/v Nafion binder</w:t>
      </w:r>
      <w:r w:rsidRPr="00631E64">
        <w:rPr>
          <w:rFonts w:ascii="Arial" w:eastAsiaTheme="minorHAnsi" w:hAnsi="Arial" w:cs="Arial"/>
          <w:sz w:val="22"/>
          <w:szCs w:val="22"/>
          <w:lang w:bidi="km-KH"/>
          <w14:ligatures w14:val="standardContextual"/>
        </w:rPr>
        <w:t xml:space="preserve"> were ultrasonically dispersed in 10 mL of isopropanol (IPA) for at least 1 h to form a homogeneous dark colloidal suspension. The ink suspension was subsequently spray-coated onto a </w:t>
      </w:r>
      <w:r>
        <w:rPr>
          <w:rFonts w:ascii="Arial" w:eastAsiaTheme="minorHAnsi" w:hAnsi="Arial" w:cs="Arial"/>
          <w:sz w:val="22"/>
          <w:szCs w:val="22"/>
          <w:lang w:bidi="km-KH"/>
          <w14:ligatures w14:val="standardContextual"/>
        </w:rPr>
        <w:t>6 x 6</w:t>
      </w:r>
      <w:r w:rsidRPr="00631E64">
        <w:rPr>
          <w:rFonts w:ascii="Arial" w:eastAsiaTheme="minorHAnsi" w:hAnsi="Arial" w:cs="Arial"/>
          <w:sz w:val="22"/>
          <w:szCs w:val="22"/>
          <w:lang w:bidi="km-KH"/>
          <w14:ligatures w14:val="standardContextual"/>
        </w:rPr>
        <w:t xml:space="preserve"> cm</w:t>
      </w:r>
      <w:r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setup equipped with a syringe pump </w:t>
      </w:r>
      <w:r w:rsidRPr="00631E64">
        <w:rPr>
          <w:rFonts w:ascii="Arial" w:eastAsiaTheme="minorHAnsi" w:hAnsi="Arial" w:cs="Arial"/>
          <w:sz w:val="22"/>
          <w:szCs w:val="22"/>
          <w:lang w:bidi="km-KH"/>
          <w14:ligatures w14:val="standardContextual"/>
        </w:rPr>
        <w:lastRenderedPageBreak/>
        <w:t>operating at a flow rate of 0.6 mL min</w:t>
      </w:r>
      <w:r w:rsidRPr="00631E64">
        <w:rPr>
          <w:rFonts w:ascii="Cambria Math" w:eastAsiaTheme="minorHAnsi" w:hAnsi="Cambria Math" w:cs="Cambria Math"/>
          <w:sz w:val="22"/>
          <w:szCs w:val="22"/>
          <w:lang w:bidi="km-KH"/>
          <w14:ligatures w14:val="standardContextual"/>
        </w:rPr>
        <w:t>⁻</w:t>
      </w:r>
      <w:r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w:t>
      </w:r>
      <w:r>
        <w:rPr>
          <w:rFonts w:ascii="Arial" w:eastAsiaTheme="minorHAnsi" w:hAnsi="Arial" w:cs="Arial"/>
          <w:sz w:val="22"/>
          <w:szCs w:val="22"/>
          <w:lang w:bidi="km-KH"/>
          <w14:ligatures w14:val="standardContextual"/>
        </w:rPr>
        <w:t>0</w:t>
      </w:r>
      <w:r w:rsidRPr="00631E64">
        <w:rPr>
          <w:rFonts w:ascii="Arial" w:eastAsiaTheme="minorHAnsi" w:hAnsi="Arial" w:cs="Arial"/>
          <w:sz w:val="22"/>
          <w:szCs w:val="22"/>
          <w:lang w:bidi="km-KH"/>
          <w14:ligatures w14:val="standardContextual"/>
        </w:rPr>
        <w:t>0°C, yielding a catalyst mass loading of 1</w:t>
      </w:r>
      <w:r>
        <w:rPr>
          <w:rFonts w:ascii="Arial" w:eastAsiaTheme="minorHAnsi" w:hAnsi="Arial" w:cs="Arial"/>
          <w:sz w:val="22"/>
          <w:szCs w:val="22"/>
          <w:lang w:bidi="km-KH"/>
          <w14:ligatures w14:val="standardContextual"/>
        </w:rPr>
        <w:t>.0</w:t>
      </w:r>
      <w:r w:rsidRPr="00631E64">
        <w:rPr>
          <w:rFonts w:ascii="Arial" w:eastAsiaTheme="minorHAnsi" w:hAnsi="Arial" w:cs="Arial"/>
          <w:sz w:val="22"/>
          <w:szCs w:val="22"/>
          <w:lang w:bidi="km-KH"/>
          <w14:ligatures w14:val="standardContextual"/>
        </w:rPr>
        <w:t xml:space="preserve">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w:t>
      </w:r>
    </w:p>
    <w:p w14:paraId="390CA1BC" w14:textId="3C0EB1E6" w:rsidR="00917489" w:rsidRPr="00185F26" w:rsidRDefault="00917489" w:rsidP="00917489">
      <w:pPr>
        <w:spacing w:line="360" w:lineRule="auto"/>
        <w:rPr>
          <w:rFonts w:ascii="Arial" w:hAnsi="Arial" w:cs="Browallia New"/>
          <w:sz w:val="22"/>
          <w:szCs w:val="28"/>
        </w:rPr>
      </w:pPr>
      <w:r>
        <w:rPr>
          <w:rFonts w:ascii="Arial" w:hAnsi="Arial" w:cs="Browallia New"/>
          <w:b/>
          <w:bCs/>
          <w:sz w:val="22"/>
          <w:szCs w:val="28"/>
        </w:rPr>
        <w:t xml:space="preserve">Note: </w:t>
      </w:r>
      <w:r>
        <w:rPr>
          <w:rFonts w:ascii="Arial" w:hAnsi="Arial" w:cs="Browallia New"/>
          <w:sz w:val="22"/>
          <w:szCs w:val="28"/>
        </w:rPr>
        <w:t xml:space="preserve">7-8 ml of ink solution containing 100mg of 20-40%Pt/C catalyst yields 1.0 </w:t>
      </w:r>
      <w:r w:rsidRPr="00631E64">
        <w:rPr>
          <w:rFonts w:ascii="Arial" w:eastAsiaTheme="minorHAnsi" w:hAnsi="Arial" w:cs="Arial"/>
          <w:sz w:val="22"/>
          <w:szCs w:val="22"/>
          <w:lang w:bidi="km-KH"/>
          <w14:ligatures w14:val="standardContextual"/>
        </w:rPr>
        <w:t>±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Pr>
          <w:rFonts w:ascii="Arial" w:eastAsiaTheme="minorHAnsi" w:hAnsi="Arial" w:cs="Arial"/>
          <w:sz w:val="22"/>
          <w:szCs w:val="22"/>
          <w:lang w:bidi="km-KH"/>
          <w14:ligatures w14:val="standardContextual"/>
        </w:rPr>
        <w:t>.</w:t>
      </w:r>
    </w:p>
    <w:p w14:paraId="03871157" w14:textId="77777777" w:rsidR="00917489" w:rsidRDefault="00917489" w:rsidP="001C4724">
      <w:pPr>
        <w:spacing w:line="360" w:lineRule="auto"/>
        <w:rPr>
          <w:rFonts w:ascii="Arial" w:hAnsi="Arial" w:cs="Browallia New"/>
          <w:b/>
          <w:bCs/>
          <w:sz w:val="22"/>
          <w:szCs w:val="28"/>
        </w:rPr>
      </w:pPr>
    </w:p>
    <w:p w14:paraId="43D3CCF8" w14:textId="77777777" w:rsidR="00042F81" w:rsidRDefault="005E3345" w:rsidP="00ED68AE">
      <w:pPr>
        <w:spacing w:line="360" w:lineRule="auto"/>
        <w:rPr>
          <w:rFonts w:ascii="Arial" w:hAnsi="Arial" w:cs="Browallia New"/>
          <w:b/>
          <w:bCs/>
          <w:sz w:val="22"/>
          <w:szCs w:val="28"/>
        </w:rPr>
      </w:pPr>
      <w:r>
        <w:rPr>
          <w:rFonts w:ascii="Arial" w:hAnsi="Arial" w:cs="Browallia New"/>
          <w:b/>
          <w:bCs/>
          <w:sz w:val="22"/>
          <w:szCs w:val="28"/>
        </w:rPr>
        <w:t xml:space="preserve">Electrochemical measurements in </w:t>
      </w:r>
      <w:r w:rsidR="00042F81">
        <w:rPr>
          <w:rFonts w:ascii="Arial" w:hAnsi="Arial" w:cs="Browallia New"/>
          <w:b/>
          <w:bCs/>
          <w:sz w:val="22"/>
          <w:szCs w:val="28"/>
        </w:rPr>
        <w:t xml:space="preserve">proton exchange membrane (PEM) fuel cell </w:t>
      </w:r>
    </w:p>
    <w:p w14:paraId="35BE3184" w14:textId="636DCB5F" w:rsidR="00492EC2" w:rsidRPr="00492EC2" w:rsidRDefault="00042F81" w:rsidP="00ED68AE">
      <w:pPr>
        <w:spacing w:line="360" w:lineRule="auto"/>
        <w:rPr>
          <w:rFonts w:ascii="Arial" w:hAnsi="Arial" w:cs="Browallia New"/>
          <w:b/>
          <w:bCs/>
          <w:sz w:val="22"/>
          <w:szCs w:val="28"/>
        </w:rPr>
      </w:pPr>
      <w:r>
        <w:rPr>
          <w:rFonts w:ascii="Arial" w:hAnsi="Arial" w:cs="Browallia New"/>
          <w:b/>
          <w:bCs/>
          <w:sz w:val="22"/>
          <w:szCs w:val="28"/>
        </w:rPr>
        <w:t>5</w:t>
      </w:r>
      <w:r w:rsidR="00492EC2" w:rsidRPr="00492EC2">
        <w:rPr>
          <w:rFonts w:ascii="Arial" w:hAnsi="Arial" w:cs="Browallia New"/>
          <w:b/>
          <w:bCs/>
          <w:sz w:val="22"/>
          <w:szCs w:val="28"/>
        </w:rPr>
        <w:t>cm</w:t>
      </w:r>
      <w:r w:rsidR="00492EC2" w:rsidRPr="00F32207">
        <w:rPr>
          <w:rFonts w:ascii="Arial" w:hAnsi="Arial" w:cs="Browallia New"/>
          <w:b/>
          <w:bCs/>
          <w:sz w:val="22"/>
          <w:szCs w:val="28"/>
          <w:vertAlign w:val="superscript"/>
        </w:rPr>
        <w:t>2</w:t>
      </w:r>
      <w:r w:rsidR="00492EC2" w:rsidRPr="00492EC2">
        <w:rPr>
          <w:rFonts w:ascii="Arial" w:hAnsi="Arial" w:cs="Browallia New"/>
          <w:b/>
          <w:bCs/>
          <w:sz w:val="22"/>
          <w:szCs w:val="28"/>
        </w:rPr>
        <w:t xml:space="preserve"> </w:t>
      </w:r>
      <w:r>
        <w:rPr>
          <w:rFonts w:ascii="Arial" w:hAnsi="Arial" w:cs="Browallia New"/>
          <w:b/>
          <w:bCs/>
          <w:sz w:val="22"/>
          <w:szCs w:val="28"/>
        </w:rPr>
        <w:t>PEM fuel cell</w:t>
      </w:r>
      <w:r w:rsidR="00492EC2" w:rsidRPr="00492EC2">
        <w:rPr>
          <w:rFonts w:ascii="Arial" w:hAnsi="Arial" w:cs="Browallia New"/>
          <w:b/>
          <w:bCs/>
          <w:sz w:val="22"/>
          <w:szCs w:val="28"/>
        </w:rPr>
        <w:t xml:space="preserve"> operational set-up</w:t>
      </w:r>
    </w:p>
    <w:p w14:paraId="2F100ED5" w14:textId="4D42E072" w:rsidR="00042F81" w:rsidRDefault="00AD5AB9" w:rsidP="001C4724">
      <w:pPr>
        <w:spacing w:line="360" w:lineRule="auto"/>
        <w:jc w:val="both"/>
        <w:rPr>
          <w:rFonts w:ascii="Arial" w:hAnsi="Arial" w:cs="Arial"/>
          <w:sz w:val="22"/>
          <w:szCs w:val="22"/>
        </w:rPr>
      </w:pPr>
      <w:r w:rsidRPr="00B9711B">
        <w:rPr>
          <w:rFonts w:ascii="Arial" w:hAnsi="Arial" w:cs="Arial"/>
          <w:sz w:val="22"/>
          <w:szCs w:val="22"/>
        </w:rPr>
        <w:t xml:space="preserve">A </w:t>
      </w:r>
      <w:r w:rsidR="00042F81">
        <w:rPr>
          <w:rFonts w:ascii="Arial" w:hAnsi="Arial" w:cs="Arial"/>
          <w:sz w:val="22"/>
          <w:szCs w:val="22"/>
        </w:rPr>
        <w:t>5</w:t>
      </w:r>
      <w:r w:rsidRPr="00B9711B">
        <w:rPr>
          <w:rFonts w:ascii="Arial" w:hAnsi="Arial" w:cs="Arial"/>
          <w:sz w:val="22"/>
          <w:szCs w:val="22"/>
        </w:rPr>
        <w:t>cm</w:t>
      </w:r>
      <w:r w:rsidRPr="00B9711B">
        <w:rPr>
          <w:rFonts w:ascii="Arial" w:hAnsi="Arial" w:cs="Arial"/>
          <w:sz w:val="22"/>
          <w:szCs w:val="22"/>
          <w:vertAlign w:val="superscript"/>
        </w:rPr>
        <w:t>2</w:t>
      </w:r>
      <w:r w:rsidRPr="00B9711B">
        <w:rPr>
          <w:rFonts w:ascii="Arial" w:hAnsi="Arial" w:cs="Arial"/>
          <w:sz w:val="22"/>
          <w:szCs w:val="22"/>
        </w:rPr>
        <w:t xml:space="preserve"> </w:t>
      </w:r>
      <w:r w:rsidR="00042F81">
        <w:rPr>
          <w:rFonts w:ascii="Arial" w:hAnsi="Arial" w:cs="Arial"/>
          <w:sz w:val="22"/>
          <w:szCs w:val="22"/>
        </w:rPr>
        <w:t>PEM fuel cell</w:t>
      </w:r>
      <w:r w:rsidRPr="00B9711B">
        <w:rPr>
          <w:rFonts w:ascii="Arial" w:hAnsi="Arial" w:cs="Arial"/>
          <w:sz w:val="22"/>
          <w:szCs w:val="22"/>
        </w:rPr>
        <w:t xml:space="preserve"> was used to evaluate the </w:t>
      </w:r>
      <w:r w:rsidR="00042F81">
        <w:rPr>
          <w:rFonts w:ascii="Arial" w:hAnsi="Arial" w:cs="Arial"/>
          <w:sz w:val="22"/>
          <w:szCs w:val="22"/>
        </w:rPr>
        <w:t>deoxygenation</w:t>
      </w:r>
      <w:r w:rsidRPr="00B9711B">
        <w:rPr>
          <w:rFonts w:ascii="Arial" w:hAnsi="Arial" w:cs="Arial"/>
          <w:sz w:val="22"/>
          <w:szCs w:val="22"/>
        </w:rPr>
        <w:t xml:space="preserve"> performance</w:t>
      </w:r>
      <w:r w:rsidR="00042F81">
        <w:rPr>
          <w:rFonts w:ascii="Arial" w:hAnsi="Arial" w:cs="Arial"/>
          <w:sz w:val="22"/>
          <w:szCs w:val="22"/>
        </w:rPr>
        <w:t xml:space="preserve"> of simulated flue gas (SFG, 15%CO</w:t>
      </w:r>
      <w:r w:rsidR="00042F81" w:rsidRPr="00042F81">
        <w:rPr>
          <w:rFonts w:ascii="Arial" w:hAnsi="Arial" w:cs="Arial"/>
          <w:sz w:val="22"/>
          <w:szCs w:val="22"/>
          <w:vertAlign w:val="subscript"/>
        </w:rPr>
        <w:t>2</w:t>
      </w:r>
      <w:r w:rsidR="00042F81">
        <w:rPr>
          <w:rFonts w:ascii="Arial" w:hAnsi="Arial" w:cs="Arial"/>
          <w:sz w:val="22"/>
          <w:szCs w:val="22"/>
        </w:rPr>
        <w:t xml:space="preserve"> and 5%O</w:t>
      </w:r>
      <w:r w:rsidR="00042F81" w:rsidRPr="00042F81">
        <w:rPr>
          <w:rFonts w:ascii="Arial" w:hAnsi="Arial" w:cs="Arial"/>
          <w:sz w:val="22"/>
          <w:szCs w:val="22"/>
          <w:vertAlign w:val="subscript"/>
        </w:rPr>
        <w:t>2</w:t>
      </w:r>
      <w:r w:rsidR="00042F81">
        <w:rPr>
          <w:rFonts w:ascii="Arial" w:hAnsi="Arial" w:cs="Arial"/>
          <w:sz w:val="22"/>
          <w:szCs w:val="22"/>
        </w:rPr>
        <w:t xml:space="preserve"> in N</w:t>
      </w:r>
      <w:r w:rsidR="00042F81" w:rsidRPr="00042F81">
        <w:rPr>
          <w:rFonts w:ascii="Arial" w:hAnsi="Arial" w:cs="Arial"/>
          <w:sz w:val="22"/>
          <w:szCs w:val="22"/>
          <w:vertAlign w:val="subscript"/>
        </w:rPr>
        <w:t>2</w:t>
      </w:r>
      <w:r w:rsidR="00042F81">
        <w:rPr>
          <w:rFonts w:ascii="Arial" w:hAnsi="Arial" w:cs="Arial"/>
          <w:sz w:val="22"/>
          <w:szCs w:val="22"/>
        </w:rPr>
        <w:t>)</w:t>
      </w:r>
      <w:r w:rsidRPr="00B9711B">
        <w:rPr>
          <w:rFonts w:ascii="Arial" w:hAnsi="Arial" w:cs="Arial"/>
          <w:sz w:val="22"/>
          <w:szCs w:val="22"/>
        </w:rPr>
        <w:t xml:space="preserve"> under modulated operating conditions. The</w:t>
      </w:r>
      <w:r>
        <w:rPr>
          <w:rFonts w:ascii="Arial" w:hAnsi="Arial" w:cs="Arial"/>
          <w:sz w:val="22"/>
          <w:szCs w:val="22"/>
        </w:rPr>
        <w:t xml:space="preserve"> </w:t>
      </w:r>
      <w:r w:rsidR="00042F81">
        <w:rPr>
          <w:rFonts w:ascii="Arial" w:hAnsi="Arial" w:cs="Arial"/>
          <w:sz w:val="22"/>
          <w:szCs w:val="22"/>
        </w:rPr>
        <w:t>20%-40%Pt/C</w:t>
      </w:r>
      <w:r>
        <w:rPr>
          <w:rFonts w:ascii="Arial" w:hAnsi="Arial" w:cs="Arial"/>
          <w:sz w:val="22"/>
          <w:szCs w:val="22"/>
        </w:rPr>
        <w:t xml:space="preserve"> (</w:t>
      </w:r>
      <w:r w:rsidR="00042F81">
        <w:rPr>
          <w:rFonts w:ascii="Arial" w:hAnsi="Arial" w:cs="Arial"/>
          <w:sz w:val="22"/>
          <w:szCs w:val="22"/>
        </w:rPr>
        <w:t>2.5</w:t>
      </w:r>
      <w:r>
        <w:rPr>
          <w:rFonts w:ascii="Arial" w:hAnsi="Arial" w:cs="Arial"/>
          <w:sz w:val="22"/>
          <w:szCs w:val="22"/>
        </w:rPr>
        <w:t xml:space="preserve"> x </w:t>
      </w:r>
      <w:r w:rsidR="00042F81">
        <w:rPr>
          <w:rFonts w:ascii="Arial" w:hAnsi="Arial" w:cs="Arial"/>
          <w:sz w:val="22"/>
          <w:szCs w:val="22"/>
        </w:rPr>
        <w:t>2.5</w:t>
      </w:r>
      <w:r>
        <w:rPr>
          <w:rFonts w:ascii="Arial" w:hAnsi="Arial" w:cs="Arial"/>
          <w:sz w:val="22"/>
          <w:szCs w:val="22"/>
        </w:rPr>
        <w:t xml:space="preserve"> cm</w:t>
      </w:r>
      <w:r w:rsidRPr="00AD5AB9">
        <w:rPr>
          <w:rFonts w:ascii="Arial" w:hAnsi="Arial" w:cs="Arial"/>
          <w:sz w:val="22"/>
          <w:szCs w:val="22"/>
          <w:vertAlign w:val="superscript"/>
        </w:rPr>
        <w:t>2</w:t>
      </w:r>
      <w:r>
        <w:rPr>
          <w:rFonts w:ascii="Arial" w:hAnsi="Arial" w:cs="Arial"/>
          <w:sz w:val="22"/>
          <w:szCs w:val="22"/>
        </w:rPr>
        <w:t xml:space="preserve">), </w:t>
      </w:r>
      <w:r w:rsidR="00042F81">
        <w:rPr>
          <w:rFonts w:ascii="Arial" w:hAnsi="Arial" w:cs="Arial"/>
          <w:sz w:val="22"/>
          <w:szCs w:val="22"/>
        </w:rPr>
        <w:t>Nafion 211</w:t>
      </w:r>
      <w:r>
        <w:rPr>
          <w:rFonts w:ascii="Arial" w:hAnsi="Arial" w:cs="Arial"/>
          <w:sz w:val="22"/>
          <w:szCs w:val="22"/>
        </w:rPr>
        <w:t xml:space="preserve"> (</w:t>
      </w:r>
      <w:r w:rsidR="00042F81">
        <w:rPr>
          <w:rFonts w:ascii="Arial" w:hAnsi="Arial" w:cs="Arial"/>
          <w:sz w:val="22"/>
          <w:szCs w:val="22"/>
        </w:rPr>
        <w:t>25µm</w:t>
      </w:r>
      <w:r>
        <w:rPr>
          <w:rFonts w:ascii="Arial" w:hAnsi="Arial" w:cs="Arial"/>
          <w:sz w:val="22"/>
          <w:szCs w:val="22"/>
        </w:rPr>
        <w:t xml:space="preserve">, </w:t>
      </w:r>
      <w:r w:rsidR="00042F81">
        <w:rPr>
          <w:rFonts w:ascii="Arial" w:hAnsi="Arial" w:cs="Arial"/>
          <w:sz w:val="22"/>
          <w:szCs w:val="22"/>
        </w:rPr>
        <w:t>4.5 x 4.5</w:t>
      </w:r>
      <w:r>
        <w:rPr>
          <w:rFonts w:ascii="Arial" w:hAnsi="Arial" w:cs="Arial"/>
          <w:sz w:val="22"/>
          <w:szCs w:val="22"/>
        </w:rPr>
        <w:t xml:space="preserve"> cm</w:t>
      </w:r>
      <w:r w:rsidRPr="00AD5AB9">
        <w:rPr>
          <w:rFonts w:ascii="Arial" w:hAnsi="Arial" w:cs="Arial"/>
          <w:sz w:val="22"/>
          <w:szCs w:val="22"/>
          <w:vertAlign w:val="superscript"/>
        </w:rPr>
        <w:t>2</w:t>
      </w:r>
      <w:r>
        <w:rPr>
          <w:rFonts w:ascii="Arial" w:hAnsi="Arial" w:cs="Arial"/>
          <w:sz w:val="22"/>
          <w:szCs w:val="22"/>
        </w:rPr>
        <w:t>)</w:t>
      </w:r>
      <w:r w:rsidRPr="00B9711B">
        <w:rPr>
          <w:rFonts w:ascii="Arial" w:hAnsi="Arial" w:cs="Arial"/>
          <w:sz w:val="22"/>
          <w:szCs w:val="22"/>
        </w:rPr>
        <w:t xml:space="preserve">, and </w:t>
      </w:r>
      <w:r w:rsidR="00042F81">
        <w:rPr>
          <w:rFonts w:ascii="Arial" w:hAnsi="Arial" w:cs="Arial"/>
          <w:sz w:val="22"/>
          <w:szCs w:val="22"/>
        </w:rPr>
        <w:t xml:space="preserve">20-40%Pt/C or </w:t>
      </w:r>
      <w:r>
        <w:rPr>
          <w:rFonts w:ascii="Arial" w:hAnsi="Arial" w:cs="Arial"/>
          <w:sz w:val="22"/>
          <w:szCs w:val="22"/>
        </w:rPr>
        <w:t>0.5Ni-SAC (</w:t>
      </w:r>
      <w:r w:rsidR="00042F81">
        <w:rPr>
          <w:rFonts w:ascii="Arial" w:hAnsi="Arial" w:cs="Arial"/>
          <w:sz w:val="22"/>
          <w:szCs w:val="22"/>
        </w:rPr>
        <w:t>2.</w:t>
      </w:r>
      <w:r>
        <w:rPr>
          <w:rFonts w:ascii="Arial" w:hAnsi="Arial" w:cs="Arial"/>
          <w:sz w:val="22"/>
          <w:szCs w:val="22"/>
        </w:rPr>
        <w:t xml:space="preserve">5 x </w:t>
      </w:r>
      <w:r w:rsidR="00042F81">
        <w:rPr>
          <w:rFonts w:ascii="Arial" w:hAnsi="Arial" w:cs="Arial"/>
          <w:sz w:val="22"/>
          <w:szCs w:val="22"/>
        </w:rPr>
        <w:t>2.</w:t>
      </w:r>
      <w:r>
        <w:rPr>
          <w:rFonts w:ascii="Arial" w:hAnsi="Arial" w:cs="Arial"/>
          <w:sz w:val="22"/>
          <w:szCs w:val="22"/>
        </w:rPr>
        <w:t>5 cm</w:t>
      </w:r>
      <w:r w:rsidRPr="00AD5AB9">
        <w:rPr>
          <w:rFonts w:ascii="Arial" w:hAnsi="Arial" w:cs="Arial"/>
          <w:sz w:val="22"/>
          <w:szCs w:val="22"/>
          <w:vertAlign w:val="superscript"/>
        </w:rPr>
        <w:t>2</w:t>
      </w:r>
      <w:r>
        <w:rPr>
          <w:rFonts w:ascii="Arial" w:hAnsi="Arial" w:cs="Arial"/>
          <w:sz w:val="22"/>
          <w:szCs w:val="22"/>
        </w:rPr>
        <w:t xml:space="preserve">) </w:t>
      </w:r>
      <w:r w:rsidRPr="00B9711B">
        <w:rPr>
          <w:rFonts w:ascii="Arial" w:hAnsi="Arial" w:cs="Arial"/>
          <w:sz w:val="22"/>
          <w:szCs w:val="22"/>
        </w:rPr>
        <w:t>were employed as the anode, membrane, and cathode electrode, respectively.</w:t>
      </w:r>
      <w:r w:rsidR="00042F81">
        <w:rPr>
          <w:rFonts w:ascii="Arial" w:hAnsi="Arial" w:cs="Arial"/>
          <w:sz w:val="22"/>
          <w:szCs w:val="22"/>
        </w:rPr>
        <w:t xml:space="preserve"> The humidified 20ml/min of H</w:t>
      </w:r>
      <w:r w:rsidR="00042F81" w:rsidRPr="00042F81">
        <w:rPr>
          <w:rFonts w:ascii="Arial" w:hAnsi="Arial" w:cs="Arial"/>
          <w:sz w:val="22"/>
          <w:szCs w:val="22"/>
          <w:vertAlign w:val="subscript"/>
        </w:rPr>
        <w:t>2</w:t>
      </w:r>
      <w:r w:rsidR="00042F81">
        <w:rPr>
          <w:rFonts w:ascii="Arial" w:hAnsi="Arial" w:cs="Arial"/>
          <w:sz w:val="22"/>
          <w:szCs w:val="22"/>
        </w:rPr>
        <w:t xml:space="preserve"> and 30ml/min of SFG gas streams were introduced into the anode and cathode sides, respectively. Prior the test, the cell was activated through operating an OCV measurement for 30min, followed by electrochemical impedance spectroscopy (EIS). The cathodic outlet was directly injected into an on-line gas chromatography </w:t>
      </w:r>
      <w:r w:rsidR="00917489">
        <w:rPr>
          <w:rFonts w:ascii="Arial" w:hAnsi="Arial" w:cs="Arial"/>
          <w:sz w:val="22"/>
          <w:szCs w:val="22"/>
        </w:rPr>
        <w:t>to quantify the O</w:t>
      </w:r>
      <w:r w:rsidR="00917489" w:rsidRPr="00917489">
        <w:rPr>
          <w:rFonts w:ascii="Arial" w:hAnsi="Arial" w:cs="Arial"/>
          <w:sz w:val="22"/>
          <w:szCs w:val="22"/>
          <w:vertAlign w:val="subscript"/>
        </w:rPr>
        <w:t>2</w:t>
      </w:r>
      <w:r w:rsidR="00917489">
        <w:rPr>
          <w:rFonts w:ascii="Arial" w:hAnsi="Arial" w:cs="Arial"/>
          <w:sz w:val="22"/>
          <w:szCs w:val="22"/>
        </w:rPr>
        <w:t>, H</w:t>
      </w:r>
      <w:r w:rsidR="00917489" w:rsidRPr="00917489">
        <w:rPr>
          <w:rFonts w:ascii="Arial" w:hAnsi="Arial" w:cs="Arial"/>
          <w:sz w:val="22"/>
          <w:szCs w:val="22"/>
          <w:vertAlign w:val="subscript"/>
        </w:rPr>
        <w:t>2</w:t>
      </w:r>
      <w:r w:rsidR="00917489">
        <w:rPr>
          <w:rFonts w:ascii="Arial" w:hAnsi="Arial" w:cs="Arial"/>
          <w:sz w:val="22"/>
          <w:szCs w:val="22"/>
        </w:rPr>
        <w:t>, and CO</w:t>
      </w:r>
      <w:r w:rsidR="00917489" w:rsidRPr="00917489">
        <w:rPr>
          <w:rFonts w:ascii="Arial" w:hAnsi="Arial" w:cs="Arial"/>
          <w:sz w:val="22"/>
          <w:szCs w:val="22"/>
          <w:vertAlign w:val="subscript"/>
        </w:rPr>
        <w:t>2</w:t>
      </w:r>
      <w:r w:rsidR="00917489">
        <w:rPr>
          <w:rFonts w:ascii="Arial" w:hAnsi="Arial" w:cs="Arial"/>
          <w:sz w:val="22"/>
          <w:szCs w:val="22"/>
        </w:rPr>
        <w:t xml:space="preserve"> gases.</w:t>
      </w:r>
    </w:p>
    <w:p w14:paraId="2531C107" w14:textId="77777777" w:rsidR="00492EC2" w:rsidRPr="00B9711B" w:rsidRDefault="00492EC2" w:rsidP="001C4724">
      <w:pPr>
        <w:spacing w:line="360" w:lineRule="auto"/>
        <w:jc w:val="both"/>
        <w:rPr>
          <w:rFonts w:ascii="Arial" w:hAnsi="Arial" w:cs="Arial"/>
          <w:sz w:val="22"/>
          <w:szCs w:val="22"/>
        </w:rPr>
      </w:pPr>
    </w:p>
    <w:p w14:paraId="4E8EEFFC" w14:textId="585FC3B7" w:rsidR="007F51A9" w:rsidRPr="00917489" w:rsidRDefault="007A0E69" w:rsidP="003D7A3B">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22E30B01" w14:textId="74F39853" w:rsidR="007F51A9" w:rsidRPr="007F51A9" w:rsidRDefault="007F51A9" w:rsidP="007F51A9">
      <w:pPr>
        <w:spacing w:line="360" w:lineRule="auto"/>
        <w:rPr>
          <w:rFonts w:ascii="Arial" w:hAnsi="Arial" w:cs="Arial"/>
          <w:b/>
          <w:bCs/>
          <w:sz w:val="22"/>
          <w:szCs w:val="22"/>
        </w:rPr>
      </w:pPr>
      <w:r w:rsidRPr="007F51A9">
        <w:rPr>
          <w:rFonts w:ascii="Arial" w:hAnsi="Arial" w:cs="Arial"/>
          <w:b/>
          <w:bCs/>
          <w:sz w:val="22"/>
          <w:szCs w:val="22"/>
        </w:rPr>
        <w:t>Optimization of Fuel cell – CO2RR coupling system for direct flue gas conversion</w:t>
      </w:r>
    </w:p>
    <w:p w14:paraId="06A16A52" w14:textId="691A6196" w:rsidR="007F51A9" w:rsidRDefault="000B5618" w:rsidP="000B5618">
      <w:pPr>
        <w:spacing w:line="360" w:lineRule="auto"/>
        <w:jc w:val="thaiDistribute"/>
        <w:rPr>
          <w:rFonts w:ascii="Arial" w:eastAsiaTheme="minorHAnsi" w:hAnsi="Arial" w:cs="Arial"/>
          <w:sz w:val="22"/>
          <w:szCs w:val="22"/>
          <w:lang w:bidi="km-KH"/>
          <w14:ligatures w14:val="standardContextual"/>
        </w:rPr>
      </w:pPr>
      <w:r w:rsidRPr="000B5618">
        <w:rPr>
          <w:rFonts w:ascii="Arial" w:eastAsiaTheme="minorHAnsi" w:hAnsi="Arial" w:cs="Arial"/>
          <w:sz w:val="22"/>
          <w:szCs w:val="22"/>
          <w:lang w:bidi="km-KH"/>
          <w14:ligatures w14:val="standardContextual"/>
        </w:rPr>
        <w:t>Previous studies have demonstrated that direct electrochemical conversion of flue gas suffers from intrinsically poor CO selectivity and operational instability due to the thermodynamic and kinetic favorability of the oxygen reduction reaction (ORR) over the carbon dioxide reduction reaction (CO</w:t>
      </w:r>
      <w:r w:rsidRPr="000B5618">
        <w:rPr>
          <w:rFonts w:ascii="Cambria Math" w:eastAsiaTheme="minorHAnsi" w:hAnsi="Cambria Math" w:cs="Cambria Math"/>
          <w:sz w:val="22"/>
          <w:szCs w:val="22"/>
          <w:lang w:bidi="km-KH"/>
          <w14:ligatures w14:val="standardContextual"/>
        </w:rPr>
        <w:t>₂</w:t>
      </w:r>
      <w:r w:rsidRPr="000B5618">
        <w:rPr>
          <w:rFonts w:ascii="Arial" w:eastAsiaTheme="minorHAnsi" w:hAnsi="Arial" w:cs="Arial"/>
          <w:sz w:val="22"/>
          <w:szCs w:val="22"/>
          <w:lang w:bidi="km-KH"/>
          <w14:ligatures w14:val="standardContextual"/>
        </w:rPr>
        <w:t>RR). Even low concentrations of oxygen strongly compete for electrons at the cathode, resulting in parasitic current loss and rapid performance degradation. To address this fundamental limitation, we propose a coupled CO</w:t>
      </w:r>
      <w:r w:rsidRPr="000B5618">
        <w:rPr>
          <w:rFonts w:ascii="Cambria Math" w:eastAsiaTheme="minorHAnsi" w:hAnsi="Cambria Math" w:cs="Cambria Math"/>
          <w:sz w:val="22"/>
          <w:szCs w:val="22"/>
          <w:lang w:bidi="km-KH"/>
          <w14:ligatures w14:val="standardContextual"/>
        </w:rPr>
        <w:t>₂</w:t>
      </w:r>
      <w:r w:rsidRPr="000B5618">
        <w:rPr>
          <w:rFonts w:ascii="Arial" w:eastAsiaTheme="minorHAnsi" w:hAnsi="Arial" w:cs="Arial"/>
          <w:sz w:val="22"/>
          <w:szCs w:val="22"/>
          <w:lang w:bidi="km-KH"/>
          <w14:ligatures w14:val="standardContextual"/>
        </w:rPr>
        <w:t>RR–fuel cell operation strategy in which flue gas is first electrochemically deoxygenated in a proton-exchange membrane (PEM) fuel cell prior to CO</w:t>
      </w:r>
      <w:r w:rsidRPr="000B5618">
        <w:rPr>
          <w:rFonts w:ascii="Cambria Math" w:eastAsiaTheme="minorHAnsi" w:hAnsi="Cambria Math" w:cs="Cambria Math"/>
          <w:sz w:val="22"/>
          <w:szCs w:val="22"/>
          <w:lang w:bidi="km-KH"/>
          <w14:ligatures w14:val="standardContextual"/>
        </w:rPr>
        <w:t>₂</w:t>
      </w:r>
      <w:r w:rsidRPr="000B5618">
        <w:rPr>
          <w:rFonts w:ascii="Arial" w:eastAsiaTheme="minorHAnsi" w:hAnsi="Arial" w:cs="Arial"/>
          <w:sz w:val="22"/>
          <w:szCs w:val="22"/>
          <w:lang w:bidi="km-KH"/>
          <w14:ligatures w14:val="standardContextual"/>
        </w:rPr>
        <w:t xml:space="preserve"> electrolysis. In this configuration, oxygen is selectively removed via ORR at the fuel cell cathode, while hydrogen oxidation at the anode sustains charge balance and simultaneously generates electrical power.</w:t>
      </w:r>
    </w:p>
    <w:p w14:paraId="427EAB83" w14:textId="77777777" w:rsidR="000B5618" w:rsidRDefault="000B5618" w:rsidP="000B5618">
      <w:pPr>
        <w:spacing w:line="360" w:lineRule="auto"/>
        <w:jc w:val="thaiDistribute"/>
        <w:rPr>
          <w:rFonts w:ascii="Arial" w:eastAsiaTheme="minorHAnsi" w:hAnsi="Arial" w:cs="Arial"/>
          <w:sz w:val="22"/>
          <w:szCs w:val="22"/>
          <w:lang w:bidi="km-KH"/>
          <w14:ligatures w14:val="standardContextual"/>
        </w:rPr>
      </w:pPr>
    </w:p>
    <w:p w14:paraId="11A44522" w14:textId="55308185" w:rsidR="007F51A9" w:rsidRDefault="00F32207" w:rsidP="00F32207">
      <w:pPr>
        <w:spacing w:line="360" w:lineRule="auto"/>
        <w:jc w:val="thaiDistribute"/>
        <w:rPr>
          <w:rFonts w:ascii="Arial" w:hAnsi="Arial" w:cs="Arial"/>
          <w:b/>
          <w:bCs/>
          <w:sz w:val="22"/>
          <w:szCs w:val="22"/>
        </w:rPr>
      </w:pPr>
      <w:r w:rsidRPr="00F32207">
        <w:rPr>
          <w:rFonts w:ascii="Arial" w:eastAsiaTheme="minorHAnsi" w:hAnsi="Arial" w:cs="Arial"/>
          <w:sz w:val="22"/>
          <w:szCs w:val="22"/>
          <w:lang w:bidi="km-KH"/>
          <w14:ligatures w14:val="standardContextual"/>
        </w:rPr>
        <w:t>As shown in the I–V–P curves in Figure 1a and b, the symmetrical cell configuration using a 20 wt% Pt/C catalyst exhibited a wider current density range in fuel-cell mode and a higher maximum power density (P</w:t>
      </w:r>
      <w:r w:rsidRPr="00F32207">
        <w:rPr>
          <w:rFonts w:ascii="Arial" w:eastAsiaTheme="minorHAnsi" w:hAnsi="Arial" w:cs="Arial"/>
          <w:sz w:val="22"/>
          <w:szCs w:val="22"/>
          <w:vertAlign w:val="subscript"/>
          <w:lang w:bidi="km-KH"/>
          <w14:ligatures w14:val="standardContextual"/>
        </w:rPr>
        <w:t>max</w:t>
      </w:r>
      <w:r w:rsidRPr="00F32207">
        <w:rPr>
          <w:rFonts w:ascii="Arial" w:eastAsiaTheme="minorHAnsi" w:hAnsi="Arial" w:cs="Arial"/>
          <w:sz w:val="22"/>
          <w:szCs w:val="22"/>
          <w:lang w:bidi="km-KH"/>
          <w14:ligatures w14:val="standardContextual"/>
        </w:rPr>
        <w:t xml:space="preserve">) than the asymmetric system employing a 20 wt% Pt/C anode and a 0.5Ni-SAC cathode. These results indicate that the symmetrical 20 wt% Pt/C configuration requires less energy to remove oxygen from the SFG stream at the cathode. To determine the optimal applied current density for complete oxygen removal from SFG, </w:t>
      </w:r>
      <w:r w:rsidRPr="00F32207">
        <w:rPr>
          <w:rFonts w:ascii="Arial" w:eastAsiaTheme="minorHAnsi" w:hAnsi="Arial" w:cs="Arial"/>
          <w:sz w:val="22"/>
          <w:szCs w:val="22"/>
          <w:lang w:bidi="km-KH"/>
          <w14:ligatures w14:val="standardContextual"/>
        </w:rPr>
        <w:lastRenderedPageBreak/>
        <w:t>deoxygenation experiments were conducted in a PEM fuel cell using flow rates of 30 mL min</w:t>
      </w:r>
      <w:r w:rsidRPr="00F32207">
        <w:rPr>
          <w:rFonts w:ascii="Cambria Math" w:eastAsiaTheme="minorHAnsi" w:hAnsi="Cambria Math" w:cs="Cambria Math"/>
          <w:sz w:val="22"/>
          <w:szCs w:val="22"/>
          <w:lang w:bidi="km-KH"/>
          <w14:ligatures w14:val="standardContextual"/>
        </w:rPr>
        <w:t>⁻</w:t>
      </w:r>
      <w:r w:rsidRPr="00F32207">
        <w:rPr>
          <w:rFonts w:ascii="Arial" w:eastAsiaTheme="minorHAnsi" w:hAnsi="Arial" w:cs="Arial"/>
          <w:sz w:val="22"/>
          <w:szCs w:val="22"/>
          <w:lang w:bidi="km-KH"/>
          <w14:ligatures w14:val="standardContextual"/>
        </w:rPr>
        <w:t>¹ SFG and 20 mL min</w:t>
      </w:r>
      <w:r w:rsidRPr="00F32207">
        <w:rPr>
          <w:rFonts w:ascii="Cambria Math" w:eastAsiaTheme="minorHAnsi" w:hAnsi="Cambria Math" w:cs="Cambria Math"/>
          <w:sz w:val="22"/>
          <w:szCs w:val="22"/>
          <w:lang w:bidi="km-KH"/>
          <w14:ligatures w14:val="standardContextual"/>
        </w:rPr>
        <w:t>⁻</w:t>
      </w:r>
      <w:r w:rsidRPr="00F32207">
        <w:rPr>
          <w:rFonts w:ascii="Arial" w:eastAsiaTheme="minorHAnsi" w:hAnsi="Arial" w:cs="Arial"/>
          <w:sz w:val="22"/>
          <w:szCs w:val="22"/>
          <w:lang w:bidi="km-KH"/>
          <w14:ligatures w14:val="standardContextual"/>
        </w:rPr>
        <w:t>¹ H</w:t>
      </w:r>
      <w:r w:rsidRPr="00F32207">
        <w:rPr>
          <w:rFonts w:ascii="Cambria Math" w:eastAsiaTheme="minorHAnsi" w:hAnsi="Cambria Math" w:cs="Cambria Math"/>
          <w:sz w:val="22"/>
          <w:szCs w:val="22"/>
          <w:lang w:bidi="km-KH"/>
          <w14:ligatures w14:val="standardContextual"/>
        </w:rPr>
        <w:t>₂</w:t>
      </w:r>
      <w:r w:rsidRPr="00F32207">
        <w:rPr>
          <w:rFonts w:ascii="Arial" w:eastAsiaTheme="minorHAnsi" w:hAnsi="Arial" w:cs="Arial"/>
          <w:sz w:val="22"/>
          <w:szCs w:val="22"/>
          <w:lang w:bidi="km-KH"/>
          <w14:ligatures w14:val="standardContextual"/>
        </w:rPr>
        <w:t xml:space="preserve"> over an applied current range of 300–500 mA. As shown in Figure 1c, the residual oxygen concentration was 1.92% at an applied current of 300 mA, with no detectable byproducts. Increasing the applied current to 450 mA further reduced the oxygen content to 0.42% and</w:t>
      </w:r>
      <w:r>
        <w:rPr>
          <w:rFonts w:ascii="Arial" w:eastAsiaTheme="minorHAnsi" w:hAnsi="Arial" w:cs="Arial"/>
          <w:sz w:val="22"/>
          <w:szCs w:val="22"/>
          <w:lang w:bidi="km-KH"/>
          <w14:ligatures w14:val="standardContextual"/>
        </w:rPr>
        <w:t xml:space="preserve"> also </w:t>
      </w:r>
      <w:r w:rsidRPr="00F32207">
        <w:rPr>
          <w:rFonts w:ascii="Arial" w:eastAsiaTheme="minorHAnsi" w:hAnsi="Arial" w:cs="Arial"/>
          <w:sz w:val="22"/>
          <w:szCs w:val="22"/>
          <w:lang w:bidi="km-KH"/>
          <w14:ligatures w14:val="standardContextual"/>
        </w:rPr>
        <w:t>accompanied by a</w:t>
      </w:r>
      <w:r>
        <w:rPr>
          <w:rFonts w:ascii="Arial" w:eastAsiaTheme="minorHAnsi" w:hAnsi="Arial" w:cs="Arial"/>
          <w:sz w:val="22"/>
          <w:szCs w:val="22"/>
          <w:lang w:bidi="km-KH"/>
          <w14:ligatures w14:val="standardContextual"/>
        </w:rPr>
        <w:t xml:space="preserve">n </w:t>
      </w:r>
      <w:r w:rsidRPr="00F32207">
        <w:rPr>
          <w:rFonts w:ascii="Arial" w:eastAsiaTheme="minorHAnsi" w:hAnsi="Arial" w:cs="Arial"/>
          <w:sz w:val="22"/>
          <w:szCs w:val="22"/>
          <w:lang w:bidi="km-KH"/>
          <w14:ligatures w14:val="standardContextual"/>
        </w:rPr>
        <w:t>FE</w:t>
      </w:r>
      <w:r>
        <w:rPr>
          <w:rFonts w:ascii="Arial" w:eastAsiaTheme="minorHAnsi" w:hAnsi="Arial" w:cs="Arial"/>
          <w:sz w:val="22"/>
          <w:szCs w:val="22"/>
          <w:lang w:bidi="km-KH"/>
          <w14:ligatures w14:val="standardContextual"/>
        </w:rPr>
        <w:t>(H</w:t>
      </w:r>
      <w:r w:rsidRPr="00F32207">
        <w:rPr>
          <w:rFonts w:ascii="Arial" w:eastAsiaTheme="minorHAnsi" w:hAnsi="Arial" w:cs="Arial"/>
          <w:sz w:val="22"/>
          <w:szCs w:val="22"/>
          <w:vertAlign w:val="subscript"/>
          <w:lang w:bidi="km-KH"/>
          <w14:ligatures w14:val="standardContextual"/>
        </w:rPr>
        <w:t>2</w:t>
      </w:r>
      <w:r>
        <w:rPr>
          <w:rFonts w:ascii="Arial" w:eastAsiaTheme="minorHAnsi" w:hAnsi="Arial" w:cs="Arial"/>
          <w:sz w:val="22"/>
          <w:szCs w:val="22"/>
          <w:lang w:bidi="km-KH"/>
          <w14:ligatures w14:val="standardContextual"/>
        </w:rPr>
        <w:t>)</w:t>
      </w:r>
      <w:r w:rsidRPr="00F32207">
        <w:rPr>
          <w:rFonts w:ascii="Arial" w:eastAsiaTheme="minorHAnsi" w:hAnsi="Arial" w:cs="Arial"/>
          <w:sz w:val="22"/>
          <w:szCs w:val="22"/>
          <w:lang w:bidi="km-KH"/>
          <w14:ligatures w14:val="standardContextual"/>
        </w:rPr>
        <w:t xml:space="preserve"> of 5.45%. Further increasing the applied current to 500 mA resulted in only a marginal improvement in oxygen removal, while FE</w:t>
      </w:r>
      <w:r>
        <w:rPr>
          <w:rFonts w:ascii="Arial" w:eastAsiaTheme="minorHAnsi" w:hAnsi="Arial" w:cs="Arial"/>
          <w:sz w:val="22"/>
          <w:szCs w:val="22"/>
          <w:lang w:bidi="km-KH"/>
          <w14:ligatures w14:val="standardContextual"/>
        </w:rPr>
        <w:t>(H</w:t>
      </w:r>
      <w:r w:rsidRPr="00F32207">
        <w:rPr>
          <w:rFonts w:ascii="Arial" w:eastAsiaTheme="minorHAnsi" w:hAnsi="Arial" w:cs="Arial"/>
          <w:sz w:val="22"/>
          <w:szCs w:val="22"/>
          <w:vertAlign w:val="subscript"/>
          <w:lang w:bidi="km-KH"/>
          <w14:ligatures w14:val="standardContextual"/>
        </w:rPr>
        <w:t>2</w:t>
      </w:r>
      <w:r>
        <w:rPr>
          <w:rFonts w:ascii="Arial" w:eastAsiaTheme="minorHAnsi" w:hAnsi="Arial" w:cs="Arial"/>
          <w:sz w:val="22"/>
          <w:szCs w:val="22"/>
          <w:lang w:bidi="km-KH"/>
          <w14:ligatures w14:val="standardContextual"/>
        </w:rPr>
        <w:t xml:space="preserve">) </w:t>
      </w:r>
      <w:r w:rsidRPr="00F32207">
        <w:rPr>
          <w:rFonts w:ascii="Arial" w:eastAsiaTheme="minorHAnsi" w:hAnsi="Arial" w:cs="Arial"/>
          <w:sz w:val="22"/>
          <w:szCs w:val="22"/>
          <w:lang w:bidi="km-KH"/>
          <w14:ligatures w14:val="standardContextual"/>
        </w:rPr>
        <w:t xml:space="preserve">increased substantially to </w:t>
      </w:r>
      <w:r>
        <w:rPr>
          <w:rFonts w:ascii="Arial" w:eastAsiaTheme="minorHAnsi" w:hAnsi="Arial" w:cs="Arial"/>
          <w:sz w:val="22"/>
          <w:szCs w:val="22"/>
          <w:lang w:bidi="km-KH"/>
          <w14:ligatures w14:val="standardContextual"/>
        </w:rPr>
        <w:t>~</w:t>
      </w:r>
      <w:r w:rsidRPr="00F32207">
        <w:rPr>
          <w:rFonts w:ascii="Arial" w:eastAsiaTheme="minorHAnsi" w:hAnsi="Arial" w:cs="Arial"/>
          <w:sz w:val="22"/>
          <w:szCs w:val="22"/>
          <w:lang w:bidi="km-KH"/>
          <w14:ligatures w14:val="standardContextual"/>
        </w:rPr>
        <w:t xml:space="preserve">16%, indicating the onset of oxygen mass-transport limitation at high current density. In contrast, the fuel-cell system employing a 0.5Ni-SAC cathode exhibited significantly poorer oxygen removal performance, with a residual oxygen concentration of 1.94% and a high </w:t>
      </w:r>
      <w:r w:rsidR="000F1DA5">
        <w:rPr>
          <w:rFonts w:ascii="Arial" w:eastAsiaTheme="minorHAnsi" w:hAnsi="Arial" w:cs="Arial"/>
          <w:sz w:val="22"/>
          <w:szCs w:val="22"/>
          <w:lang w:bidi="km-KH"/>
          <w14:ligatures w14:val="standardContextual"/>
        </w:rPr>
        <w:t>H2 formation with</w:t>
      </w:r>
      <w:r w:rsidRPr="00F32207">
        <w:rPr>
          <w:rFonts w:ascii="Arial" w:eastAsiaTheme="minorHAnsi" w:hAnsi="Arial" w:cs="Arial"/>
          <w:sz w:val="22"/>
          <w:szCs w:val="22"/>
          <w:lang w:bidi="km-KH"/>
          <w14:ligatures w14:val="standardContextual"/>
        </w:rPr>
        <w:t xml:space="preserve"> FE</w:t>
      </w:r>
      <w:r w:rsidR="000F1DA5">
        <w:rPr>
          <w:rFonts w:ascii="Arial" w:eastAsiaTheme="minorHAnsi" w:hAnsi="Arial" w:cs="Arial"/>
          <w:sz w:val="22"/>
          <w:szCs w:val="22"/>
          <w:lang w:bidi="km-KH"/>
          <w14:ligatures w14:val="standardContextual"/>
        </w:rPr>
        <w:t>(H</w:t>
      </w:r>
      <w:r w:rsidR="000F1DA5" w:rsidRPr="000F1DA5">
        <w:rPr>
          <w:rFonts w:ascii="Arial" w:eastAsiaTheme="minorHAnsi" w:hAnsi="Arial" w:cs="Arial"/>
          <w:sz w:val="22"/>
          <w:szCs w:val="22"/>
          <w:vertAlign w:val="subscript"/>
          <w:lang w:bidi="km-KH"/>
          <w14:ligatures w14:val="standardContextual"/>
        </w:rPr>
        <w:t>2</w:t>
      </w:r>
      <w:r w:rsidR="000F1DA5">
        <w:rPr>
          <w:rFonts w:ascii="Arial" w:eastAsiaTheme="minorHAnsi" w:hAnsi="Arial" w:cs="Arial"/>
          <w:sz w:val="22"/>
          <w:szCs w:val="22"/>
          <w:lang w:bidi="km-KH"/>
          <w14:ligatures w14:val="standardContextual"/>
        </w:rPr>
        <w:t>)</w:t>
      </w:r>
      <w:r w:rsidRPr="00F32207">
        <w:rPr>
          <w:rFonts w:ascii="Arial" w:eastAsiaTheme="minorHAnsi" w:hAnsi="Arial" w:cs="Arial"/>
          <w:sz w:val="22"/>
          <w:szCs w:val="22"/>
          <w:lang w:bidi="km-KH"/>
          <w14:ligatures w14:val="standardContextual"/>
        </w:rPr>
        <w:t xml:space="preserve"> ≈ 43% at an applied current of 500 mA, compared to the symmetrical 20 wt% Pt/C system. These results suggest that, in the CEM cell configuration, the high proton flux at the </w:t>
      </w:r>
      <w:r w:rsidR="000F1DA5">
        <w:rPr>
          <w:rFonts w:ascii="Arial" w:eastAsiaTheme="minorHAnsi" w:hAnsi="Arial" w:cs="Arial"/>
          <w:sz w:val="22"/>
          <w:szCs w:val="22"/>
          <w:lang w:bidi="km-KH"/>
          <w14:ligatures w14:val="standardContextual"/>
        </w:rPr>
        <w:t xml:space="preserve">0.5NiSAC </w:t>
      </w:r>
      <w:r w:rsidRPr="00F32207">
        <w:rPr>
          <w:rFonts w:ascii="Arial" w:eastAsiaTheme="minorHAnsi" w:hAnsi="Arial" w:cs="Arial"/>
          <w:sz w:val="22"/>
          <w:szCs w:val="22"/>
          <w:lang w:bidi="km-KH"/>
          <w14:ligatures w14:val="standardContextual"/>
        </w:rPr>
        <w:t>catalyst surface promotes competitive hydrogen evolution over oxygen reduction, leading to inferior deoxygenation performance.</w:t>
      </w:r>
    </w:p>
    <w:p w14:paraId="1E470A6C" w14:textId="6DCACF5F" w:rsidR="007F51A9" w:rsidRPr="00853033" w:rsidRDefault="007F51A9" w:rsidP="003D7A3B">
      <w:pPr>
        <w:spacing w:line="360" w:lineRule="auto"/>
        <w:rPr>
          <w:rFonts w:ascii="Arial" w:hAnsi="Arial" w:cstheme="minorBidi"/>
          <w:b/>
          <w:bCs/>
          <w:sz w:val="22"/>
          <w:szCs w:val="22"/>
        </w:rPr>
      </w:pPr>
      <w:r w:rsidRPr="007F51A9">
        <w:rPr>
          <w:rFonts w:ascii="Arial" w:hAnsi="Arial" w:cs="Angsana New"/>
          <w:b/>
          <w:bCs/>
          <w:noProof/>
          <w:sz w:val="22"/>
          <w:szCs w:val="22"/>
          <w:cs/>
        </w:rPr>
        <w:drawing>
          <wp:inline distT="0" distB="0" distL="0" distR="0" wp14:anchorId="3756E6D9" wp14:editId="04453339">
            <wp:extent cx="5875263" cy="3227294"/>
            <wp:effectExtent l="0" t="0" r="5080" b="0"/>
            <wp:docPr id="109155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54482" name=""/>
                    <pic:cNvPicPr/>
                  </pic:nvPicPr>
                  <pic:blipFill>
                    <a:blip r:embed="rId7"/>
                    <a:stretch>
                      <a:fillRect/>
                    </a:stretch>
                  </pic:blipFill>
                  <pic:spPr>
                    <a:xfrm>
                      <a:off x="0" y="0"/>
                      <a:ext cx="5878391" cy="3229012"/>
                    </a:xfrm>
                    <a:prstGeom prst="rect">
                      <a:avLst/>
                    </a:prstGeom>
                  </pic:spPr>
                </pic:pic>
              </a:graphicData>
            </a:graphic>
          </wp:inline>
        </w:drawing>
      </w:r>
    </w:p>
    <w:p w14:paraId="0D8DDF96" w14:textId="188267A9" w:rsidR="007F51A9" w:rsidRPr="007F51A9" w:rsidRDefault="007F51A9" w:rsidP="007F51A9">
      <w:pPr>
        <w:spacing w:line="360" w:lineRule="auto"/>
        <w:jc w:val="thaiDistribute"/>
        <w:rPr>
          <w:rFonts w:ascii="Arial" w:hAnsi="Arial" w:cs="Browallia New"/>
          <w:b/>
          <w:bCs/>
          <w:sz w:val="22"/>
          <w:szCs w:val="28"/>
        </w:rPr>
      </w:pPr>
      <w:r w:rsidRPr="007F51A9">
        <w:rPr>
          <w:rFonts w:ascii="Arial" w:hAnsi="Arial" w:cs="Arial"/>
          <w:b/>
          <w:bCs/>
          <w:sz w:val="22"/>
          <w:szCs w:val="22"/>
          <w:lang/>
        </w:rPr>
        <w:t>Figure 1. Polarization curve and power density for PEM Fuel cell of (a) symmetrical cell of 20%Pt/C (1mg/cm</w:t>
      </w:r>
      <w:r w:rsidRPr="007F51A9">
        <w:rPr>
          <w:rFonts w:ascii="Arial" w:hAnsi="Arial" w:cs="Arial"/>
          <w:b/>
          <w:bCs/>
          <w:sz w:val="22"/>
          <w:szCs w:val="22"/>
          <w:vertAlign w:val="superscript"/>
          <w:lang/>
        </w:rPr>
        <w:t>2</w:t>
      </w:r>
      <w:r w:rsidRPr="007F51A9">
        <w:rPr>
          <w:rFonts w:ascii="Arial" w:hAnsi="Arial" w:cs="Arial"/>
          <w:b/>
          <w:bCs/>
          <w:sz w:val="22"/>
          <w:szCs w:val="22"/>
          <w:lang/>
        </w:rPr>
        <w:t>) and (b) 20%Pt/C (1mg/cm</w:t>
      </w:r>
      <w:r w:rsidRPr="007F51A9">
        <w:rPr>
          <w:rFonts w:ascii="Arial" w:hAnsi="Arial" w:cs="Arial"/>
          <w:b/>
          <w:bCs/>
          <w:sz w:val="22"/>
          <w:szCs w:val="22"/>
          <w:vertAlign w:val="superscript"/>
          <w:lang/>
        </w:rPr>
        <w:t>2</w:t>
      </w:r>
      <w:r w:rsidRPr="007F51A9">
        <w:rPr>
          <w:rFonts w:ascii="Arial" w:hAnsi="Arial" w:cs="Arial"/>
          <w:b/>
          <w:bCs/>
          <w:sz w:val="22"/>
          <w:szCs w:val="22"/>
          <w:lang/>
        </w:rPr>
        <w:t>) anode and 0.5NiSAC cathode.</w:t>
      </w:r>
      <w:r>
        <w:rPr>
          <w:rFonts w:ascii="Arial" w:hAnsi="Arial" w:cs="Arial" w:hint="cs"/>
          <w:b/>
          <w:bCs/>
          <w:sz w:val="22"/>
          <w:szCs w:val="22"/>
          <w:cs/>
          <w:lang/>
        </w:rPr>
        <w:t xml:space="preserve"> </w:t>
      </w:r>
      <w:r w:rsidRPr="007F51A9">
        <w:rPr>
          <w:rFonts w:ascii="Arial" w:hAnsi="Arial" w:cs="Arial"/>
          <w:b/>
          <w:bCs/>
          <w:sz w:val="22"/>
          <w:szCs w:val="22"/>
        </w:rPr>
        <w:t>D</w:t>
      </w:r>
      <w:r w:rsidRPr="007F51A9">
        <w:rPr>
          <w:rFonts w:ascii="Arial" w:hAnsi="Arial" w:cs="Arial"/>
          <w:b/>
          <w:bCs/>
          <w:sz w:val="22"/>
          <w:szCs w:val="22"/>
          <w:lang/>
        </w:rPr>
        <w:t>eoxygenation of simulated flue gas (15%CO</w:t>
      </w:r>
      <w:r w:rsidRPr="007F51A9">
        <w:rPr>
          <w:rFonts w:ascii="Arial" w:hAnsi="Arial" w:cs="Arial"/>
          <w:b/>
          <w:bCs/>
          <w:sz w:val="22"/>
          <w:szCs w:val="22"/>
          <w:vertAlign w:val="subscript"/>
          <w:lang/>
        </w:rPr>
        <w:t>2</w:t>
      </w:r>
      <w:r w:rsidRPr="007F51A9">
        <w:rPr>
          <w:rFonts w:ascii="Arial" w:hAnsi="Arial" w:cs="Arial"/>
          <w:b/>
          <w:bCs/>
          <w:sz w:val="22"/>
          <w:szCs w:val="22"/>
          <w:lang/>
        </w:rPr>
        <w:t xml:space="preserve"> and 5%O</w:t>
      </w:r>
      <w:r w:rsidRPr="007F51A9">
        <w:rPr>
          <w:rFonts w:ascii="Arial" w:hAnsi="Arial" w:cs="Arial"/>
          <w:b/>
          <w:bCs/>
          <w:sz w:val="22"/>
          <w:szCs w:val="22"/>
          <w:vertAlign w:val="subscript"/>
          <w:lang/>
        </w:rPr>
        <w:t>2</w:t>
      </w:r>
      <w:r w:rsidRPr="007F51A9">
        <w:rPr>
          <w:rFonts w:ascii="Arial" w:hAnsi="Arial" w:cs="Arial"/>
          <w:b/>
          <w:bCs/>
          <w:sz w:val="22"/>
          <w:szCs w:val="22"/>
          <w:lang/>
        </w:rPr>
        <w:t xml:space="preserve"> in</w:t>
      </w:r>
      <w:r>
        <w:rPr>
          <w:rFonts w:ascii="Arial" w:hAnsi="Arial" w:cs="Arial" w:hint="cs"/>
          <w:b/>
          <w:bCs/>
          <w:sz w:val="22"/>
          <w:szCs w:val="22"/>
          <w:cs/>
          <w:lang/>
        </w:rPr>
        <w:t xml:space="preserve"> </w:t>
      </w:r>
      <w:r w:rsidRPr="007F51A9">
        <w:rPr>
          <w:rFonts w:ascii="Arial" w:hAnsi="Arial" w:cs="Arial"/>
          <w:b/>
          <w:bCs/>
          <w:sz w:val="22"/>
          <w:szCs w:val="22"/>
          <w:lang/>
        </w:rPr>
        <w:t>N</w:t>
      </w:r>
      <w:r w:rsidRPr="007F51A9">
        <w:rPr>
          <w:rFonts w:ascii="Arial" w:hAnsi="Arial" w:cs="Arial"/>
          <w:b/>
          <w:bCs/>
          <w:sz w:val="22"/>
          <w:szCs w:val="22"/>
          <w:vertAlign w:val="subscript"/>
          <w:lang/>
        </w:rPr>
        <w:t>2</w:t>
      </w:r>
      <w:r w:rsidRPr="007F51A9">
        <w:rPr>
          <w:rFonts w:ascii="Arial" w:hAnsi="Arial" w:cs="Arial"/>
          <w:b/>
          <w:bCs/>
          <w:sz w:val="22"/>
          <w:szCs w:val="22"/>
          <w:lang/>
        </w:rPr>
        <w:t>) of (c) 20%Pt/C (1mg/cm</w:t>
      </w:r>
      <w:r w:rsidRPr="007F51A9">
        <w:rPr>
          <w:rFonts w:ascii="Arial" w:hAnsi="Arial" w:cs="Arial"/>
          <w:b/>
          <w:bCs/>
          <w:sz w:val="22"/>
          <w:szCs w:val="22"/>
          <w:vertAlign w:val="superscript"/>
          <w:lang/>
        </w:rPr>
        <w:t>2</w:t>
      </w:r>
      <w:r w:rsidRPr="007F51A9">
        <w:rPr>
          <w:rFonts w:ascii="Arial" w:hAnsi="Arial" w:cs="Arial"/>
          <w:b/>
          <w:bCs/>
          <w:sz w:val="22"/>
          <w:szCs w:val="22"/>
          <w:lang/>
        </w:rPr>
        <w:t>),</w:t>
      </w:r>
      <w:r w:rsidR="00DA3BEC">
        <w:rPr>
          <w:rFonts w:ascii="Arial" w:hAnsi="Arial" w:cs="Arial"/>
          <w:b/>
          <w:bCs/>
          <w:sz w:val="22"/>
          <w:szCs w:val="22"/>
          <w:lang/>
        </w:rPr>
        <w:t xml:space="preserve"> </w:t>
      </w:r>
      <w:r w:rsidRPr="007F51A9">
        <w:rPr>
          <w:rFonts w:ascii="Arial" w:hAnsi="Arial" w:cs="Arial"/>
          <w:b/>
          <w:bCs/>
          <w:sz w:val="22"/>
          <w:szCs w:val="22"/>
          <w:lang/>
        </w:rPr>
        <w:t>and (d) comparison of 20%Pt/C (1mg/cm</w:t>
      </w:r>
      <w:r w:rsidRPr="007F51A9">
        <w:rPr>
          <w:rFonts w:ascii="Arial" w:hAnsi="Arial" w:cs="Arial"/>
          <w:b/>
          <w:bCs/>
          <w:sz w:val="22"/>
          <w:szCs w:val="22"/>
          <w:vertAlign w:val="superscript"/>
          <w:lang/>
        </w:rPr>
        <w:t>2</w:t>
      </w:r>
      <w:r w:rsidRPr="007F51A9">
        <w:rPr>
          <w:rFonts w:ascii="Arial" w:hAnsi="Arial" w:cs="Arial"/>
          <w:b/>
          <w:bCs/>
          <w:sz w:val="22"/>
          <w:szCs w:val="22"/>
          <w:lang/>
        </w:rPr>
        <w:t>) and 20%Pt/C (1mg/cm</w:t>
      </w:r>
      <w:r w:rsidRPr="007F51A9">
        <w:rPr>
          <w:rFonts w:ascii="Arial" w:hAnsi="Arial" w:cs="Arial"/>
          <w:b/>
          <w:bCs/>
          <w:sz w:val="22"/>
          <w:szCs w:val="22"/>
          <w:vertAlign w:val="superscript"/>
          <w:lang/>
        </w:rPr>
        <w:t>2</w:t>
      </w:r>
      <w:r w:rsidRPr="007F51A9">
        <w:rPr>
          <w:rFonts w:ascii="Arial" w:hAnsi="Arial" w:cs="Arial"/>
          <w:b/>
          <w:bCs/>
          <w:sz w:val="22"/>
          <w:szCs w:val="22"/>
          <w:lang/>
        </w:rPr>
        <w:t>) anode and 0.5NiSAC cathode under 30ml/min SFG feed and 20ml/min H</w:t>
      </w:r>
      <w:r w:rsidRPr="007F51A9">
        <w:rPr>
          <w:rFonts w:ascii="Arial" w:hAnsi="Arial" w:cs="Arial"/>
          <w:b/>
          <w:bCs/>
          <w:sz w:val="22"/>
          <w:szCs w:val="22"/>
          <w:vertAlign w:val="subscript"/>
          <w:lang/>
        </w:rPr>
        <w:t>2</w:t>
      </w:r>
      <w:r w:rsidRPr="007F51A9">
        <w:rPr>
          <w:rFonts w:ascii="Arial" w:hAnsi="Arial" w:cs="Arial"/>
          <w:b/>
          <w:bCs/>
          <w:sz w:val="22"/>
          <w:szCs w:val="22"/>
          <w:lang/>
        </w:rPr>
        <w:t xml:space="preserve"> at 300– 500mA</w:t>
      </w:r>
      <w:r w:rsidR="00DA3BEC">
        <w:rPr>
          <w:rFonts w:ascii="Arial" w:hAnsi="Arial" w:cs="Browallia New"/>
          <w:b/>
          <w:bCs/>
          <w:sz w:val="22"/>
          <w:szCs w:val="28"/>
        </w:rPr>
        <w:t>.</w:t>
      </w:r>
    </w:p>
    <w:p w14:paraId="6D637FE3" w14:textId="77777777" w:rsidR="007F51A9" w:rsidRDefault="007F51A9" w:rsidP="003D7A3B">
      <w:pPr>
        <w:spacing w:line="360" w:lineRule="auto"/>
        <w:rPr>
          <w:rFonts w:ascii="Arial" w:hAnsi="Arial" w:cs="Arial"/>
          <w:b/>
          <w:bCs/>
          <w:sz w:val="22"/>
          <w:szCs w:val="22"/>
          <w:lang/>
        </w:rPr>
      </w:pPr>
    </w:p>
    <w:p w14:paraId="013065F6" w14:textId="77777777" w:rsidR="00B302D6" w:rsidRDefault="00B302D6" w:rsidP="003D7A3B">
      <w:pPr>
        <w:spacing w:line="360" w:lineRule="auto"/>
        <w:rPr>
          <w:rFonts w:ascii="Arial" w:hAnsi="Arial" w:cs="Arial"/>
          <w:b/>
          <w:bCs/>
          <w:sz w:val="22"/>
          <w:szCs w:val="22"/>
          <w:lang/>
        </w:rPr>
      </w:pPr>
    </w:p>
    <w:p w14:paraId="7785A694" w14:textId="77777777" w:rsidR="000E2988" w:rsidRDefault="000E2988" w:rsidP="003D7A3B">
      <w:pPr>
        <w:spacing w:line="360" w:lineRule="auto"/>
        <w:rPr>
          <w:rFonts w:ascii="Arial" w:hAnsi="Arial" w:cs="Arial"/>
          <w:b/>
          <w:bCs/>
          <w:sz w:val="22"/>
          <w:szCs w:val="22"/>
          <w:lang/>
        </w:rPr>
      </w:pPr>
    </w:p>
    <w:p w14:paraId="0E0AA07F" w14:textId="77777777" w:rsidR="000E2988" w:rsidRDefault="000E2988" w:rsidP="003D7A3B">
      <w:pPr>
        <w:spacing w:line="360" w:lineRule="auto"/>
        <w:rPr>
          <w:rFonts w:ascii="Arial" w:hAnsi="Arial" w:cs="Arial"/>
          <w:b/>
          <w:bCs/>
          <w:sz w:val="22"/>
          <w:szCs w:val="22"/>
          <w:lang/>
        </w:rPr>
      </w:pPr>
    </w:p>
    <w:p w14:paraId="58EE71DE" w14:textId="382918A2" w:rsidR="00B302D6" w:rsidRDefault="00B302D6" w:rsidP="003D7A3B">
      <w:pPr>
        <w:spacing w:line="360" w:lineRule="auto"/>
        <w:rPr>
          <w:rFonts w:ascii="Arial" w:hAnsi="Arial" w:cs="Arial"/>
          <w:b/>
          <w:bCs/>
          <w:sz w:val="22"/>
          <w:szCs w:val="22"/>
          <w:lang/>
        </w:rPr>
      </w:pPr>
      <w:r>
        <w:rPr>
          <w:rFonts w:ascii="Arial" w:hAnsi="Arial" w:cs="Arial"/>
          <w:b/>
          <w:bCs/>
          <w:sz w:val="22"/>
          <w:szCs w:val="22"/>
          <w:lang/>
        </w:rPr>
        <w:lastRenderedPageBreak/>
        <w:t>Influence of 40%Pt/C catalyst loading on ORR activity in Pt/C || BPM || Ni foam system</w:t>
      </w:r>
    </w:p>
    <w:p w14:paraId="10562248" w14:textId="07EC0864" w:rsidR="000F1DA5" w:rsidRDefault="000F1DA5" w:rsidP="000F1DA5">
      <w:pPr>
        <w:spacing w:line="360" w:lineRule="auto"/>
        <w:jc w:val="thaiDistribute"/>
        <w:rPr>
          <w:rFonts w:ascii="Arial" w:hAnsi="Arial" w:cs="Arial"/>
          <w:sz w:val="22"/>
          <w:szCs w:val="22"/>
          <w:lang/>
        </w:rPr>
      </w:pPr>
      <w:r w:rsidRPr="000F1DA5">
        <w:rPr>
          <w:rFonts w:ascii="Arial" w:hAnsi="Arial" w:cs="Arial"/>
          <w:sz w:val="22"/>
          <w:szCs w:val="22"/>
          <w:lang/>
        </w:rPr>
        <w:t>To further elucidate the influence of Pt/C loading on ORR performance, SFG deoxygenation experiments were systematically performed using cathodes with Pt loadings of 0.24, 0.40, 0.72, and 1.00 mg cm</w:t>
      </w:r>
      <w:r w:rsidRPr="000F1DA5">
        <w:rPr>
          <w:rFonts w:ascii="Cambria Math" w:hAnsi="Cambria Math" w:cs="Cambria Math"/>
          <w:sz w:val="22"/>
          <w:szCs w:val="22"/>
          <w:lang/>
        </w:rPr>
        <w:t>⁻</w:t>
      </w:r>
      <w:r w:rsidRPr="000F1DA5">
        <w:rPr>
          <w:rFonts w:ascii="Arial" w:hAnsi="Arial" w:cs="Arial"/>
          <w:sz w:val="22"/>
          <w:szCs w:val="22"/>
          <w:vertAlign w:val="superscript"/>
          <w:lang/>
        </w:rPr>
        <w:t>2</w:t>
      </w:r>
      <w:r w:rsidRPr="000F1DA5">
        <w:rPr>
          <w:rFonts w:ascii="Arial" w:hAnsi="Arial" w:cs="Arial"/>
          <w:sz w:val="22"/>
          <w:szCs w:val="22"/>
          <w:lang/>
        </w:rPr>
        <w:t>. As shown in Figure 2, comparable ORR activities were obtained for Pt loadings of 0.24 and 0.40 mg cm</w:t>
      </w:r>
      <w:r w:rsidRPr="000F1DA5">
        <w:rPr>
          <w:rFonts w:ascii="Cambria Math" w:hAnsi="Cambria Math" w:cs="Cambria Math"/>
          <w:sz w:val="22"/>
          <w:szCs w:val="22"/>
          <w:lang/>
        </w:rPr>
        <w:t>⁻</w:t>
      </w:r>
      <w:r w:rsidRPr="000F1DA5">
        <w:rPr>
          <w:rFonts w:ascii="Arial" w:hAnsi="Arial" w:cs="Arial"/>
          <w:sz w:val="22"/>
          <w:szCs w:val="22"/>
          <w:vertAlign w:val="superscript"/>
          <w:lang/>
        </w:rPr>
        <w:t>2</w:t>
      </w:r>
      <w:r w:rsidRPr="000F1DA5">
        <w:rPr>
          <w:rFonts w:ascii="Arial" w:hAnsi="Arial" w:cs="Arial"/>
          <w:sz w:val="22"/>
          <w:szCs w:val="22"/>
          <w:lang/>
        </w:rPr>
        <w:t>, yielding residual oxygen concentrations of approximately 1.76% and 1.91%, respectively, at an applied potential of 2.50 V. Increasing the Pt loading to 0.72 mg cm</w:t>
      </w:r>
      <w:r w:rsidRPr="000F1DA5">
        <w:rPr>
          <w:rFonts w:ascii="Cambria Math" w:hAnsi="Cambria Math" w:cs="Cambria Math"/>
          <w:sz w:val="22"/>
          <w:szCs w:val="22"/>
          <w:lang/>
        </w:rPr>
        <w:t>⁻</w:t>
      </w:r>
      <w:r w:rsidRPr="000F1DA5">
        <w:rPr>
          <w:rFonts w:ascii="Arial" w:hAnsi="Arial" w:cs="Arial"/>
          <w:sz w:val="22"/>
          <w:szCs w:val="22"/>
          <w:vertAlign w:val="superscript"/>
          <w:lang/>
        </w:rPr>
        <w:t>2</w:t>
      </w:r>
      <w:r w:rsidRPr="000F1DA5">
        <w:rPr>
          <w:rFonts w:ascii="Arial" w:hAnsi="Arial" w:cs="Arial"/>
          <w:sz w:val="22"/>
          <w:szCs w:val="22"/>
          <w:lang/>
        </w:rPr>
        <w:t xml:space="preserve"> led to a pronounced enhancement in ORR performance, as evidenced by a substantial reduction in the residual oxygen concentration to 0.86% at 2.50 V. In contrast, further increasing the Pt loading to 1.00 mg cm</w:t>
      </w:r>
      <w:r w:rsidRPr="000F1DA5">
        <w:rPr>
          <w:rFonts w:ascii="Cambria Math" w:hAnsi="Cambria Math" w:cs="Cambria Math"/>
          <w:sz w:val="22"/>
          <w:szCs w:val="22"/>
          <w:lang/>
        </w:rPr>
        <w:t>⁻</w:t>
      </w:r>
      <w:r w:rsidRPr="000F1DA5">
        <w:rPr>
          <w:rFonts w:ascii="Arial" w:hAnsi="Arial" w:cs="Arial"/>
          <w:sz w:val="22"/>
          <w:szCs w:val="22"/>
          <w:vertAlign w:val="superscript"/>
          <w:lang/>
        </w:rPr>
        <w:t>2</w:t>
      </w:r>
      <w:r w:rsidRPr="000F1DA5">
        <w:rPr>
          <w:rFonts w:ascii="Arial" w:hAnsi="Arial" w:cs="Arial"/>
          <w:sz w:val="22"/>
          <w:szCs w:val="22"/>
          <w:lang/>
        </w:rPr>
        <w:t xml:space="preserve"> resulted in a slight deterioration in ORR activity, with the residual oxygen concentration increasing to 0.95% under identical operating conditions. Based on these results, a Pt loading of 0.72 mg cm</w:t>
      </w:r>
      <w:r w:rsidRPr="000F1DA5">
        <w:rPr>
          <w:rFonts w:ascii="Cambria Math" w:hAnsi="Cambria Math" w:cs="Cambria Math"/>
          <w:sz w:val="22"/>
          <w:szCs w:val="22"/>
          <w:lang/>
        </w:rPr>
        <w:t>⁻</w:t>
      </w:r>
      <w:r w:rsidRPr="000F1DA5">
        <w:rPr>
          <w:rFonts w:ascii="Arial" w:hAnsi="Arial" w:cs="Arial"/>
          <w:sz w:val="22"/>
          <w:szCs w:val="22"/>
          <w:vertAlign w:val="superscript"/>
          <w:lang/>
        </w:rPr>
        <w:t>2</w:t>
      </w:r>
      <w:r>
        <w:rPr>
          <w:rFonts w:ascii="Arial" w:hAnsi="Arial" w:cs="Arial"/>
          <w:sz w:val="22"/>
          <w:szCs w:val="22"/>
          <w:vertAlign w:val="superscript"/>
          <w:lang/>
        </w:rPr>
        <w:t xml:space="preserve"> </w:t>
      </w:r>
      <w:r w:rsidRPr="000F1DA5">
        <w:rPr>
          <w:rFonts w:ascii="Arial" w:hAnsi="Arial" w:cs="Arial"/>
          <w:sz w:val="22"/>
          <w:szCs w:val="22"/>
          <w:lang/>
        </w:rPr>
        <w:t>—</w:t>
      </w:r>
      <w:r>
        <w:rPr>
          <w:rFonts w:ascii="Arial" w:hAnsi="Arial" w:cs="Arial"/>
          <w:sz w:val="22"/>
          <w:szCs w:val="22"/>
          <w:lang/>
        </w:rPr>
        <w:t xml:space="preserve"> </w:t>
      </w:r>
      <w:r w:rsidRPr="000F1DA5">
        <w:rPr>
          <w:rFonts w:ascii="Arial" w:hAnsi="Arial" w:cs="Arial"/>
          <w:sz w:val="22"/>
          <w:szCs w:val="22"/>
          <w:lang/>
        </w:rPr>
        <w:t>corresponding to a 40 wt% Pt/C catalyst loading of 1.8 mg cm</w:t>
      </w:r>
      <w:r w:rsidRPr="000F1DA5">
        <w:rPr>
          <w:rFonts w:ascii="Cambria Math" w:hAnsi="Cambria Math" w:cs="Cambria Math"/>
          <w:sz w:val="22"/>
          <w:szCs w:val="22"/>
          <w:lang/>
        </w:rPr>
        <w:t>⁻</w:t>
      </w:r>
      <w:r w:rsidRPr="000F1DA5">
        <w:rPr>
          <w:rFonts w:ascii="Arial" w:hAnsi="Arial" w:cs="Arial"/>
          <w:sz w:val="22"/>
          <w:szCs w:val="22"/>
          <w:vertAlign w:val="superscript"/>
          <w:lang/>
        </w:rPr>
        <w:t>2</w:t>
      </w:r>
      <w:r>
        <w:rPr>
          <w:rFonts w:ascii="Arial" w:hAnsi="Arial" w:cs="Arial"/>
          <w:sz w:val="22"/>
          <w:szCs w:val="22"/>
          <w:lang/>
        </w:rPr>
        <w:t xml:space="preserve"> </w:t>
      </w:r>
      <w:r w:rsidRPr="000F1DA5">
        <w:rPr>
          <w:rFonts w:ascii="Arial" w:hAnsi="Arial" w:cs="Arial"/>
          <w:sz w:val="22"/>
          <w:szCs w:val="22"/>
          <w:lang/>
        </w:rPr>
        <w:t xml:space="preserve">was identified as the optimal </w:t>
      </w:r>
      <w:r>
        <w:rPr>
          <w:rFonts w:ascii="Arial" w:hAnsi="Arial" w:cs="Arial"/>
          <w:sz w:val="22"/>
          <w:szCs w:val="22"/>
          <w:lang/>
        </w:rPr>
        <w:t>catalyst loading</w:t>
      </w:r>
      <w:r w:rsidRPr="000F1DA5">
        <w:rPr>
          <w:rFonts w:ascii="Arial" w:hAnsi="Arial" w:cs="Arial"/>
          <w:sz w:val="22"/>
          <w:szCs w:val="22"/>
          <w:lang/>
        </w:rPr>
        <w:t xml:space="preserve"> for efficient SFG deoxygenation.</w:t>
      </w:r>
    </w:p>
    <w:p w14:paraId="0F4FD5E3" w14:textId="0821B62A" w:rsidR="007F51A9" w:rsidRDefault="00DA3BEC" w:rsidP="000E2988">
      <w:pPr>
        <w:spacing w:line="360" w:lineRule="auto"/>
        <w:jc w:val="center"/>
        <w:rPr>
          <w:rFonts w:ascii="Arial" w:hAnsi="Arial" w:cs="Arial"/>
          <w:b/>
          <w:bCs/>
          <w:sz w:val="22"/>
          <w:szCs w:val="22"/>
          <w:lang/>
        </w:rPr>
      </w:pPr>
      <w:r w:rsidRPr="00DA3BEC">
        <w:rPr>
          <w:rFonts w:ascii="Arial" w:hAnsi="Arial" w:cs="Arial"/>
          <w:b/>
          <w:bCs/>
          <w:noProof/>
          <w:sz w:val="22"/>
          <w:szCs w:val="22"/>
          <w:lang/>
        </w:rPr>
        <w:drawing>
          <wp:inline distT="0" distB="0" distL="0" distR="0" wp14:anchorId="1A66ED49" wp14:editId="50DA2DAF">
            <wp:extent cx="5176911" cy="3353578"/>
            <wp:effectExtent l="0" t="0" r="5080" b="0"/>
            <wp:docPr id="994345011" name="Picture 1"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5011" name="Picture 1" descr="A graph of green bars&#10;&#10;AI-generated content may be incorrect."/>
                    <pic:cNvPicPr/>
                  </pic:nvPicPr>
                  <pic:blipFill>
                    <a:blip r:embed="rId8"/>
                    <a:stretch>
                      <a:fillRect/>
                    </a:stretch>
                  </pic:blipFill>
                  <pic:spPr>
                    <a:xfrm>
                      <a:off x="0" y="0"/>
                      <a:ext cx="5188316" cy="3360966"/>
                    </a:xfrm>
                    <a:prstGeom prst="rect">
                      <a:avLst/>
                    </a:prstGeom>
                  </pic:spPr>
                </pic:pic>
              </a:graphicData>
            </a:graphic>
          </wp:inline>
        </w:drawing>
      </w:r>
    </w:p>
    <w:p w14:paraId="50DD163A" w14:textId="1B78A95B" w:rsidR="00DA3BEC" w:rsidRDefault="00DA3BEC" w:rsidP="00DA3BEC">
      <w:pPr>
        <w:spacing w:line="360" w:lineRule="auto"/>
        <w:jc w:val="thaiDistribute"/>
        <w:rPr>
          <w:rFonts w:ascii="Arial" w:hAnsi="Arial" w:cs="Arial"/>
          <w:b/>
          <w:bCs/>
          <w:sz w:val="22"/>
          <w:szCs w:val="22"/>
          <w:lang/>
        </w:rPr>
      </w:pPr>
      <w:r>
        <w:rPr>
          <w:rFonts w:ascii="Arial" w:hAnsi="Arial" w:cs="Arial"/>
          <w:b/>
          <w:bCs/>
          <w:sz w:val="22"/>
          <w:szCs w:val="22"/>
          <w:lang/>
        </w:rPr>
        <w:t xml:space="preserve">Figure 2. Oxygen removal system. </w:t>
      </w:r>
      <w:r w:rsidRPr="007F51A9">
        <w:rPr>
          <w:rFonts w:ascii="Arial" w:hAnsi="Arial" w:cs="Arial"/>
          <w:b/>
          <w:bCs/>
          <w:sz w:val="22"/>
          <w:szCs w:val="22"/>
        </w:rPr>
        <w:t>D</w:t>
      </w:r>
      <w:r w:rsidRPr="007F51A9">
        <w:rPr>
          <w:rFonts w:ascii="Arial" w:hAnsi="Arial" w:cs="Arial"/>
          <w:b/>
          <w:bCs/>
          <w:sz w:val="22"/>
          <w:szCs w:val="22"/>
          <w:lang/>
        </w:rPr>
        <w:t>eoxygenation of simulated flue gas (15%CO</w:t>
      </w:r>
      <w:r w:rsidRPr="007F51A9">
        <w:rPr>
          <w:rFonts w:ascii="Arial" w:hAnsi="Arial" w:cs="Arial"/>
          <w:b/>
          <w:bCs/>
          <w:sz w:val="22"/>
          <w:szCs w:val="22"/>
          <w:vertAlign w:val="subscript"/>
          <w:lang/>
        </w:rPr>
        <w:t>2</w:t>
      </w:r>
      <w:r w:rsidRPr="007F51A9">
        <w:rPr>
          <w:rFonts w:ascii="Arial" w:hAnsi="Arial" w:cs="Arial"/>
          <w:b/>
          <w:bCs/>
          <w:sz w:val="22"/>
          <w:szCs w:val="22"/>
          <w:lang/>
        </w:rPr>
        <w:t xml:space="preserve"> and 5%O</w:t>
      </w:r>
      <w:r w:rsidRPr="007F51A9">
        <w:rPr>
          <w:rFonts w:ascii="Arial" w:hAnsi="Arial" w:cs="Arial"/>
          <w:b/>
          <w:bCs/>
          <w:sz w:val="22"/>
          <w:szCs w:val="22"/>
          <w:vertAlign w:val="subscript"/>
          <w:lang/>
        </w:rPr>
        <w:t>2</w:t>
      </w:r>
      <w:r w:rsidRPr="007F51A9">
        <w:rPr>
          <w:rFonts w:ascii="Arial" w:hAnsi="Arial" w:cs="Arial"/>
          <w:b/>
          <w:bCs/>
          <w:sz w:val="22"/>
          <w:szCs w:val="22"/>
          <w:lang/>
        </w:rPr>
        <w:t xml:space="preserve"> in</w:t>
      </w:r>
      <w:r>
        <w:rPr>
          <w:rFonts w:ascii="Arial" w:hAnsi="Arial" w:cs="Arial" w:hint="cs"/>
          <w:b/>
          <w:bCs/>
          <w:sz w:val="22"/>
          <w:szCs w:val="22"/>
          <w:cs/>
          <w:lang/>
        </w:rPr>
        <w:t xml:space="preserve"> </w:t>
      </w:r>
      <w:r w:rsidRPr="007F51A9">
        <w:rPr>
          <w:rFonts w:ascii="Arial" w:hAnsi="Arial" w:cs="Arial"/>
          <w:b/>
          <w:bCs/>
          <w:sz w:val="22"/>
          <w:szCs w:val="22"/>
          <w:lang/>
        </w:rPr>
        <w:t>N</w:t>
      </w:r>
      <w:r w:rsidRPr="007F51A9">
        <w:rPr>
          <w:rFonts w:ascii="Arial" w:hAnsi="Arial" w:cs="Arial"/>
          <w:b/>
          <w:bCs/>
          <w:sz w:val="22"/>
          <w:szCs w:val="22"/>
          <w:vertAlign w:val="subscript"/>
          <w:lang/>
        </w:rPr>
        <w:t>2</w:t>
      </w:r>
      <w:r w:rsidRPr="007F51A9">
        <w:rPr>
          <w:rFonts w:ascii="Arial" w:hAnsi="Arial" w:cs="Arial"/>
          <w:b/>
          <w:bCs/>
          <w:sz w:val="22"/>
          <w:szCs w:val="22"/>
          <w:lang/>
        </w:rPr>
        <w:t>) of</w:t>
      </w:r>
      <w:r>
        <w:rPr>
          <w:rFonts w:ascii="Arial" w:hAnsi="Arial" w:cs="Arial"/>
          <w:b/>
          <w:bCs/>
          <w:sz w:val="22"/>
          <w:szCs w:val="22"/>
          <w:lang/>
        </w:rPr>
        <w:t xml:space="preserve"> ORR system (40%Pt/C || BPM || Ni foam) with varied 40%Pt/C loadings under 50ml/min SFG and 8ml/min of 1M KOH anolyte at potential range of 2</w:t>
      </w:r>
      <w:r w:rsidR="005E46FB">
        <w:rPr>
          <w:rFonts w:ascii="Arial" w:hAnsi="Arial" w:cs="Arial"/>
          <w:b/>
          <w:bCs/>
          <w:sz w:val="22"/>
          <w:szCs w:val="22"/>
          <w:lang/>
        </w:rPr>
        <w:t>.0</w:t>
      </w:r>
      <w:r>
        <w:rPr>
          <w:rFonts w:ascii="Arial" w:hAnsi="Arial" w:cs="Arial"/>
          <w:b/>
          <w:bCs/>
          <w:sz w:val="22"/>
          <w:szCs w:val="22"/>
          <w:lang/>
        </w:rPr>
        <w:t>-2.5V.</w:t>
      </w:r>
    </w:p>
    <w:p w14:paraId="1AA4BA10" w14:textId="77777777" w:rsidR="00DA3BEC" w:rsidRPr="007F51A9" w:rsidRDefault="00DA3BEC" w:rsidP="00DA3BEC">
      <w:pPr>
        <w:spacing w:line="360" w:lineRule="auto"/>
        <w:jc w:val="thaiDistribute"/>
        <w:rPr>
          <w:rFonts w:ascii="Arial" w:hAnsi="Arial" w:cs="Browallia New"/>
          <w:b/>
          <w:bCs/>
          <w:sz w:val="22"/>
          <w:szCs w:val="28"/>
        </w:rPr>
      </w:pPr>
    </w:p>
    <w:p w14:paraId="6DF9AA95" w14:textId="32B8FA57" w:rsidR="000B5618" w:rsidRDefault="000B5618" w:rsidP="000B5618">
      <w:pPr>
        <w:spacing w:line="360" w:lineRule="auto"/>
        <w:rPr>
          <w:rFonts w:ascii="Arial" w:hAnsi="Arial" w:cs="Arial"/>
          <w:b/>
          <w:bCs/>
          <w:sz w:val="22"/>
          <w:szCs w:val="22"/>
        </w:rPr>
      </w:pPr>
      <w:r>
        <w:rPr>
          <w:rFonts w:ascii="Arial" w:hAnsi="Arial" w:cs="Arial"/>
          <w:b/>
          <w:bCs/>
          <w:sz w:val="22"/>
          <w:szCs w:val="22"/>
        </w:rPr>
        <w:t>Upcoming tasks</w:t>
      </w:r>
    </w:p>
    <w:p w14:paraId="35B7E012" w14:textId="37540055" w:rsidR="000B5618" w:rsidRPr="00F32207" w:rsidRDefault="000B5618" w:rsidP="000B5618">
      <w:pPr>
        <w:pStyle w:val="ListParagraph"/>
        <w:numPr>
          <w:ilvl w:val="0"/>
          <w:numId w:val="38"/>
        </w:numPr>
        <w:spacing w:line="360" w:lineRule="auto"/>
        <w:rPr>
          <w:rFonts w:ascii="Arial" w:hAnsi="Arial" w:cs="Arial"/>
        </w:rPr>
      </w:pPr>
      <w:r w:rsidRPr="00F32207">
        <w:rPr>
          <w:rFonts w:ascii="Arial" w:hAnsi="Arial" w:cs="Arial"/>
        </w:rPr>
        <w:t>Optimization of PEM fuel cell system:</w:t>
      </w:r>
    </w:p>
    <w:p w14:paraId="3341B2D0" w14:textId="752BF4C2" w:rsidR="000B5618" w:rsidRPr="000B5618" w:rsidRDefault="000B5618" w:rsidP="000B5618">
      <w:pPr>
        <w:pStyle w:val="ListParagraph"/>
        <w:numPr>
          <w:ilvl w:val="1"/>
          <w:numId w:val="38"/>
        </w:numPr>
        <w:spacing w:line="360" w:lineRule="auto"/>
        <w:rPr>
          <w:rFonts w:ascii="Arial" w:hAnsi="Arial" w:cs="Arial"/>
          <w:b/>
          <w:bCs/>
        </w:rPr>
      </w:pPr>
      <w:r>
        <w:rPr>
          <w:rFonts w:ascii="Arial" w:hAnsi="Arial" w:cs="Arial"/>
        </w:rPr>
        <w:t>40%Pt/C catalyst loadings: 0.6, 1.0, 1.8, 2.5 mg/cm</w:t>
      </w:r>
      <w:r w:rsidRPr="000B5618">
        <w:rPr>
          <w:rFonts w:ascii="Arial" w:hAnsi="Arial" w:cs="Arial"/>
          <w:vertAlign w:val="superscript"/>
        </w:rPr>
        <w:t>2</w:t>
      </w:r>
    </w:p>
    <w:p w14:paraId="33FEE2C6" w14:textId="45D54C95" w:rsidR="000B5618" w:rsidRPr="000B5618" w:rsidRDefault="000B5618" w:rsidP="000B5618">
      <w:pPr>
        <w:pStyle w:val="ListParagraph"/>
        <w:numPr>
          <w:ilvl w:val="1"/>
          <w:numId w:val="38"/>
        </w:numPr>
        <w:spacing w:line="360" w:lineRule="auto"/>
        <w:rPr>
          <w:rFonts w:ascii="Arial" w:hAnsi="Arial" w:cs="Arial"/>
          <w:b/>
          <w:bCs/>
        </w:rPr>
      </w:pPr>
      <w:r>
        <w:rPr>
          <w:rFonts w:ascii="Arial" w:hAnsi="Arial" w:cs="Arial"/>
        </w:rPr>
        <w:t>Cell and humidifier temperature: 25, 40, 60C</w:t>
      </w:r>
    </w:p>
    <w:p w14:paraId="6D256DCC" w14:textId="3351F46D" w:rsidR="009F5818" w:rsidRPr="00EF2C24" w:rsidRDefault="000B5618" w:rsidP="006478A1">
      <w:pPr>
        <w:pStyle w:val="ListParagraph"/>
        <w:numPr>
          <w:ilvl w:val="0"/>
          <w:numId w:val="38"/>
        </w:numPr>
        <w:spacing w:line="360" w:lineRule="auto"/>
        <w:rPr>
          <w:rFonts w:ascii="Arial" w:hAnsi="Arial" w:cs="Arial"/>
          <w:b/>
          <w:bCs/>
        </w:rPr>
      </w:pPr>
      <w:r>
        <w:rPr>
          <w:rFonts w:ascii="Arial" w:hAnsi="Arial" w:cs="Arial"/>
        </w:rPr>
        <w:t>Investigation of PEM fuel cell-CO2RR coupling system under an optimum condition</w:t>
      </w:r>
    </w:p>
    <w:sectPr w:rsidR="009F5818" w:rsidRPr="00EF2C24"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charset w:val="00"/>
    <w:family w:val="auto"/>
    <w:pitch w:val="variable"/>
    <w:sig w:usb0="E50002FF" w:usb1="500079DB" w:usb2="00000010" w:usb3="00000000" w:csb0="00000001" w:csb1="00000000"/>
  </w:font>
  <w:font w:name="Angsana New">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1"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E43CE5"/>
    <w:multiLevelType w:val="hybridMultilevel"/>
    <w:tmpl w:val="DFCAF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8D1FD3"/>
    <w:multiLevelType w:val="hybridMultilevel"/>
    <w:tmpl w:val="4700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5"/>
  </w:num>
  <w:num w:numId="2" w16cid:durableId="591625501">
    <w:abstractNumId w:val="34"/>
  </w:num>
  <w:num w:numId="3" w16cid:durableId="1356541708">
    <w:abstractNumId w:val="24"/>
  </w:num>
  <w:num w:numId="4" w16cid:durableId="923992290">
    <w:abstractNumId w:val="1"/>
  </w:num>
  <w:num w:numId="5" w16cid:durableId="1679916919">
    <w:abstractNumId w:val="8"/>
  </w:num>
  <w:num w:numId="6" w16cid:durableId="110905409">
    <w:abstractNumId w:val="20"/>
  </w:num>
  <w:num w:numId="7" w16cid:durableId="191504923">
    <w:abstractNumId w:val="23"/>
  </w:num>
  <w:num w:numId="8" w16cid:durableId="142234591">
    <w:abstractNumId w:val="21"/>
  </w:num>
  <w:num w:numId="9" w16cid:durableId="392630441">
    <w:abstractNumId w:val="30"/>
  </w:num>
  <w:num w:numId="10" w16cid:durableId="333067863">
    <w:abstractNumId w:val="13"/>
  </w:num>
  <w:num w:numId="11" w16cid:durableId="1169520498">
    <w:abstractNumId w:val="14"/>
  </w:num>
  <w:num w:numId="12" w16cid:durableId="1216819446">
    <w:abstractNumId w:val="37"/>
  </w:num>
  <w:num w:numId="13" w16cid:durableId="711852922">
    <w:abstractNumId w:val="0"/>
  </w:num>
  <w:num w:numId="14" w16cid:durableId="1612974665">
    <w:abstractNumId w:val="9"/>
  </w:num>
  <w:num w:numId="15" w16cid:durableId="911234518">
    <w:abstractNumId w:val="15"/>
  </w:num>
  <w:num w:numId="16" w16cid:durableId="537356324">
    <w:abstractNumId w:val="3"/>
  </w:num>
  <w:num w:numId="17" w16cid:durableId="225841741">
    <w:abstractNumId w:val="18"/>
  </w:num>
  <w:num w:numId="18" w16cid:durableId="1670523648">
    <w:abstractNumId w:val="26"/>
  </w:num>
  <w:num w:numId="19" w16cid:durableId="491798079">
    <w:abstractNumId w:val="7"/>
  </w:num>
  <w:num w:numId="20" w16cid:durableId="549463316">
    <w:abstractNumId w:val="2"/>
  </w:num>
  <w:num w:numId="21" w16cid:durableId="1466310008">
    <w:abstractNumId w:val="22"/>
  </w:num>
  <w:num w:numId="22" w16cid:durableId="1397782965">
    <w:abstractNumId w:val="29"/>
  </w:num>
  <w:num w:numId="23" w16cid:durableId="777675791">
    <w:abstractNumId w:val="17"/>
  </w:num>
  <w:num w:numId="24" w16cid:durableId="940843562">
    <w:abstractNumId w:val="31"/>
  </w:num>
  <w:num w:numId="25" w16cid:durableId="1279991708">
    <w:abstractNumId w:val="32"/>
  </w:num>
  <w:num w:numId="26" w16cid:durableId="2108500269">
    <w:abstractNumId w:val="33"/>
  </w:num>
  <w:num w:numId="27" w16cid:durableId="800224735">
    <w:abstractNumId w:val="19"/>
  </w:num>
  <w:num w:numId="28" w16cid:durableId="1905212503">
    <w:abstractNumId w:val="11"/>
  </w:num>
  <w:num w:numId="29" w16cid:durableId="64453073">
    <w:abstractNumId w:val="12"/>
  </w:num>
  <w:num w:numId="30" w16cid:durableId="1783725845">
    <w:abstractNumId w:val="36"/>
  </w:num>
  <w:num w:numId="31" w16cid:durableId="963735457">
    <w:abstractNumId w:val="27"/>
  </w:num>
  <w:num w:numId="32" w16cid:durableId="939682681">
    <w:abstractNumId w:val="35"/>
  </w:num>
  <w:num w:numId="33" w16cid:durableId="1118452905">
    <w:abstractNumId w:val="25"/>
  </w:num>
  <w:num w:numId="34" w16cid:durableId="966853478">
    <w:abstractNumId w:val="10"/>
  </w:num>
  <w:num w:numId="35" w16cid:durableId="485442835">
    <w:abstractNumId w:val="6"/>
  </w:num>
  <w:num w:numId="36" w16cid:durableId="851722083">
    <w:abstractNumId w:val="4"/>
  </w:num>
  <w:num w:numId="37" w16cid:durableId="610630629">
    <w:abstractNumId w:val="28"/>
  </w:num>
  <w:num w:numId="38" w16cid:durableId="19524665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oFAMDqlVI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2F81"/>
    <w:rsid w:val="000432CC"/>
    <w:rsid w:val="000438B3"/>
    <w:rsid w:val="000439F4"/>
    <w:rsid w:val="00043B01"/>
    <w:rsid w:val="00046A50"/>
    <w:rsid w:val="0004732C"/>
    <w:rsid w:val="00052BF3"/>
    <w:rsid w:val="00055255"/>
    <w:rsid w:val="000552F3"/>
    <w:rsid w:val="00062417"/>
    <w:rsid w:val="00065616"/>
    <w:rsid w:val="00065F22"/>
    <w:rsid w:val="00065FB5"/>
    <w:rsid w:val="000704C6"/>
    <w:rsid w:val="00077CBB"/>
    <w:rsid w:val="00080C33"/>
    <w:rsid w:val="000865CF"/>
    <w:rsid w:val="00096457"/>
    <w:rsid w:val="0009661B"/>
    <w:rsid w:val="0009733A"/>
    <w:rsid w:val="000A0E24"/>
    <w:rsid w:val="000A1B8F"/>
    <w:rsid w:val="000A1F9D"/>
    <w:rsid w:val="000A3AC1"/>
    <w:rsid w:val="000B464B"/>
    <w:rsid w:val="000B5618"/>
    <w:rsid w:val="000C17A8"/>
    <w:rsid w:val="000C1FB3"/>
    <w:rsid w:val="000C2558"/>
    <w:rsid w:val="000C2F67"/>
    <w:rsid w:val="000C33C0"/>
    <w:rsid w:val="000C4403"/>
    <w:rsid w:val="000D04A9"/>
    <w:rsid w:val="000D66EF"/>
    <w:rsid w:val="000E2988"/>
    <w:rsid w:val="000E3EA3"/>
    <w:rsid w:val="000F1DA5"/>
    <w:rsid w:val="000F2788"/>
    <w:rsid w:val="000F4407"/>
    <w:rsid w:val="000F45A3"/>
    <w:rsid w:val="000F47DF"/>
    <w:rsid w:val="000F69C0"/>
    <w:rsid w:val="00100442"/>
    <w:rsid w:val="00101026"/>
    <w:rsid w:val="00102AA3"/>
    <w:rsid w:val="00103F12"/>
    <w:rsid w:val="00105A17"/>
    <w:rsid w:val="00107320"/>
    <w:rsid w:val="00114133"/>
    <w:rsid w:val="00115773"/>
    <w:rsid w:val="00120B44"/>
    <w:rsid w:val="00123525"/>
    <w:rsid w:val="00125FCE"/>
    <w:rsid w:val="0012656D"/>
    <w:rsid w:val="00130852"/>
    <w:rsid w:val="0013356D"/>
    <w:rsid w:val="001362B6"/>
    <w:rsid w:val="00136F96"/>
    <w:rsid w:val="00141F51"/>
    <w:rsid w:val="001420FF"/>
    <w:rsid w:val="001537F3"/>
    <w:rsid w:val="0016169B"/>
    <w:rsid w:val="001676FF"/>
    <w:rsid w:val="0017383B"/>
    <w:rsid w:val="00176D45"/>
    <w:rsid w:val="0017716B"/>
    <w:rsid w:val="00180760"/>
    <w:rsid w:val="00181A4A"/>
    <w:rsid w:val="00183CC4"/>
    <w:rsid w:val="00185F26"/>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418D6"/>
    <w:rsid w:val="00252B9C"/>
    <w:rsid w:val="00254872"/>
    <w:rsid w:val="00266E1A"/>
    <w:rsid w:val="00271648"/>
    <w:rsid w:val="002825FF"/>
    <w:rsid w:val="002840D1"/>
    <w:rsid w:val="00287B6A"/>
    <w:rsid w:val="002911DD"/>
    <w:rsid w:val="002917A1"/>
    <w:rsid w:val="00292212"/>
    <w:rsid w:val="00295FA2"/>
    <w:rsid w:val="002A2AAF"/>
    <w:rsid w:val="002A472B"/>
    <w:rsid w:val="002A58D9"/>
    <w:rsid w:val="002A70EF"/>
    <w:rsid w:val="002B0162"/>
    <w:rsid w:val="002B4C7F"/>
    <w:rsid w:val="002C0A4B"/>
    <w:rsid w:val="002C364D"/>
    <w:rsid w:val="002C3852"/>
    <w:rsid w:val="002D45CE"/>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37362"/>
    <w:rsid w:val="00342C41"/>
    <w:rsid w:val="00343F25"/>
    <w:rsid w:val="0034492A"/>
    <w:rsid w:val="0034525D"/>
    <w:rsid w:val="00347751"/>
    <w:rsid w:val="00357E51"/>
    <w:rsid w:val="00357EB9"/>
    <w:rsid w:val="00361240"/>
    <w:rsid w:val="003623DB"/>
    <w:rsid w:val="0036740C"/>
    <w:rsid w:val="003713EE"/>
    <w:rsid w:val="00371D1D"/>
    <w:rsid w:val="00374CBC"/>
    <w:rsid w:val="00377892"/>
    <w:rsid w:val="00377D25"/>
    <w:rsid w:val="0039486D"/>
    <w:rsid w:val="00397494"/>
    <w:rsid w:val="003A1A08"/>
    <w:rsid w:val="003A2306"/>
    <w:rsid w:val="003A389D"/>
    <w:rsid w:val="003A5B2F"/>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565E"/>
    <w:rsid w:val="004763D6"/>
    <w:rsid w:val="0048012E"/>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3154"/>
    <w:rsid w:val="005142AD"/>
    <w:rsid w:val="00521192"/>
    <w:rsid w:val="00521EEA"/>
    <w:rsid w:val="00525A2A"/>
    <w:rsid w:val="00530D64"/>
    <w:rsid w:val="00530FE7"/>
    <w:rsid w:val="00531D6B"/>
    <w:rsid w:val="00532DAD"/>
    <w:rsid w:val="00533D5A"/>
    <w:rsid w:val="0054482C"/>
    <w:rsid w:val="00545105"/>
    <w:rsid w:val="00545262"/>
    <w:rsid w:val="00545384"/>
    <w:rsid w:val="00546913"/>
    <w:rsid w:val="00552C5E"/>
    <w:rsid w:val="0055485A"/>
    <w:rsid w:val="00555B04"/>
    <w:rsid w:val="005578E3"/>
    <w:rsid w:val="00561036"/>
    <w:rsid w:val="00564641"/>
    <w:rsid w:val="00564CED"/>
    <w:rsid w:val="0057032E"/>
    <w:rsid w:val="00573A0D"/>
    <w:rsid w:val="00575625"/>
    <w:rsid w:val="005838C0"/>
    <w:rsid w:val="0059516E"/>
    <w:rsid w:val="005953A7"/>
    <w:rsid w:val="005956A3"/>
    <w:rsid w:val="005A1D91"/>
    <w:rsid w:val="005A4005"/>
    <w:rsid w:val="005A5ED6"/>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46FB"/>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5339"/>
    <w:rsid w:val="0064661A"/>
    <w:rsid w:val="0064668D"/>
    <w:rsid w:val="006478A1"/>
    <w:rsid w:val="0065056C"/>
    <w:rsid w:val="00653C4F"/>
    <w:rsid w:val="0065404B"/>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2748"/>
    <w:rsid w:val="006B3F8D"/>
    <w:rsid w:val="006C4C52"/>
    <w:rsid w:val="006C4EC5"/>
    <w:rsid w:val="006C5269"/>
    <w:rsid w:val="006D70B7"/>
    <w:rsid w:val="006D7C8E"/>
    <w:rsid w:val="006E296B"/>
    <w:rsid w:val="006F1CF4"/>
    <w:rsid w:val="006F3797"/>
    <w:rsid w:val="006F72E2"/>
    <w:rsid w:val="00703D7A"/>
    <w:rsid w:val="00704527"/>
    <w:rsid w:val="00704D95"/>
    <w:rsid w:val="00710766"/>
    <w:rsid w:val="00712327"/>
    <w:rsid w:val="007251B5"/>
    <w:rsid w:val="00734564"/>
    <w:rsid w:val="0073593C"/>
    <w:rsid w:val="0074148B"/>
    <w:rsid w:val="00744F76"/>
    <w:rsid w:val="00746F74"/>
    <w:rsid w:val="00751EBF"/>
    <w:rsid w:val="0075541C"/>
    <w:rsid w:val="00756E1F"/>
    <w:rsid w:val="00764159"/>
    <w:rsid w:val="00765174"/>
    <w:rsid w:val="00770C1C"/>
    <w:rsid w:val="007726EF"/>
    <w:rsid w:val="00780061"/>
    <w:rsid w:val="0078227C"/>
    <w:rsid w:val="0078371B"/>
    <w:rsid w:val="00785863"/>
    <w:rsid w:val="00787791"/>
    <w:rsid w:val="007914A2"/>
    <w:rsid w:val="007926DA"/>
    <w:rsid w:val="00794A2A"/>
    <w:rsid w:val="007A0BA1"/>
    <w:rsid w:val="007A0E69"/>
    <w:rsid w:val="007A17FC"/>
    <w:rsid w:val="007A2D95"/>
    <w:rsid w:val="007A36A4"/>
    <w:rsid w:val="007B1170"/>
    <w:rsid w:val="007B1387"/>
    <w:rsid w:val="007B5C5A"/>
    <w:rsid w:val="007B5F92"/>
    <w:rsid w:val="007C21FD"/>
    <w:rsid w:val="007D00D7"/>
    <w:rsid w:val="007D2A84"/>
    <w:rsid w:val="007D60E5"/>
    <w:rsid w:val="007D7CB5"/>
    <w:rsid w:val="007E0AB7"/>
    <w:rsid w:val="007E62DC"/>
    <w:rsid w:val="007E6D5E"/>
    <w:rsid w:val="007E6E85"/>
    <w:rsid w:val="007F1286"/>
    <w:rsid w:val="007F51A9"/>
    <w:rsid w:val="008078FB"/>
    <w:rsid w:val="00814730"/>
    <w:rsid w:val="00817352"/>
    <w:rsid w:val="0081766C"/>
    <w:rsid w:val="00822EE5"/>
    <w:rsid w:val="00823173"/>
    <w:rsid w:val="00824FBF"/>
    <w:rsid w:val="0083587E"/>
    <w:rsid w:val="00835A65"/>
    <w:rsid w:val="008370F4"/>
    <w:rsid w:val="0083785E"/>
    <w:rsid w:val="00842F5D"/>
    <w:rsid w:val="008510F9"/>
    <w:rsid w:val="00851B0B"/>
    <w:rsid w:val="00853033"/>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13CC"/>
    <w:rsid w:val="008962CA"/>
    <w:rsid w:val="008A0DCC"/>
    <w:rsid w:val="008A2CC2"/>
    <w:rsid w:val="008A6C2D"/>
    <w:rsid w:val="008A6C4D"/>
    <w:rsid w:val="008B0EFB"/>
    <w:rsid w:val="008B3B2C"/>
    <w:rsid w:val="008B4483"/>
    <w:rsid w:val="008B4AB3"/>
    <w:rsid w:val="008B5D47"/>
    <w:rsid w:val="008B7AB2"/>
    <w:rsid w:val="008C0CFC"/>
    <w:rsid w:val="008C1F9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22C"/>
    <w:rsid w:val="0091485D"/>
    <w:rsid w:val="00917489"/>
    <w:rsid w:val="009256C3"/>
    <w:rsid w:val="009267C4"/>
    <w:rsid w:val="009314A7"/>
    <w:rsid w:val="00932D6B"/>
    <w:rsid w:val="009412FA"/>
    <w:rsid w:val="00941552"/>
    <w:rsid w:val="00942FD1"/>
    <w:rsid w:val="0094305B"/>
    <w:rsid w:val="0094314B"/>
    <w:rsid w:val="009431E2"/>
    <w:rsid w:val="009441EF"/>
    <w:rsid w:val="00945024"/>
    <w:rsid w:val="009457E0"/>
    <w:rsid w:val="0094785B"/>
    <w:rsid w:val="00953BC8"/>
    <w:rsid w:val="0095506E"/>
    <w:rsid w:val="00962FA0"/>
    <w:rsid w:val="009632DA"/>
    <w:rsid w:val="00964075"/>
    <w:rsid w:val="00965B6C"/>
    <w:rsid w:val="0096713F"/>
    <w:rsid w:val="0096742A"/>
    <w:rsid w:val="00970C1D"/>
    <w:rsid w:val="00971E88"/>
    <w:rsid w:val="009725D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5818"/>
    <w:rsid w:val="009F6ECE"/>
    <w:rsid w:val="00A07142"/>
    <w:rsid w:val="00A15BA9"/>
    <w:rsid w:val="00A2123E"/>
    <w:rsid w:val="00A2219D"/>
    <w:rsid w:val="00A23E52"/>
    <w:rsid w:val="00A33E20"/>
    <w:rsid w:val="00A37F0D"/>
    <w:rsid w:val="00A42FEF"/>
    <w:rsid w:val="00A521D1"/>
    <w:rsid w:val="00A53380"/>
    <w:rsid w:val="00A56511"/>
    <w:rsid w:val="00A608AA"/>
    <w:rsid w:val="00A6092B"/>
    <w:rsid w:val="00A627C2"/>
    <w:rsid w:val="00A62881"/>
    <w:rsid w:val="00A634EC"/>
    <w:rsid w:val="00A6476D"/>
    <w:rsid w:val="00A6503B"/>
    <w:rsid w:val="00A729BF"/>
    <w:rsid w:val="00A7586A"/>
    <w:rsid w:val="00A86977"/>
    <w:rsid w:val="00A922F5"/>
    <w:rsid w:val="00A94BF8"/>
    <w:rsid w:val="00A96EA7"/>
    <w:rsid w:val="00AA1A82"/>
    <w:rsid w:val="00AB3048"/>
    <w:rsid w:val="00AB7C95"/>
    <w:rsid w:val="00AC10CB"/>
    <w:rsid w:val="00AC2C75"/>
    <w:rsid w:val="00AC4296"/>
    <w:rsid w:val="00AD2B09"/>
    <w:rsid w:val="00AD43C4"/>
    <w:rsid w:val="00AD5AB9"/>
    <w:rsid w:val="00AE12BF"/>
    <w:rsid w:val="00AE55E0"/>
    <w:rsid w:val="00AE7AF3"/>
    <w:rsid w:val="00AE7DBE"/>
    <w:rsid w:val="00AF1FD2"/>
    <w:rsid w:val="00AF36EC"/>
    <w:rsid w:val="00AF5D4E"/>
    <w:rsid w:val="00B02E92"/>
    <w:rsid w:val="00B1209F"/>
    <w:rsid w:val="00B12357"/>
    <w:rsid w:val="00B15EEC"/>
    <w:rsid w:val="00B16BA4"/>
    <w:rsid w:val="00B21D2D"/>
    <w:rsid w:val="00B227B4"/>
    <w:rsid w:val="00B249F8"/>
    <w:rsid w:val="00B26F46"/>
    <w:rsid w:val="00B302D6"/>
    <w:rsid w:val="00B36CD3"/>
    <w:rsid w:val="00B4041D"/>
    <w:rsid w:val="00B42EC6"/>
    <w:rsid w:val="00B43A1C"/>
    <w:rsid w:val="00B51F92"/>
    <w:rsid w:val="00B520EB"/>
    <w:rsid w:val="00B53F2E"/>
    <w:rsid w:val="00B5534E"/>
    <w:rsid w:val="00B56892"/>
    <w:rsid w:val="00B62F5B"/>
    <w:rsid w:val="00B6493C"/>
    <w:rsid w:val="00B67656"/>
    <w:rsid w:val="00B70ED4"/>
    <w:rsid w:val="00B826FA"/>
    <w:rsid w:val="00B83ED3"/>
    <w:rsid w:val="00B840C2"/>
    <w:rsid w:val="00B86167"/>
    <w:rsid w:val="00B91F81"/>
    <w:rsid w:val="00B9263B"/>
    <w:rsid w:val="00B93E4E"/>
    <w:rsid w:val="00B944FB"/>
    <w:rsid w:val="00B94DB1"/>
    <w:rsid w:val="00B96801"/>
    <w:rsid w:val="00B9711B"/>
    <w:rsid w:val="00B97272"/>
    <w:rsid w:val="00BA41F5"/>
    <w:rsid w:val="00BA4BA8"/>
    <w:rsid w:val="00BA74E5"/>
    <w:rsid w:val="00BA7FD5"/>
    <w:rsid w:val="00BC112C"/>
    <w:rsid w:val="00BC6DEA"/>
    <w:rsid w:val="00BD0073"/>
    <w:rsid w:val="00BD60E8"/>
    <w:rsid w:val="00BE0087"/>
    <w:rsid w:val="00BE16DC"/>
    <w:rsid w:val="00BF0A38"/>
    <w:rsid w:val="00BF27D7"/>
    <w:rsid w:val="00BF4F74"/>
    <w:rsid w:val="00C004C3"/>
    <w:rsid w:val="00C01571"/>
    <w:rsid w:val="00C04E6C"/>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45A7"/>
    <w:rsid w:val="00D779FD"/>
    <w:rsid w:val="00D82285"/>
    <w:rsid w:val="00D855EA"/>
    <w:rsid w:val="00D9421D"/>
    <w:rsid w:val="00D95BAB"/>
    <w:rsid w:val="00D95DB5"/>
    <w:rsid w:val="00D95F62"/>
    <w:rsid w:val="00D979D8"/>
    <w:rsid w:val="00D97C73"/>
    <w:rsid w:val="00DA12B7"/>
    <w:rsid w:val="00DA1B0D"/>
    <w:rsid w:val="00DA3BEC"/>
    <w:rsid w:val="00DB12BA"/>
    <w:rsid w:val="00DB40C6"/>
    <w:rsid w:val="00DC11CD"/>
    <w:rsid w:val="00DC27EF"/>
    <w:rsid w:val="00DC5CED"/>
    <w:rsid w:val="00DD0A38"/>
    <w:rsid w:val="00DD344C"/>
    <w:rsid w:val="00DE2B93"/>
    <w:rsid w:val="00DE32E5"/>
    <w:rsid w:val="00DE32FA"/>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D68AE"/>
    <w:rsid w:val="00EE28A0"/>
    <w:rsid w:val="00EE6B5D"/>
    <w:rsid w:val="00EE6E37"/>
    <w:rsid w:val="00EF1A05"/>
    <w:rsid w:val="00EF2C24"/>
    <w:rsid w:val="00EF3612"/>
    <w:rsid w:val="00EF5B17"/>
    <w:rsid w:val="00F01487"/>
    <w:rsid w:val="00F01AB4"/>
    <w:rsid w:val="00F03C65"/>
    <w:rsid w:val="00F142B6"/>
    <w:rsid w:val="00F20E92"/>
    <w:rsid w:val="00F21405"/>
    <w:rsid w:val="00F256AB"/>
    <w:rsid w:val="00F30A86"/>
    <w:rsid w:val="00F32207"/>
    <w:rsid w:val="00F33D67"/>
    <w:rsid w:val="00F37D48"/>
    <w:rsid w:val="00F4632F"/>
    <w:rsid w:val="00F53656"/>
    <w:rsid w:val="00F55888"/>
    <w:rsid w:val="00F572D4"/>
    <w:rsid w:val="00F63223"/>
    <w:rsid w:val="00F73EC1"/>
    <w:rsid w:val="00F7773F"/>
    <w:rsid w:val="00F868F3"/>
    <w:rsid w:val="00F869BD"/>
    <w:rsid w:val="00F95818"/>
    <w:rsid w:val="00F96769"/>
    <w:rsid w:val="00FB2733"/>
    <w:rsid w:val="00FB468B"/>
    <w:rsid w:val="00FB6BDB"/>
    <w:rsid w:val="00FB6E23"/>
    <w:rsid w:val="00FC17DF"/>
    <w:rsid w:val="00FC5B0E"/>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A9"/>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Pongkarn Chakthranont</cp:lastModifiedBy>
  <cp:revision>2</cp:revision>
  <cp:lastPrinted>2025-09-10T07:38:00Z</cp:lastPrinted>
  <dcterms:created xsi:type="dcterms:W3CDTF">2026-01-16T03:09:00Z</dcterms:created>
  <dcterms:modified xsi:type="dcterms:W3CDTF">2026-01-16T03:09:00Z</dcterms:modified>
</cp:coreProperties>
</file>