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0D2E8831" w:rsidR="00F21405" w:rsidRPr="00B9711B" w:rsidRDefault="004B0ABE" w:rsidP="00361240">
      <w:pPr>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B43D245" w:rsidR="00CE4EEC" w:rsidRPr="003D252B" w:rsidRDefault="00D779FD"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November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B43D245" w:rsidR="00CE4EEC" w:rsidRPr="003D252B" w:rsidRDefault="00D779FD"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November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E12443">
        <w:rPr>
          <w:rFonts w:ascii="Arial" w:hAnsi="Arial" w:cs="Arial"/>
          <w:b/>
          <w:bCs/>
          <w:sz w:val="28"/>
          <w:szCs w:val="28"/>
          <w:lang w:val="en-US"/>
        </w:rPr>
        <w:lastRenderedPageBreak/>
        <w:t>October</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01F35A3D" w14:textId="066B36B5" w:rsidR="009431E2" w:rsidRPr="009431E2" w:rsidRDefault="007A0E69" w:rsidP="009431E2">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3D2C63">
        <w:rPr>
          <w:rFonts w:ascii="Arial" w:hAnsi="Arial" w:cs="Arial"/>
          <w:b/>
          <w:bCs/>
        </w:rPr>
        <w:t>October</w:t>
      </w:r>
    </w:p>
    <w:p w14:paraId="6BA77455" w14:textId="5588F387" w:rsidR="009C5FDB" w:rsidRPr="009C5FDB" w:rsidRDefault="009C5FDB" w:rsidP="00342C41">
      <w:pPr>
        <w:pStyle w:val="ListParagraph"/>
        <w:numPr>
          <w:ilvl w:val="0"/>
          <w:numId w:val="27"/>
        </w:numPr>
        <w:rPr>
          <w:rFonts w:ascii="Arial" w:hAnsi="Arial" w:cs="Arial"/>
        </w:rPr>
      </w:pPr>
      <w:r>
        <w:rPr>
          <w:rFonts w:ascii="Arial" w:hAnsi="Arial" w:cs="Arial"/>
        </w:rPr>
        <w:t>Catalyst modification:</w:t>
      </w:r>
    </w:p>
    <w:p w14:paraId="3F9491B4" w14:textId="62630D12" w:rsidR="009431E2" w:rsidRDefault="009431E2" w:rsidP="009C5FDB">
      <w:pPr>
        <w:pStyle w:val="ListParagraph"/>
        <w:numPr>
          <w:ilvl w:val="1"/>
          <w:numId w:val="27"/>
        </w:numPr>
        <w:rPr>
          <w:rFonts w:ascii="Arial" w:hAnsi="Arial" w:cs="Arial"/>
        </w:rPr>
      </w:pPr>
      <w:r>
        <w:rPr>
          <w:rFonts w:ascii="Arial" w:hAnsi="Arial" w:cs="Arial"/>
        </w:rPr>
        <w:t xml:space="preserve">Fluorine-tuned NiSAC by using </w:t>
      </w:r>
      <w:proofErr w:type="spellStart"/>
      <w:r>
        <w:rPr>
          <w:rFonts w:ascii="Arial" w:hAnsi="Arial" w:cs="Arial"/>
        </w:rPr>
        <w:t>ultraflon</w:t>
      </w:r>
      <w:proofErr w:type="spellEnd"/>
      <w:r>
        <w:rPr>
          <w:rFonts w:ascii="Arial" w:hAnsi="Arial" w:cs="Arial"/>
        </w:rPr>
        <w:t xml:space="preserve"> PTFE as a fluorine source</w:t>
      </w:r>
    </w:p>
    <w:p w14:paraId="558AC202" w14:textId="5A795369" w:rsidR="009431E2" w:rsidRDefault="009431E2" w:rsidP="009C5FDB">
      <w:pPr>
        <w:pStyle w:val="ListParagraph"/>
        <w:numPr>
          <w:ilvl w:val="1"/>
          <w:numId w:val="27"/>
        </w:numPr>
        <w:rPr>
          <w:rFonts w:ascii="Arial" w:hAnsi="Arial" w:cs="Arial"/>
        </w:rPr>
      </w:pPr>
      <w:r>
        <w:rPr>
          <w:rFonts w:ascii="Arial" w:hAnsi="Arial" w:cs="Arial"/>
        </w:rPr>
        <w:t xml:space="preserve">Dual-atom </w:t>
      </w:r>
      <w:r w:rsidR="003D2C63">
        <w:rPr>
          <w:rFonts w:ascii="Arial" w:hAnsi="Arial" w:cs="Arial"/>
        </w:rPr>
        <w:t>single catalyst</w:t>
      </w:r>
    </w:p>
    <w:p w14:paraId="3FBE0CCD" w14:textId="3825B270" w:rsidR="003D2C63" w:rsidRDefault="003D2C63" w:rsidP="009C5FDB">
      <w:pPr>
        <w:pStyle w:val="ListParagraph"/>
        <w:numPr>
          <w:ilvl w:val="1"/>
          <w:numId w:val="27"/>
        </w:numPr>
        <w:rPr>
          <w:rFonts w:ascii="Arial" w:hAnsi="Arial" w:cs="Arial"/>
        </w:rPr>
      </w:pPr>
      <w:r>
        <w:rPr>
          <w:rFonts w:ascii="Arial" w:hAnsi="Arial" w:cs="Arial"/>
        </w:rPr>
        <w:t>Introducing PTFE and MWCNT additives</w:t>
      </w:r>
    </w:p>
    <w:p w14:paraId="10BD6232" w14:textId="2546CE08" w:rsidR="003D2C63" w:rsidRDefault="003D2C63" w:rsidP="003D2C63">
      <w:pPr>
        <w:pStyle w:val="ListParagraph"/>
        <w:numPr>
          <w:ilvl w:val="0"/>
          <w:numId w:val="27"/>
        </w:numPr>
        <w:rPr>
          <w:rFonts w:ascii="Arial" w:hAnsi="Arial" w:cs="Arial"/>
        </w:rPr>
      </w:pPr>
      <w:r>
        <w:rPr>
          <w:rFonts w:ascii="Arial" w:hAnsi="Arial" w:cs="Arial"/>
        </w:rPr>
        <w:t xml:space="preserve">Influence of </w:t>
      </w:r>
      <w:proofErr w:type="spellStart"/>
      <w:r>
        <w:rPr>
          <w:rFonts w:ascii="Arial" w:hAnsi="Arial" w:cs="Arial"/>
        </w:rPr>
        <w:t>Sustainion</w:t>
      </w:r>
      <w:proofErr w:type="spellEnd"/>
      <w:r>
        <w:rPr>
          <w:rFonts w:ascii="Arial" w:hAnsi="Arial" w:cs="Arial"/>
        </w:rPr>
        <w:t xml:space="preserve"> XC-2 ionomer loading on CO2RR performance of NiSAC under a diluted CO</w:t>
      </w:r>
      <w:r w:rsidRPr="003D2C63">
        <w:rPr>
          <w:rFonts w:ascii="Arial" w:hAnsi="Arial" w:cs="Arial"/>
          <w:vertAlign w:val="subscript"/>
        </w:rPr>
        <w:t>2</w:t>
      </w:r>
      <w:r>
        <w:rPr>
          <w:rFonts w:ascii="Arial" w:hAnsi="Arial" w:cs="Arial"/>
        </w:rPr>
        <w:t xml:space="preserve"> at 200mA/cm</w:t>
      </w:r>
      <w:r w:rsidRPr="003D2C63">
        <w:rPr>
          <w:rFonts w:ascii="Arial" w:hAnsi="Arial" w:cs="Arial"/>
          <w:vertAlign w:val="superscript"/>
        </w:rPr>
        <w:t>2</w:t>
      </w:r>
    </w:p>
    <w:p w14:paraId="3C082CA1" w14:textId="7FFDFFA5" w:rsidR="003D2C63" w:rsidRDefault="003D2C63" w:rsidP="003D2C63">
      <w:pPr>
        <w:pStyle w:val="ListParagraph"/>
        <w:numPr>
          <w:ilvl w:val="0"/>
          <w:numId w:val="27"/>
        </w:numPr>
        <w:rPr>
          <w:rFonts w:ascii="Arial" w:hAnsi="Arial" w:cs="Arial"/>
        </w:rPr>
      </w:pPr>
      <w:r>
        <w:rPr>
          <w:rFonts w:ascii="Arial" w:hAnsi="Arial" w:cs="Arial"/>
        </w:rPr>
        <w:t xml:space="preserve">Long-term performance of NiSAC and </w:t>
      </w:r>
      <w:proofErr w:type="spellStart"/>
      <w:proofErr w:type="gramStart"/>
      <w:r>
        <w:rPr>
          <w:rFonts w:ascii="Arial" w:hAnsi="Arial" w:cs="Arial"/>
        </w:rPr>
        <w:t>PANI,PTFE</w:t>
      </w:r>
      <w:proofErr w:type="gramEnd"/>
      <w:r>
        <w:rPr>
          <w:rFonts w:ascii="Arial" w:hAnsi="Arial" w:cs="Arial"/>
        </w:rPr>
        <w:t>@NiSAC</w:t>
      </w:r>
      <w:proofErr w:type="spellEnd"/>
      <w:r>
        <w:rPr>
          <w:rFonts w:ascii="Arial" w:hAnsi="Arial" w:cs="Arial"/>
        </w:rPr>
        <w:t xml:space="preserve"> under a pure CO</w:t>
      </w:r>
      <w:r w:rsidRPr="003D2C63">
        <w:rPr>
          <w:rFonts w:ascii="Arial" w:hAnsi="Arial" w:cs="Arial"/>
          <w:vertAlign w:val="subscript"/>
        </w:rPr>
        <w:t>2</w:t>
      </w:r>
      <w:r>
        <w:rPr>
          <w:rFonts w:ascii="Arial" w:hAnsi="Arial" w:cs="Arial"/>
          <w:vertAlign w:val="subscript"/>
        </w:rPr>
        <w:t xml:space="preserve"> </w:t>
      </w:r>
      <w:r>
        <w:rPr>
          <w:rFonts w:ascii="Arial" w:hAnsi="Arial" w:cs="Arial"/>
        </w:rPr>
        <w:t>and 200mA/cm</w:t>
      </w:r>
      <w:r w:rsidRPr="003D2C63">
        <w:rPr>
          <w:rFonts w:ascii="Arial" w:hAnsi="Arial" w:cs="Arial"/>
          <w:vertAlign w:val="superscript"/>
        </w:rPr>
        <w:t>2</w:t>
      </w:r>
    </w:p>
    <w:p w14:paraId="1E60168E" w14:textId="6E1D0ABC" w:rsidR="00342C41" w:rsidRPr="003D2C63" w:rsidRDefault="003D2C63" w:rsidP="003D2C63">
      <w:pPr>
        <w:pStyle w:val="ListParagraph"/>
        <w:numPr>
          <w:ilvl w:val="0"/>
          <w:numId w:val="27"/>
        </w:numPr>
        <w:rPr>
          <w:rFonts w:ascii="Arial" w:hAnsi="Arial" w:cs="Arial"/>
        </w:rPr>
      </w:pPr>
      <w:r>
        <w:rPr>
          <w:rFonts w:ascii="Arial" w:hAnsi="Arial" w:cs="Arial"/>
        </w:rPr>
        <w:t>Long-term performance of NiSAC under a pure CO</w:t>
      </w:r>
      <w:r w:rsidRPr="003D2C63">
        <w:rPr>
          <w:rFonts w:ascii="Arial" w:hAnsi="Arial" w:cs="Arial"/>
          <w:vertAlign w:val="subscript"/>
        </w:rPr>
        <w:t>2</w:t>
      </w:r>
      <w:r>
        <w:rPr>
          <w:rFonts w:ascii="Arial" w:hAnsi="Arial" w:cs="Arial"/>
          <w:vertAlign w:val="subscript"/>
        </w:rPr>
        <w:t xml:space="preserve"> </w:t>
      </w:r>
      <w:r>
        <w:rPr>
          <w:rFonts w:ascii="Arial" w:hAnsi="Arial" w:cs="Arial"/>
        </w:rPr>
        <w:t>with 0.5M and 1M KOH anolyte at 100mA/cm</w:t>
      </w:r>
      <w:r w:rsidRPr="003D2C63">
        <w:rPr>
          <w:rFonts w:ascii="Arial" w:hAnsi="Arial" w:cs="Arial"/>
          <w:vertAlign w:val="superscript"/>
        </w:rPr>
        <w:t>2</w:t>
      </w:r>
    </w:p>
    <w:p w14:paraId="3798EAF3" w14:textId="7920BFF0" w:rsidR="004616B8" w:rsidRPr="009314A7" w:rsidRDefault="007A0E69" w:rsidP="009314A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69FB4B72" w14:textId="24567788" w:rsidR="004616B8" w:rsidRPr="004616B8" w:rsidRDefault="004616B8" w:rsidP="00E944D0">
      <w:pPr>
        <w:jc w:val="both"/>
        <w:rPr>
          <w:rFonts w:ascii="Arial" w:hAnsi="Arial" w:cs="Arial"/>
          <w:b/>
          <w:bCs/>
          <w:sz w:val="22"/>
          <w:szCs w:val="22"/>
          <w:lang w:val="en-US"/>
        </w:rPr>
      </w:pPr>
      <w:r w:rsidRPr="004616B8">
        <w:rPr>
          <w:rFonts w:ascii="Arial" w:hAnsi="Arial" w:cs="Arial"/>
          <w:b/>
          <w:bCs/>
          <w:sz w:val="22"/>
          <w:szCs w:val="22"/>
          <w:lang w:val="en-US"/>
        </w:rPr>
        <w:t>Preparation of Ni</w:t>
      </w:r>
      <w:r w:rsidR="00105A17">
        <w:rPr>
          <w:rFonts w:ascii="Arial" w:hAnsi="Arial" w:cs="Arial"/>
          <w:b/>
          <w:bCs/>
          <w:sz w:val="22"/>
          <w:szCs w:val="22"/>
          <w:lang w:val="en-US"/>
        </w:rPr>
        <w:t>0.5SAC</w:t>
      </w:r>
      <w:r w:rsidR="005D2FEF">
        <w:rPr>
          <w:rFonts w:ascii="Arial" w:hAnsi="Arial" w:cs="Arial"/>
          <w:b/>
          <w:bCs/>
          <w:sz w:val="22"/>
          <w:szCs w:val="22"/>
          <w:lang w:val="en-US"/>
        </w:rPr>
        <w:t>@</w:t>
      </w:r>
      <w:r w:rsidRPr="004616B8">
        <w:rPr>
          <w:rFonts w:ascii="Arial" w:hAnsi="Arial" w:cs="Arial"/>
          <w:b/>
          <w:bCs/>
          <w:sz w:val="22"/>
          <w:szCs w:val="22"/>
          <w:lang w:val="en-US"/>
        </w:rPr>
        <w:t>PANI and</w:t>
      </w:r>
      <w:r w:rsidR="00105A17">
        <w:rPr>
          <w:rFonts w:ascii="Arial" w:hAnsi="Arial" w:cs="Arial"/>
          <w:b/>
          <w:bCs/>
          <w:sz w:val="22"/>
          <w:szCs w:val="22"/>
          <w:lang w:val="en-US"/>
        </w:rPr>
        <w:t xml:space="preserve"> </w:t>
      </w:r>
      <w:r w:rsidRPr="004616B8">
        <w:rPr>
          <w:rFonts w:ascii="Arial" w:hAnsi="Arial" w:cs="Arial"/>
          <w:b/>
          <w:bCs/>
          <w:sz w:val="22"/>
          <w:szCs w:val="22"/>
          <w:lang w:val="en-US"/>
        </w:rPr>
        <w:t>cathode electrode</w:t>
      </w:r>
    </w:p>
    <w:p w14:paraId="1F85EBBC" w14:textId="2AC7C7A6" w:rsidR="00DB40C6" w:rsidRPr="008510F9" w:rsidRDefault="004616B8" w:rsidP="00E944D0">
      <w:pPr>
        <w:jc w:val="both"/>
        <w:rPr>
          <w:rFonts w:ascii="Arial" w:hAnsi="Arial" w:cs="Arial"/>
          <w:sz w:val="22"/>
          <w:szCs w:val="22"/>
          <w:lang w:val="en-US"/>
        </w:rPr>
      </w:pPr>
      <w:r>
        <w:rPr>
          <w:rFonts w:ascii="Arial" w:hAnsi="Arial" w:cs="Arial"/>
          <w:sz w:val="22"/>
          <w:szCs w:val="22"/>
          <w:lang w:val="en-US"/>
        </w:rPr>
        <w:t>Briefly, Ni</w:t>
      </w:r>
      <w:r w:rsidR="00105A17">
        <w:rPr>
          <w:rFonts w:ascii="Arial" w:hAnsi="Arial" w:cs="Arial"/>
          <w:sz w:val="22"/>
          <w:szCs w:val="22"/>
          <w:lang w:val="en-US"/>
        </w:rPr>
        <w:t>0.5SAC</w:t>
      </w:r>
      <w:r>
        <w:rPr>
          <w:rFonts w:ascii="Arial" w:hAnsi="Arial" w:cs="Arial"/>
          <w:sz w:val="22"/>
          <w:szCs w:val="22"/>
          <w:lang w:val="en-US"/>
        </w:rPr>
        <w:t xml:space="preserve"> (150mg) and PANI (75mg) were mixed in </w:t>
      </w:r>
      <w:r w:rsidR="003D2C63">
        <w:rPr>
          <w:rFonts w:ascii="Arial" w:hAnsi="Arial" w:cs="Arial"/>
          <w:sz w:val="22"/>
          <w:szCs w:val="22"/>
          <w:lang w:val="en-US"/>
        </w:rPr>
        <w:t>15</w:t>
      </w:r>
      <w:r>
        <w:rPr>
          <w:rFonts w:ascii="Arial" w:hAnsi="Arial" w:cs="Arial"/>
          <w:sz w:val="22"/>
          <w:szCs w:val="22"/>
          <w:lang w:val="en-US"/>
        </w:rPr>
        <w:t>ml of IPA to make a dispersion solution</w:t>
      </w:r>
      <w:r w:rsidR="005D2FEF">
        <w:rPr>
          <w:rFonts w:ascii="Arial" w:hAnsi="Arial" w:cs="Arial"/>
          <w:sz w:val="22"/>
          <w:szCs w:val="22"/>
          <w:lang w:val="en-US"/>
        </w:rPr>
        <w:t>. Subsequently, the dispersion solution was sonicated for 2h, followed by overnight stirring at a room temperature. Afterwards,</w:t>
      </w:r>
      <w:r w:rsidR="00105A17">
        <w:rPr>
          <w:rFonts w:ascii="Arial" w:hAnsi="Arial" w:cs="Arial"/>
          <w:sz w:val="22"/>
          <w:szCs w:val="22"/>
          <w:lang w:val="en-US"/>
        </w:rPr>
        <w:t xml:space="preserve"> the dispersed Ni0.5SAC@PANI was filtered out, followed by several washing with DI</w:t>
      </w:r>
      <w:r w:rsidR="008962CA">
        <w:rPr>
          <w:rFonts w:ascii="Arial" w:hAnsi="Arial" w:cs="Arial"/>
          <w:sz w:val="22"/>
          <w:szCs w:val="22"/>
          <w:lang w:val="en-US"/>
        </w:rPr>
        <w:t>. The solid residue was then overnight dried at 80</w:t>
      </w:r>
      <w:r w:rsidR="008962CA" w:rsidRPr="00B9711B">
        <w:rPr>
          <w:rFonts w:ascii="Arial" w:hAnsi="Arial" w:cs="Arial"/>
          <w:sz w:val="22"/>
          <w:szCs w:val="22"/>
          <w:lang w:val="en-US"/>
        </w:rPr>
        <w:sym w:font="Symbol" w:char="F0B0"/>
      </w:r>
      <w:r w:rsidR="008962CA" w:rsidRPr="00B9711B">
        <w:rPr>
          <w:rFonts w:ascii="Arial" w:hAnsi="Arial" w:cs="Arial"/>
          <w:sz w:val="22"/>
          <w:szCs w:val="22"/>
          <w:lang w:val="en-US"/>
        </w:rPr>
        <w:t>C</w:t>
      </w:r>
      <w:r w:rsidR="008962CA">
        <w:rPr>
          <w:rFonts w:ascii="Arial" w:hAnsi="Arial" w:cs="Arial"/>
          <w:sz w:val="22"/>
          <w:szCs w:val="22"/>
          <w:lang w:val="en-US"/>
        </w:rPr>
        <w:t xml:space="preserve"> to finally obtain Ni0.5SAC@PANI powder. 150mg of Ni0.5SAC@PANI was added into a 10ml of IPA, followed by adding </w:t>
      </w:r>
      <w:r w:rsidR="005D2FEF">
        <w:rPr>
          <w:rFonts w:ascii="Arial" w:hAnsi="Arial" w:cs="Arial"/>
          <w:sz w:val="22"/>
          <w:szCs w:val="22"/>
          <w:lang w:val="en-US"/>
        </w:rPr>
        <w:t>381µL</w:t>
      </w:r>
      <w:r w:rsidR="008510F9">
        <w:rPr>
          <w:rFonts w:ascii="Arial" w:hAnsi="Arial" w:cs="Arial"/>
          <w:sz w:val="22"/>
          <w:szCs w:val="22"/>
          <w:lang w:val="en-US"/>
        </w:rPr>
        <w:t xml:space="preserve"> </w:t>
      </w:r>
      <w:r w:rsidR="005D2FEF">
        <w:rPr>
          <w:rFonts w:ascii="Arial" w:hAnsi="Arial" w:cs="Arial"/>
          <w:sz w:val="22"/>
          <w:szCs w:val="22"/>
          <w:lang w:val="en-US"/>
        </w:rPr>
        <w:t>of X</w:t>
      </w:r>
      <w:r w:rsidR="00105A17">
        <w:rPr>
          <w:rFonts w:ascii="Arial" w:hAnsi="Arial" w:cs="Arial"/>
          <w:sz w:val="22"/>
          <w:szCs w:val="22"/>
          <w:lang w:val="en-US"/>
        </w:rPr>
        <w:t>C-2</w:t>
      </w:r>
      <w:r w:rsidR="005D2FEF">
        <w:rPr>
          <w:rFonts w:ascii="Arial" w:hAnsi="Arial" w:cs="Arial"/>
          <w:sz w:val="22"/>
          <w:szCs w:val="22"/>
          <w:lang w:val="en-US"/>
        </w:rPr>
        <w:t xml:space="preserve"> binder</w:t>
      </w:r>
      <w:r w:rsidR="008962CA">
        <w:rPr>
          <w:rFonts w:ascii="Arial" w:hAnsi="Arial" w:cs="Arial"/>
          <w:sz w:val="22"/>
          <w:szCs w:val="22"/>
          <w:lang w:val="en-US"/>
        </w:rPr>
        <w:t xml:space="preserve"> </w:t>
      </w:r>
      <w:r w:rsidR="005D2FEF">
        <w:rPr>
          <w:rFonts w:ascii="Arial" w:hAnsi="Arial" w:cs="Arial"/>
          <w:sz w:val="22"/>
          <w:szCs w:val="22"/>
          <w:lang w:val="en-US"/>
        </w:rPr>
        <w:t>and sonicat</w:t>
      </w:r>
      <w:r w:rsidR="008510F9">
        <w:rPr>
          <w:rFonts w:ascii="Arial" w:hAnsi="Arial" w:cs="Arial"/>
          <w:sz w:val="22"/>
          <w:szCs w:val="22"/>
          <w:lang w:val="en-US"/>
        </w:rPr>
        <w:t>ing</w:t>
      </w:r>
      <w:r w:rsidR="005D2FEF">
        <w:rPr>
          <w:rFonts w:ascii="Arial" w:hAnsi="Arial" w:cs="Arial"/>
          <w:sz w:val="22"/>
          <w:szCs w:val="22"/>
          <w:lang w:val="en-US"/>
        </w:rPr>
        <w:t xml:space="preserve"> for another hour to make an ink solution. The ink solution was then sprayed onto </w:t>
      </w:r>
      <w:proofErr w:type="spellStart"/>
      <w:r w:rsidR="00105A17">
        <w:rPr>
          <w:rFonts w:ascii="Arial" w:hAnsi="Arial" w:cs="Arial"/>
          <w:sz w:val="22"/>
          <w:szCs w:val="22"/>
          <w:lang w:val="en-US"/>
        </w:rPr>
        <w:t>Sigracet</w:t>
      </w:r>
      <w:proofErr w:type="spellEnd"/>
      <w:r w:rsidR="00105A17">
        <w:rPr>
          <w:rFonts w:ascii="Arial" w:hAnsi="Arial" w:cs="Arial"/>
          <w:sz w:val="22"/>
          <w:szCs w:val="22"/>
          <w:lang w:val="en-US"/>
        </w:rPr>
        <w:t xml:space="preserve"> 39BB carbon pape</w:t>
      </w:r>
      <w:r w:rsidR="008510F9">
        <w:rPr>
          <w:rFonts w:ascii="Arial" w:hAnsi="Arial" w:cs="Arial"/>
          <w:sz w:val="22"/>
          <w:szCs w:val="22"/>
          <w:lang w:val="en-US"/>
        </w:rPr>
        <w:t xml:space="preserve">r to obtain </w:t>
      </w:r>
      <w:r w:rsidR="00023187">
        <w:rPr>
          <w:rFonts w:ascii="Arial" w:hAnsi="Arial" w:cs="Arial"/>
          <w:sz w:val="22"/>
          <w:szCs w:val="22"/>
          <w:lang w:val="en-US"/>
        </w:rPr>
        <w:t xml:space="preserve">a </w:t>
      </w:r>
      <w:r w:rsidR="008510F9">
        <w:rPr>
          <w:rFonts w:ascii="Arial" w:hAnsi="Arial" w:cs="Arial"/>
          <w:sz w:val="22"/>
          <w:szCs w:val="22"/>
          <w:lang w:val="en-US"/>
        </w:rPr>
        <w:t>mass loading of approx.</w:t>
      </w:r>
      <w:r w:rsidR="008510F9" w:rsidRPr="00B9711B">
        <w:rPr>
          <w:rFonts w:ascii="Arial" w:hAnsi="Arial" w:cs="Arial"/>
          <w:sz w:val="22"/>
          <w:szCs w:val="22"/>
          <w:lang w:val="en-US"/>
        </w:rPr>
        <w:t xml:space="preserve"> 0.</w:t>
      </w:r>
      <w:r w:rsidR="008510F9">
        <w:rPr>
          <w:rFonts w:ascii="Arial" w:hAnsi="Arial" w:cs="Arial"/>
          <w:sz w:val="22"/>
          <w:szCs w:val="22"/>
          <w:lang w:val="en-US"/>
        </w:rPr>
        <w:t>18</w:t>
      </w:r>
      <w:r w:rsidR="008510F9" w:rsidRPr="00B9711B">
        <w:rPr>
          <w:rFonts w:ascii="Arial" w:hAnsi="Arial" w:cs="Arial"/>
          <w:sz w:val="22"/>
          <w:szCs w:val="22"/>
          <w:lang w:val="en-US"/>
        </w:rPr>
        <w:t xml:space="preserve"> </w:t>
      </w:r>
      <w:r w:rsidR="008510F9" w:rsidRPr="00B9711B">
        <w:rPr>
          <w:rFonts w:ascii="Arial" w:hAnsi="Arial" w:cs="Arial"/>
          <w:sz w:val="22"/>
          <w:szCs w:val="22"/>
          <w:lang w:val="en-US"/>
        </w:rPr>
        <w:sym w:font="Symbol" w:char="F0B1"/>
      </w:r>
      <w:r w:rsidR="008510F9" w:rsidRPr="00B9711B">
        <w:rPr>
          <w:rFonts w:ascii="Arial" w:hAnsi="Arial" w:cs="Arial"/>
          <w:sz w:val="22"/>
          <w:szCs w:val="22"/>
          <w:lang w:val="en-US"/>
        </w:rPr>
        <w:t xml:space="preserve"> 0.1 mg/cm</w:t>
      </w:r>
      <w:r w:rsidR="008510F9" w:rsidRPr="00B9711B">
        <w:rPr>
          <w:rFonts w:ascii="Arial" w:hAnsi="Arial" w:cs="Arial"/>
          <w:sz w:val="22"/>
          <w:szCs w:val="22"/>
          <w:vertAlign w:val="superscript"/>
          <w:lang w:val="en-US"/>
        </w:rPr>
        <w:t>2</w:t>
      </w:r>
      <w:r w:rsidR="008510F9">
        <w:rPr>
          <w:rFonts w:ascii="Arial" w:hAnsi="Arial" w:cs="Arial"/>
          <w:sz w:val="22"/>
          <w:szCs w:val="22"/>
          <w:lang w:val="en-US"/>
        </w:rPr>
        <w:t>.</w:t>
      </w:r>
    </w:p>
    <w:p w14:paraId="50D49CD9" w14:textId="77777777" w:rsidR="005D2FEF" w:rsidRDefault="005D2FEF" w:rsidP="00E944D0">
      <w:pPr>
        <w:jc w:val="both"/>
        <w:rPr>
          <w:rFonts w:ascii="Arial" w:hAnsi="Arial" w:cs="Arial"/>
          <w:sz w:val="22"/>
          <w:szCs w:val="22"/>
          <w:lang w:val="en-US"/>
        </w:rPr>
      </w:pPr>
    </w:p>
    <w:p w14:paraId="32DB466D" w14:textId="3525A910" w:rsidR="001901F3" w:rsidRPr="001901F3" w:rsidRDefault="003D2C63" w:rsidP="001901F3">
      <w:pPr>
        <w:jc w:val="both"/>
        <w:rPr>
          <w:rFonts w:ascii="Arial" w:hAnsi="Arial" w:cs="Arial"/>
          <w:sz w:val="22"/>
          <w:szCs w:val="22"/>
        </w:rPr>
      </w:pPr>
      <w:r>
        <w:rPr>
          <w:rFonts w:ascii="Arial" w:hAnsi="Arial" w:cs="Arial"/>
          <w:b/>
          <w:bCs/>
          <w:sz w:val="22"/>
          <w:szCs w:val="22"/>
          <w:lang w:val="en-US"/>
        </w:rPr>
        <w:t>Synthesis of f</w:t>
      </w:r>
      <w:r w:rsidR="001901F3" w:rsidRPr="001901F3">
        <w:rPr>
          <w:rFonts w:ascii="Arial" w:hAnsi="Arial" w:cs="Arial"/>
          <w:b/>
          <w:bCs/>
          <w:sz w:val="22"/>
          <w:szCs w:val="22"/>
        </w:rPr>
        <w:t>luorine-tuned NiSAC (NiSAC@F):</w:t>
      </w:r>
    </w:p>
    <w:p w14:paraId="2129963F" w14:textId="3AA8D92F" w:rsidR="001901F3" w:rsidRPr="001901F3" w:rsidRDefault="001901F3" w:rsidP="001901F3">
      <w:pPr>
        <w:jc w:val="both"/>
        <w:rPr>
          <w:rFonts w:ascii="Arial" w:hAnsi="Arial" w:cs="Arial"/>
          <w:sz w:val="22"/>
          <w:szCs w:val="22"/>
        </w:rPr>
      </w:pPr>
      <w:r w:rsidRPr="001901F3">
        <w:rPr>
          <w:rFonts w:ascii="Arial" w:hAnsi="Arial" w:cs="Arial"/>
          <w:b/>
          <w:bCs/>
          <w:sz w:val="22"/>
          <w:szCs w:val="22"/>
          <w:lang w:val="en-US"/>
        </w:rPr>
        <w:t>Pyrolysis</w:t>
      </w:r>
      <w:r w:rsidRPr="001901F3">
        <w:rPr>
          <w:rFonts w:ascii="Arial" w:hAnsi="Arial" w:cs="Arial"/>
          <w:sz w:val="22"/>
          <w:szCs w:val="22"/>
          <w:lang w:val="en-US"/>
        </w:rPr>
        <w:t xml:space="preserve">: Briefly, 0.5g of </w:t>
      </w:r>
      <w:proofErr w:type="spellStart"/>
      <w:r w:rsidRPr="001901F3">
        <w:rPr>
          <w:rFonts w:ascii="Arial" w:hAnsi="Arial" w:cs="Arial"/>
          <w:sz w:val="22"/>
          <w:szCs w:val="22"/>
          <w:lang w:val="en-US"/>
        </w:rPr>
        <w:t>NiPc</w:t>
      </w:r>
      <w:proofErr w:type="spellEnd"/>
      <w:r w:rsidRPr="001901F3">
        <w:rPr>
          <w:rFonts w:ascii="Arial" w:hAnsi="Arial" w:cs="Arial"/>
          <w:sz w:val="22"/>
          <w:szCs w:val="22"/>
          <w:lang w:val="en-US"/>
        </w:rPr>
        <w:t xml:space="preserve">, 5g of Dicy, 5g of Urea, and an exact amount of </w:t>
      </w:r>
      <w:proofErr w:type="spellStart"/>
      <w:r w:rsidRPr="001901F3">
        <w:rPr>
          <w:rFonts w:ascii="Arial" w:hAnsi="Arial" w:cs="Arial"/>
          <w:sz w:val="22"/>
          <w:szCs w:val="22"/>
          <w:lang w:val="en-US"/>
        </w:rPr>
        <w:t>Ultraflon</w:t>
      </w:r>
      <w:proofErr w:type="spellEnd"/>
      <w:r w:rsidRPr="001901F3">
        <w:rPr>
          <w:rFonts w:ascii="Arial" w:hAnsi="Arial" w:cs="Arial"/>
          <w:sz w:val="22"/>
          <w:szCs w:val="22"/>
          <w:lang w:val="en-US"/>
        </w:rPr>
        <w:t xml:space="preserve"> (PTFE, 10-20% by </w:t>
      </w:r>
      <w:proofErr w:type="spellStart"/>
      <w:r w:rsidRPr="001901F3">
        <w:rPr>
          <w:rFonts w:ascii="Arial" w:hAnsi="Arial" w:cs="Arial"/>
          <w:sz w:val="22"/>
          <w:szCs w:val="22"/>
          <w:lang w:val="en-US"/>
        </w:rPr>
        <w:t>NiPc</w:t>
      </w:r>
      <w:proofErr w:type="spellEnd"/>
      <w:r w:rsidRPr="001901F3">
        <w:rPr>
          <w:rFonts w:ascii="Arial" w:hAnsi="Arial" w:cs="Arial"/>
          <w:sz w:val="22"/>
          <w:szCs w:val="22"/>
          <w:lang w:val="en-US"/>
        </w:rPr>
        <w:t xml:space="preserve"> weight) were homogeneously grinded. Afterwards, the homogeneous powder was transferred to a quartz boat and pyrolyzed at 800</w:t>
      </w:r>
      <w:r w:rsidR="003D2C63">
        <w:rPr>
          <w:rFonts w:ascii="Arial" w:hAnsi="Arial" w:cs="Arial"/>
          <w:sz w:val="22"/>
          <w:szCs w:val="22"/>
          <w:lang w:val="en-US"/>
        </w:rPr>
        <w:sym w:font="Symbol" w:char="F0B0"/>
      </w:r>
      <w:r w:rsidR="003D2C63" w:rsidRPr="001901F3">
        <w:rPr>
          <w:rFonts w:ascii="Arial" w:hAnsi="Arial" w:cs="Arial"/>
          <w:sz w:val="22"/>
          <w:szCs w:val="22"/>
          <w:lang w:val="en-US"/>
        </w:rPr>
        <w:t>C</w:t>
      </w:r>
      <w:r w:rsidRPr="001901F3">
        <w:rPr>
          <w:rFonts w:ascii="Arial" w:hAnsi="Arial" w:cs="Arial"/>
          <w:sz w:val="22"/>
          <w:szCs w:val="22"/>
          <w:lang w:val="en-US"/>
        </w:rPr>
        <w:t xml:space="preserve"> for 2h under 200ml/min </w:t>
      </w:r>
      <w:proofErr w:type="spellStart"/>
      <w:r w:rsidRPr="001901F3">
        <w:rPr>
          <w:rFonts w:ascii="Arial" w:hAnsi="Arial" w:cs="Arial"/>
          <w:sz w:val="22"/>
          <w:szCs w:val="22"/>
          <w:lang w:val="en-US"/>
        </w:rPr>
        <w:t>Ar</w:t>
      </w:r>
      <w:proofErr w:type="spellEnd"/>
      <w:r w:rsidRPr="001901F3">
        <w:rPr>
          <w:rFonts w:ascii="Arial" w:hAnsi="Arial" w:cs="Arial"/>
          <w:sz w:val="22"/>
          <w:szCs w:val="22"/>
          <w:lang w:val="en-US"/>
        </w:rPr>
        <w:t xml:space="preserve"> gas.</w:t>
      </w:r>
    </w:p>
    <w:p w14:paraId="5375AFC6" w14:textId="77777777" w:rsidR="001901F3" w:rsidRPr="001901F3" w:rsidRDefault="001901F3" w:rsidP="001901F3">
      <w:pPr>
        <w:jc w:val="both"/>
        <w:rPr>
          <w:rFonts w:ascii="Arial" w:hAnsi="Arial" w:cs="Arial"/>
          <w:sz w:val="22"/>
          <w:szCs w:val="22"/>
        </w:rPr>
      </w:pPr>
      <w:r w:rsidRPr="001901F3">
        <w:rPr>
          <w:rFonts w:ascii="Arial" w:hAnsi="Arial" w:cs="Arial"/>
          <w:b/>
          <w:bCs/>
          <w:sz w:val="22"/>
          <w:szCs w:val="22"/>
          <w:lang w:val="en-US"/>
        </w:rPr>
        <w:t>Physical Blend</w:t>
      </w:r>
      <w:r w:rsidRPr="001901F3">
        <w:rPr>
          <w:rFonts w:ascii="Arial" w:hAnsi="Arial" w:cs="Arial"/>
          <w:sz w:val="22"/>
          <w:szCs w:val="22"/>
          <w:lang w:val="en-US"/>
        </w:rPr>
        <w:t>: PTFE (10-20% by catalyst weight) was directly added into a catalyst ink, followed by sonicating for 1h.</w:t>
      </w:r>
    </w:p>
    <w:p w14:paraId="04983CC8" w14:textId="77777777" w:rsidR="001901F3" w:rsidRDefault="001901F3" w:rsidP="00E944D0">
      <w:pPr>
        <w:jc w:val="both"/>
        <w:rPr>
          <w:rFonts w:ascii="Arial" w:hAnsi="Arial" w:cs="Arial"/>
          <w:sz w:val="22"/>
          <w:szCs w:val="22"/>
          <w:lang w:val="en-US"/>
        </w:rPr>
      </w:pPr>
    </w:p>
    <w:p w14:paraId="70B43B05" w14:textId="7742BD96" w:rsidR="001901F3" w:rsidRPr="001901F3" w:rsidRDefault="001901F3" w:rsidP="001901F3">
      <w:pPr>
        <w:jc w:val="both"/>
        <w:rPr>
          <w:rFonts w:ascii="Arial" w:hAnsi="Arial" w:cs="Arial"/>
          <w:sz w:val="22"/>
          <w:szCs w:val="22"/>
        </w:rPr>
      </w:pPr>
      <w:r w:rsidRPr="001901F3">
        <w:rPr>
          <w:rFonts w:ascii="Arial" w:hAnsi="Arial" w:cs="Arial"/>
          <w:b/>
          <w:bCs/>
          <w:sz w:val="22"/>
          <w:szCs w:val="22"/>
        </w:rPr>
        <w:t>Synthesis of dual-atom single catalyst (NiFe-SAC)</w:t>
      </w:r>
    </w:p>
    <w:p w14:paraId="4D49322A" w14:textId="56702D6F" w:rsidR="001901F3" w:rsidRPr="001901F3" w:rsidRDefault="001901F3" w:rsidP="001901F3">
      <w:pPr>
        <w:jc w:val="both"/>
        <w:rPr>
          <w:rFonts w:ascii="Arial" w:hAnsi="Arial" w:cs="Arial"/>
          <w:sz w:val="22"/>
          <w:szCs w:val="22"/>
        </w:rPr>
      </w:pPr>
      <w:r w:rsidRPr="001901F3">
        <w:rPr>
          <w:rFonts w:ascii="Arial" w:hAnsi="Arial" w:cs="Arial"/>
          <w:sz w:val="22"/>
          <w:szCs w:val="22"/>
          <w:lang w:val="en-US"/>
        </w:rPr>
        <w:t xml:space="preserve">0.5g of </w:t>
      </w:r>
      <w:proofErr w:type="spellStart"/>
      <w:r w:rsidRPr="001901F3">
        <w:rPr>
          <w:rFonts w:ascii="Arial" w:hAnsi="Arial" w:cs="Arial"/>
          <w:sz w:val="22"/>
          <w:szCs w:val="22"/>
          <w:lang w:val="en-US"/>
        </w:rPr>
        <w:t>NiPc</w:t>
      </w:r>
      <w:proofErr w:type="spellEnd"/>
      <w:r w:rsidRPr="001901F3">
        <w:rPr>
          <w:rFonts w:ascii="Arial" w:hAnsi="Arial" w:cs="Arial"/>
          <w:sz w:val="22"/>
          <w:szCs w:val="22"/>
          <w:lang w:val="en-US"/>
        </w:rPr>
        <w:t xml:space="preserve">, 0.5g of </w:t>
      </w:r>
      <w:proofErr w:type="spellStart"/>
      <w:r w:rsidRPr="001901F3">
        <w:rPr>
          <w:rFonts w:ascii="Arial" w:hAnsi="Arial" w:cs="Arial"/>
          <w:sz w:val="22"/>
          <w:szCs w:val="22"/>
          <w:lang w:val="en-US"/>
        </w:rPr>
        <w:t>FePc</w:t>
      </w:r>
      <w:proofErr w:type="spellEnd"/>
      <w:r w:rsidRPr="001901F3">
        <w:rPr>
          <w:rFonts w:ascii="Arial" w:hAnsi="Arial" w:cs="Arial"/>
          <w:sz w:val="22"/>
          <w:szCs w:val="22"/>
          <w:lang w:val="en-US"/>
        </w:rPr>
        <w:t>, 5g of Dicy, and 5g of Urea were homogeneously grinded. Afterwards, the homogeneous powder was transferred to a quartz boat and pyrolyzed at 800</w:t>
      </w:r>
      <w:r>
        <w:rPr>
          <w:rFonts w:ascii="Arial" w:hAnsi="Arial" w:cs="Arial"/>
          <w:sz w:val="22"/>
          <w:szCs w:val="22"/>
          <w:lang w:val="en-US"/>
        </w:rPr>
        <w:sym w:font="Symbol" w:char="F0B0"/>
      </w:r>
      <w:r w:rsidRPr="001901F3">
        <w:rPr>
          <w:rFonts w:ascii="Arial" w:hAnsi="Arial" w:cs="Arial"/>
          <w:sz w:val="22"/>
          <w:szCs w:val="22"/>
          <w:lang w:val="en-US"/>
        </w:rPr>
        <w:t xml:space="preserve">C for 2h under 200ml/min </w:t>
      </w:r>
      <w:proofErr w:type="spellStart"/>
      <w:r w:rsidRPr="001901F3">
        <w:rPr>
          <w:rFonts w:ascii="Arial" w:hAnsi="Arial" w:cs="Arial"/>
          <w:sz w:val="22"/>
          <w:szCs w:val="22"/>
          <w:lang w:val="en-US"/>
        </w:rPr>
        <w:t>Ar</w:t>
      </w:r>
      <w:proofErr w:type="spellEnd"/>
      <w:r w:rsidRPr="001901F3">
        <w:rPr>
          <w:rFonts w:ascii="Arial" w:hAnsi="Arial" w:cs="Arial"/>
          <w:sz w:val="22"/>
          <w:szCs w:val="22"/>
          <w:lang w:val="en-US"/>
        </w:rPr>
        <w:t xml:space="preserve"> gas to obtain a Ni</w:t>
      </w:r>
      <w:r w:rsidRPr="001901F3">
        <w:rPr>
          <w:rFonts w:ascii="Arial" w:hAnsi="Arial" w:cs="Arial"/>
          <w:sz w:val="22"/>
          <w:szCs w:val="22"/>
          <w:vertAlign w:val="subscript"/>
          <w:lang w:val="en-US"/>
        </w:rPr>
        <w:t>0.5</w:t>
      </w:r>
      <w:r w:rsidRPr="001901F3">
        <w:rPr>
          <w:rFonts w:ascii="Arial" w:hAnsi="Arial" w:cs="Arial"/>
          <w:sz w:val="22"/>
          <w:szCs w:val="22"/>
          <w:lang w:val="en-US"/>
        </w:rPr>
        <w:t>Fe</w:t>
      </w:r>
      <w:r w:rsidRPr="001901F3">
        <w:rPr>
          <w:rFonts w:ascii="Arial" w:hAnsi="Arial" w:cs="Arial"/>
          <w:sz w:val="22"/>
          <w:szCs w:val="22"/>
          <w:vertAlign w:val="subscript"/>
          <w:lang w:val="en-US"/>
        </w:rPr>
        <w:t>0.5</w:t>
      </w:r>
      <w:r w:rsidRPr="001901F3">
        <w:rPr>
          <w:rFonts w:ascii="Arial" w:hAnsi="Arial" w:cs="Arial"/>
          <w:sz w:val="22"/>
          <w:szCs w:val="22"/>
          <w:lang w:val="en-US"/>
        </w:rPr>
        <w:t>SAC powder product.</w:t>
      </w:r>
    </w:p>
    <w:p w14:paraId="795EEAB9" w14:textId="77777777" w:rsidR="001901F3" w:rsidRDefault="001901F3" w:rsidP="00E944D0">
      <w:pPr>
        <w:jc w:val="both"/>
        <w:rPr>
          <w:rFonts w:ascii="Arial" w:hAnsi="Arial" w:cs="Arial"/>
          <w:sz w:val="22"/>
          <w:szCs w:val="22"/>
          <w:lang w:val="en-US"/>
        </w:rPr>
      </w:pPr>
    </w:p>
    <w:p w14:paraId="196CBD4C" w14:textId="77777777" w:rsidR="009314A7" w:rsidRPr="009314A7" w:rsidRDefault="009314A7" w:rsidP="009314A7">
      <w:pPr>
        <w:jc w:val="both"/>
        <w:rPr>
          <w:rFonts w:ascii="Arial" w:hAnsi="Arial" w:cs="Arial"/>
          <w:sz w:val="22"/>
          <w:szCs w:val="22"/>
          <w:lang w:val="en-US"/>
        </w:rPr>
      </w:pPr>
    </w:p>
    <w:p w14:paraId="48877D04" w14:textId="2A400244" w:rsidR="002E0CEC" w:rsidRPr="00B9711B" w:rsidRDefault="004F1EBC" w:rsidP="00E944D0">
      <w:pPr>
        <w:rPr>
          <w:rFonts w:ascii="Arial" w:hAnsi="Arial" w:cs="Arial"/>
          <w:b/>
          <w:bCs/>
          <w:sz w:val="22"/>
          <w:szCs w:val="22"/>
          <w:lang w:val="en-US"/>
        </w:rPr>
      </w:pPr>
      <w:r w:rsidRPr="00B9711B">
        <w:rPr>
          <w:rFonts w:ascii="Arial" w:hAnsi="Arial" w:cs="Arial"/>
          <w:b/>
          <w:bCs/>
          <w:sz w:val="22"/>
          <w:szCs w:val="22"/>
          <w:lang w:val="en-US"/>
        </w:rPr>
        <w:t xml:space="preserve">Electrochemical CO2RR measurements </w:t>
      </w:r>
    </w:p>
    <w:p w14:paraId="19CDA34B" w14:textId="6631071D" w:rsidR="001901F3" w:rsidRPr="00B9711B" w:rsidRDefault="004F1EBC" w:rsidP="002F17E6">
      <w:pPr>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r w:rsidR="00105A17">
        <w:rPr>
          <w:rFonts w:ascii="Arial" w:hAnsi="Arial" w:cs="Arial"/>
          <w:sz w:val="22"/>
          <w:szCs w:val="22"/>
          <w:lang w:val="en-US"/>
        </w:rPr>
        <w:t>Ni foam,</w:t>
      </w:r>
      <w:r w:rsidR="00413DA0">
        <w:rPr>
          <w:rFonts w:ascii="Arial" w:hAnsi="Arial" w:cs="Arial"/>
          <w:sz w:val="22"/>
          <w:szCs w:val="22"/>
          <w:lang w:val="en-US"/>
        </w:rPr>
        <w:t xml:space="preserve"> </w:t>
      </w:r>
      <w:r w:rsidR="00105A17">
        <w:rPr>
          <w:rFonts w:ascii="Arial" w:hAnsi="Arial" w:cs="Arial"/>
          <w:sz w:val="22"/>
          <w:szCs w:val="22"/>
          <w:lang w:val="en-US"/>
        </w:rPr>
        <w:t>b</w:t>
      </w:r>
      <w:r w:rsidR="00413DA0">
        <w:rPr>
          <w:rFonts w:ascii="Arial" w:hAnsi="Arial" w:cs="Arial"/>
          <w:sz w:val="22"/>
          <w:szCs w:val="22"/>
          <w:lang w:val="en-US"/>
        </w:rPr>
        <w:t>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50 ml of </w:t>
      </w:r>
      <w:r w:rsidR="00105A17">
        <w:rPr>
          <w:rFonts w:ascii="Arial" w:hAnsi="Arial" w:cs="Arial"/>
          <w:sz w:val="22"/>
          <w:szCs w:val="22"/>
          <w:lang w:val="en-US"/>
        </w:rPr>
        <w:t>1</w:t>
      </w:r>
      <w:r w:rsidRPr="00B9711B">
        <w:rPr>
          <w:rFonts w:ascii="Arial" w:hAnsi="Arial" w:cs="Arial"/>
          <w:sz w:val="22"/>
          <w:szCs w:val="22"/>
          <w:lang w:val="en-US"/>
        </w:rPr>
        <w:t>M KOH</w:t>
      </w:r>
      <w:r w:rsidR="00E22121">
        <w:rPr>
          <w:rFonts w:ascii="Arial" w:hAnsi="Arial" w:cs="Arial"/>
          <w:sz w:val="22"/>
          <w:szCs w:val="22"/>
          <w:lang w:val="en-US"/>
        </w:rPr>
        <w:t xml:space="preserve"> </w:t>
      </w:r>
      <w:r w:rsidRPr="00B9711B">
        <w:rPr>
          <w:rFonts w:ascii="Arial" w:hAnsi="Arial" w:cs="Arial"/>
          <w:sz w:val="22"/>
          <w:szCs w:val="22"/>
          <w:lang w:val="en-US"/>
        </w:rPr>
        <w:t>w</w:t>
      </w:r>
      <w:r w:rsidR="00105A17">
        <w:rPr>
          <w:rFonts w:ascii="Arial" w:hAnsi="Arial" w:cs="Arial"/>
          <w:sz w:val="22"/>
          <w:szCs w:val="22"/>
          <w:lang w:val="en-US"/>
        </w:rPr>
        <w:t>as</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The humidified 15%CO</w:t>
      </w:r>
      <w:r w:rsidR="00031077" w:rsidRPr="00031077">
        <w:rPr>
          <w:rFonts w:ascii="Arial" w:hAnsi="Arial" w:cs="Arial"/>
          <w:sz w:val="22"/>
          <w:szCs w:val="22"/>
          <w:vertAlign w:val="subscript"/>
          <w:lang w:val="en-US"/>
        </w:rPr>
        <w:t>2</w:t>
      </w:r>
      <w:r w:rsidR="00031077">
        <w:rPr>
          <w:rFonts w:ascii="Arial" w:hAnsi="Arial" w:cs="Arial"/>
          <w:sz w:val="22"/>
          <w:szCs w:val="22"/>
          <w:lang w:val="en-US"/>
        </w:rPr>
        <w:t>/85%N</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100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p>
    <w:p w14:paraId="6793DA02" w14:textId="77777777" w:rsidR="00674715" w:rsidRPr="00B9711B" w:rsidRDefault="00674715" w:rsidP="002F17E6">
      <w:pPr>
        <w:jc w:val="both"/>
        <w:rPr>
          <w:rFonts w:ascii="Arial" w:hAnsi="Arial" w:cs="Arial"/>
          <w:sz w:val="22"/>
          <w:szCs w:val="22"/>
          <w:lang w:val="en-US"/>
        </w:rPr>
      </w:pPr>
    </w:p>
    <w:p w14:paraId="2ECFC0D7" w14:textId="77777777" w:rsidR="005C67B6" w:rsidRPr="00B9711B" w:rsidRDefault="007A0E69" w:rsidP="005C67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05D395EF" w14:textId="77777777" w:rsidR="001901F3" w:rsidRDefault="001901F3" w:rsidP="001901F3">
      <w:pPr>
        <w:spacing w:line="360" w:lineRule="auto"/>
        <w:jc w:val="both"/>
        <w:rPr>
          <w:rFonts w:ascii="Arial" w:eastAsiaTheme="minorHAnsi" w:hAnsi="Arial" w:cs="Arial"/>
          <w:b/>
          <w:bCs/>
          <w:sz w:val="22"/>
          <w:szCs w:val="22"/>
          <w:vertAlign w:val="superscript"/>
          <w:lang w:val="en-US"/>
          <w14:ligatures w14:val="standardContextual"/>
        </w:rPr>
      </w:pPr>
      <w:r w:rsidRPr="001901F3">
        <w:rPr>
          <w:rFonts w:ascii="Arial" w:eastAsiaTheme="minorHAnsi" w:hAnsi="Arial" w:cs="Arial"/>
          <w:b/>
          <w:bCs/>
          <w:sz w:val="22"/>
          <w:szCs w:val="22"/>
          <w:lang w:val="en-US"/>
          <w14:ligatures w14:val="standardContextual"/>
        </w:rPr>
        <w:t>CO2RR performance of Ni</w:t>
      </w:r>
      <w:r w:rsidRPr="001901F3">
        <w:rPr>
          <w:rFonts w:ascii="Arial" w:eastAsiaTheme="minorHAnsi" w:hAnsi="Arial" w:cs="Arial"/>
          <w:b/>
          <w:bCs/>
          <w:sz w:val="22"/>
          <w:szCs w:val="22"/>
          <w:vertAlign w:val="subscript"/>
          <w:lang w:val="en-US"/>
          <w14:ligatures w14:val="standardContextual"/>
        </w:rPr>
        <w:t>0.5</w:t>
      </w:r>
      <w:r w:rsidRPr="001901F3">
        <w:rPr>
          <w:rFonts w:ascii="Arial" w:eastAsiaTheme="minorHAnsi" w:hAnsi="Arial" w:cs="Arial"/>
          <w:b/>
          <w:bCs/>
          <w:sz w:val="22"/>
          <w:szCs w:val="22"/>
          <w:lang w:val="en-US"/>
          <w14:ligatures w14:val="standardContextual"/>
        </w:rPr>
        <w:t>Fe</w:t>
      </w:r>
      <w:r w:rsidRPr="001901F3">
        <w:rPr>
          <w:rFonts w:ascii="Arial" w:eastAsiaTheme="minorHAnsi" w:hAnsi="Arial" w:cs="Arial"/>
          <w:b/>
          <w:bCs/>
          <w:sz w:val="22"/>
          <w:szCs w:val="22"/>
          <w:vertAlign w:val="subscript"/>
          <w:lang w:val="en-US"/>
          <w14:ligatures w14:val="standardContextual"/>
        </w:rPr>
        <w:t>0.5</w:t>
      </w:r>
      <w:r w:rsidRPr="001901F3">
        <w:rPr>
          <w:rFonts w:ascii="Arial" w:eastAsiaTheme="minorHAnsi" w:hAnsi="Arial" w:cs="Arial"/>
          <w:b/>
          <w:bCs/>
          <w:sz w:val="22"/>
          <w:szCs w:val="22"/>
          <w:lang w:val="en-US"/>
          <w14:ligatures w14:val="standardContextual"/>
        </w:rPr>
        <w:t>SAC under a pure CO</w:t>
      </w:r>
      <w:r w:rsidRPr="001901F3">
        <w:rPr>
          <w:rFonts w:ascii="Arial" w:eastAsiaTheme="minorHAnsi" w:hAnsi="Arial" w:cs="Arial"/>
          <w:b/>
          <w:bCs/>
          <w:sz w:val="22"/>
          <w:szCs w:val="22"/>
          <w:vertAlign w:val="subscript"/>
          <w:lang w:val="en-US"/>
          <w14:ligatures w14:val="standardContextual"/>
        </w:rPr>
        <w:t>2</w:t>
      </w:r>
      <w:r w:rsidRPr="001901F3">
        <w:rPr>
          <w:rFonts w:ascii="Arial" w:eastAsiaTheme="minorHAnsi" w:hAnsi="Arial" w:cs="Arial"/>
          <w:b/>
          <w:bCs/>
          <w:sz w:val="22"/>
          <w:szCs w:val="22"/>
          <w:lang w:val="en-US"/>
          <w14:ligatures w14:val="standardContextual"/>
        </w:rPr>
        <w:t xml:space="preserve"> at 200mA/cm</w:t>
      </w:r>
      <w:r w:rsidRPr="001901F3">
        <w:rPr>
          <w:rFonts w:ascii="Arial" w:eastAsiaTheme="minorHAnsi" w:hAnsi="Arial" w:cs="Arial"/>
          <w:b/>
          <w:bCs/>
          <w:sz w:val="22"/>
          <w:szCs w:val="22"/>
          <w:vertAlign w:val="superscript"/>
          <w:lang w:val="en-US"/>
          <w14:ligatures w14:val="standardContextual"/>
        </w:rPr>
        <w:t>-2</w:t>
      </w:r>
    </w:p>
    <w:p w14:paraId="72CEAE89" w14:textId="77777777" w:rsidR="003D79B3" w:rsidRDefault="003D79B3" w:rsidP="001901F3">
      <w:pPr>
        <w:spacing w:line="360" w:lineRule="auto"/>
        <w:jc w:val="both"/>
        <w:rPr>
          <w:rFonts w:ascii="Arial" w:eastAsiaTheme="minorHAnsi" w:hAnsi="Arial" w:cs="Arial"/>
          <w:sz w:val="22"/>
          <w:szCs w:val="22"/>
          <w:lang w:val="en-US"/>
          <w14:ligatures w14:val="standardContextual"/>
        </w:rPr>
      </w:pPr>
    </w:p>
    <w:p w14:paraId="7DDEC2EC" w14:textId="3265D047" w:rsidR="003D79B3" w:rsidRPr="003D79B3" w:rsidRDefault="003D79B3" w:rsidP="001901F3">
      <w:pPr>
        <w:spacing w:line="360" w:lineRule="auto"/>
        <w:jc w:val="both"/>
        <w:rPr>
          <w:rFonts w:ascii="Arial" w:eastAsiaTheme="minorHAnsi" w:hAnsi="Arial" w:cs="Arial"/>
          <w:sz w:val="22"/>
          <w:szCs w:val="22"/>
          <w:lang w:val="en-US"/>
          <w14:ligatures w14:val="standardContextual"/>
        </w:rPr>
      </w:pPr>
      <w:r w:rsidRPr="003D79B3">
        <w:rPr>
          <w:rFonts w:ascii="Arial" w:eastAsiaTheme="minorHAnsi" w:hAnsi="Arial" w:cs="Arial"/>
          <w:color w:val="000000"/>
          <w:sz w:val="22"/>
          <w:szCs w:val="22"/>
          <w:lang w:val="en-US"/>
          <w14:ligatures w14:val="standardContextual"/>
        </w:rPr>
        <w:lastRenderedPageBreak/>
        <w:t>As shown in Fig. 1, the modified Ni</w:t>
      </w:r>
      <w:r w:rsidRPr="003D79B3">
        <w:rPr>
          <w:rFonts w:ascii="Arial" w:eastAsiaTheme="minorHAnsi" w:hAnsi="Arial" w:cs="Arial"/>
          <w:color w:val="000000"/>
          <w:sz w:val="22"/>
          <w:szCs w:val="22"/>
          <w:vertAlign w:val="subscript"/>
          <w:lang w:val="en-US"/>
          <w14:ligatures w14:val="standardContextual"/>
        </w:rPr>
        <w:t>0.5</w:t>
      </w:r>
      <w:r w:rsidRPr="003D79B3">
        <w:rPr>
          <w:rFonts w:ascii="Arial" w:eastAsiaTheme="minorHAnsi" w:hAnsi="Arial" w:cs="Arial"/>
          <w:color w:val="000000"/>
          <w:sz w:val="22"/>
          <w:szCs w:val="22"/>
          <w:lang w:val="en-US"/>
          <w14:ligatures w14:val="standardContextual"/>
        </w:rPr>
        <w:t>Fe</w:t>
      </w:r>
      <w:r w:rsidRPr="003D79B3">
        <w:rPr>
          <w:rFonts w:ascii="Arial" w:eastAsiaTheme="minorHAnsi" w:hAnsi="Arial" w:cs="Arial"/>
          <w:color w:val="000000"/>
          <w:sz w:val="22"/>
          <w:szCs w:val="22"/>
          <w:vertAlign w:val="subscript"/>
          <w:lang w:val="en-US"/>
          <w14:ligatures w14:val="standardContextual"/>
        </w:rPr>
        <w:t>0.5</w:t>
      </w:r>
      <w:r w:rsidRPr="003D79B3">
        <w:rPr>
          <w:rFonts w:ascii="Arial" w:eastAsiaTheme="minorHAnsi" w:hAnsi="Arial" w:cs="Arial"/>
          <w:color w:val="000000"/>
          <w:sz w:val="22"/>
          <w:szCs w:val="22"/>
          <w:lang w:val="en-US"/>
          <w14:ligatures w14:val="standardContextual"/>
        </w:rPr>
        <w:t>SAC exhibited lower FE(CO) than bare Ni0.5SAC under pure CO</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at 200 mA/cm², indicating that introducing Fe into Ni0.5SAC favors HER over CO2RR activity. Based on this result, it is worth noting that the CO:H</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ratio can be adjusted by modifying the </w:t>
      </w:r>
      <w:proofErr w:type="spellStart"/>
      <w:r w:rsidRPr="003D79B3">
        <w:rPr>
          <w:rFonts w:ascii="Arial" w:eastAsiaTheme="minorHAnsi" w:hAnsi="Arial" w:cs="Arial"/>
          <w:color w:val="000000"/>
          <w:sz w:val="22"/>
          <w:szCs w:val="22"/>
          <w:lang w:val="en-US"/>
          <w14:ligatures w14:val="standardContextual"/>
        </w:rPr>
        <w:t>Fe:Ni</w:t>
      </w:r>
      <w:proofErr w:type="spellEnd"/>
      <w:r w:rsidRPr="003D79B3">
        <w:rPr>
          <w:rFonts w:ascii="Arial" w:eastAsiaTheme="minorHAnsi" w:hAnsi="Arial" w:cs="Arial"/>
          <w:color w:val="000000"/>
          <w:sz w:val="22"/>
          <w:szCs w:val="22"/>
          <w:lang w:val="en-US"/>
          <w14:ligatures w14:val="standardContextual"/>
        </w:rPr>
        <w:t xml:space="preserve"> ratio.</w:t>
      </w:r>
    </w:p>
    <w:p w14:paraId="01A97B49" w14:textId="4A9A1244" w:rsidR="001901F3" w:rsidRDefault="001901F3" w:rsidP="00A6092B">
      <w:pPr>
        <w:spacing w:line="360" w:lineRule="auto"/>
        <w:jc w:val="center"/>
        <w:rPr>
          <w:rFonts w:ascii="Arial" w:eastAsiaTheme="minorHAnsi" w:hAnsi="Arial" w:cs="Arial"/>
          <w:b/>
          <w:bCs/>
          <w:sz w:val="22"/>
          <w:szCs w:val="22"/>
          <w:lang w:val="en-US"/>
          <w14:ligatures w14:val="standardContextual"/>
        </w:rPr>
      </w:pPr>
      <w:r w:rsidRPr="001901F3">
        <w:rPr>
          <w:rFonts w:ascii="Arial" w:eastAsiaTheme="minorHAnsi" w:hAnsi="Arial" w:cs="Arial"/>
          <w:b/>
          <w:bCs/>
          <w:noProof/>
          <w:sz w:val="22"/>
          <w:szCs w:val="22"/>
          <w14:ligatures w14:val="standardContextual"/>
        </w:rPr>
        <w:drawing>
          <wp:inline distT="0" distB="0" distL="0" distR="0" wp14:anchorId="1711F946" wp14:editId="22942705">
            <wp:extent cx="5416510" cy="2441210"/>
            <wp:effectExtent l="0" t="0" r="0" b="0"/>
            <wp:docPr id="4" name="Picture 3">
              <a:extLst xmlns:a="http://schemas.openxmlformats.org/drawingml/2006/main">
                <a:ext uri="{FF2B5EF4-FFF2-40B4-BE49-F238E27FC236}">
                  <a16:creationId xmlns:a16="http://schemas.microsoft.com/office/drawing/2014/main" id="{E645CF63-2EB1-E0B8-5B5C-843DB83EF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645CF63-2EB1-E0B8-5B5C-843DB83EF88F}"/>
                        </a:ext>
                      </a:extLst>
                    </pic:cNvPr>
                    <pic:cNvPicPr>
                      <a:picLocks noChangeAspect="1"/>
                    </pic:cNvPicPr>
                  </pic:nvPicPr>
                  <pic:blipFill>
                    <a:blip r:embed="rId6"/>
                    <a:stretch>
                      <a:fillRect/>
                    </a:stretch>
                  </pic:blipFill>
                  <pic:spPr>
                    <a:xfrm>
                      <a:off x="0" y="0"/>
                      <a:ext cx="5433204" cy="2448734"/>
                    </a:xfrm>
                    <a:prstGeom prst="rect">
                      <a:avLst/>
                    </a:prstGeom>
                  </pic:spPr>
                </pic:pic>
              </a:graphicData>
            </a:graphic>
          </wp:inline>
        </w:drawing>
      </w:r>
    </w:p>
    <w:p w14:paraId="2640C4CE" w14:textId="0639C4FD" w:rsidR="001901F3" w:rsidRDefault="001901F3" w:rsidP="00413DA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1</w:t>
      </w:r>
      <w:r w:rsidR="0016169B">
        <w:rPr>
          <w:rFonts w:ascii="Arial" w:eastAsiaTheme="minorHAnsi" w:hAnsi="Arial" w:cs="Arial"/>
          <w:b/>
          <w:bCs/>
          <w:sz w:val="22"/>
          <w:szCs w:val="22"/>
          <w:lang w:val="en-US"/>
          <w14:ligatures w14:val="standardContextual"/>
        </w:rPr>
        <w:t>. Faradaic efficiency of bare-Ni0.5SAC and Ni</w:t>
      </w:r>
      <w:r w:rsidR="0016169B" w:rsidRPr="0016169B">
        <w:rPr>
          <w:rFonts w:ascii="Arial" w:eastAsiaTheme="minorHAnsi" w:hAnsi="Arial" w:cs="Arial"/>
          <w:b/>
          <w:bCs/>
          <w:sz w:val="22"/>
          <w:szCs w:val="22"/>
          <w:vertAlign w:val="subscript"/>
          <w:lang w:val="en-US"/>
          <w14:ligatures w14:val="standardContextual"/>
        </w:rPr>
        <w:t>0.5</w:t>
      </w:r>
      <w:r w:rsidR="0016169B">
        <w:rPr>
          <w:rFonts w:ascii="Arial" w:eastAsiaTheme="minorHAnsi" w:hAnsi="Arial" w:cs="Arial"/>
          <w:b/>
          <w:bCs/>
          <w:sz w:val="22"/>
          <w:szCs w:val="22"/>
          <w:lang w:val="en-US"/>
          <w14:ligatures w14:val="standardContextual"/>
        </w:rPr>
        <w:t>Fe</w:t>
      </w:r>
      <w:r w:rsidR="0016169B" w:rsidRPr="0016169B">
        <w:rPr>
          <w:rFonts w:ascii="Arial" w:eastAsiaTheme="minorHAnsi" w:hAnsi="Arial" w:cs="Arial"/>
          <w:b/>
          <w:bCs/>
          <w:sz w:val="22"/>
          <w:szCs w:val="22"/>
          <w:vertAlign w:val="subscript"/>
          <w:lang w:val="en-US"/>
          <w14:ligatures w14:val="standardContextual"/>
        </w:rPr>
        <w:t>0.5</w:t>
      </w:r>
      <w:r w:rsidR="0016169B">
        <w:rPr>
          <w:rFonts w:ascii="Arial" w:eastAsiaTheme="minorHAnsi" w:hAnsi="Arial" w:cs="Arial"/>
          <w:b/>
          <w:bCs/>
          <w:sz w:val="22"/>
          <w:szCs w:val="22"/>
          <w:lang w:val="en-US"/>
          <w14:ligatures w14:val="standardContextual"/>
        </w:rPr>
        <w:t>SAC under a pure CO</w:t>
      </w:r>
      <w:r w:rsidR="0016169B" w:rsidRPr="00E52653">
        <w:rPr>
          <w:rFonts w:ascii="Arial" w:eastAsiaTheme="minorHAnsi" w:hAnsi="Arial" w:cs="Arial"/>
          <w:b/>
          <w:bCs/>
          <w:sz w:val="22"/>
          <w:szCs w:val="22"/>
          <w:vertAlign w:val="subscript"/>
          <w:lang w:val="en-US"/>
          <w14:ligatures w14:val="standardContextual"/>
        </w:rPr>
        <w:t>2</w:t>
      </w:r>
      <w:r w:rsidR="0016169B">
        <w:rPr>
          <w:rFonts w:ascii="Arial" w:eastAsiaTheme="minorHAnsi" w:hAnsi="Arial" w:cs="Arial"/>
          <w:b/>
          <w:bCs/>
          <w:sz w:val="22"/>
          <w:szCs w:val="22"/>
          <w:lang w:val="en-US"/>
          <w14:ligatures w14:val="standardContextual"/>
        </w:rPr>
        <w:t xml:space="preserve"> condition at 200mA/cm</w:t>
      </w:r>
      <w:r w:rsidR="0016169B" w:rsidRPr="0016169B">
        <w:rPr>
          <w:rFonts w:ascii="Arial" w:eastAsiaTheme="minorHAnsi" w:hAnsi="Arial" w:cs="Arial"/>
          <w:b/>
          <w:bCs/>
          <w:sz w:val="22"/>
          <w:szCs w:val="22"/>
          <w:vertAlign w:val="superscript"/>
          <w:lang w:val="en-US"/>
          <w14:ligatures w14:val="standardContextual"/>
        </w:rPr>
        <w:t>2</w:t>
      </w:r>
    </w:p>
    <w:p w14:paraId="0FDE0886" w14:textId="77777777" w:rsidR="001901F3" w:rsidRDefault="001901F3" w:rsidP="00413DA0">
      <w:pPr>
        <w:spacing w:line="360" w:lineRule="auto"/>
        <w:jc w:val="both"/>
        <w:rPr>
          <w:rFonts w:ascii="Arial" w:eastAsiaTheme="minorHAnsi" w:hAnsi="Arial" w:cs="Arial"/>
          <w:b/>
          <w:bCs/>
          <w:sz w:val="22"/>
          <w:szCs w:val="22"/>
          <w:lang w:val="en-US"/>
          <w14:ligatures w14:val="standardContextual"/>
        </w:rPr>
      </w:pPr>
    </w:p>
    <w:p w14:paraId="313F7B31" w14:textId="77777777" w:rsidR="001901F3" w:rsidRDefault="001901F3" w:rsidP="001901F3">
      <w:pPr>
        <w:spacing w:line="360" w:lineRule="auto"/>
        <w:jc w:val="both"/>
        <w:rPr>
          <w:rFonts w:ascii="Arial" w:eastAsiaTheme="minorHAnsi" w:hAnsi="Arial" w:cs="Arial"/>
          <w:b/>
          <w:bCs/>
          <w:sz w:val="22"/>
          <w:szCs w:val="22"/>
          <w14:ligatures w14:val="standardContextual"/>
        </w:rPr>
      </w:pPr>
      <w:r w:rsidRPr="001901F3">
        <w:rPr>
          <w:rFonts w:ascii="Arial" w:eastAsiaTheme="minorHAnsi" w:hAnsi="Arial" w:cs="Arial"/>
          <w:b/>
          <w:bCs/>
          <w:sz w:val="22"/>
          <w:szCs w:val="22"/>
          <w14:ligatures w14:val="standardContextual"/>
        </w:rPr>
        <w:t>Comparing CO2RR performance of NiSAC+PTFE and MWCNT with other additives under diluted 15%CO</w:t>
      </w:r>
      <w:r w:rsidRPr="001901F3">
        <w:rPr>
          <w:rFonts w:ascii="Arial" w:eastAsiaTheme="minorHAnsi" w:hAnsi="Arial" w:cs="Arial"/>
          <w:b/>
          <w:bCs/>
          <w:sz w:val="22"/>
          <w:szCs w:val="22"/>
          <w:vertAlign w:val="subscript"/>
          <w14:ligatures w14:val="standardContextual"/>
        </w:rPr>
        <w:t>2</w:t>
      </w:r>
    </w:p>
    <w:p w14:paraId="3090D60B" w14:textId="55D4410D" w:rsidR="001901F3" w:rsidRPr="003D79B3" w:rsidRDefault="003D79B3" w:rsidP="003D79B3">
      <w:pPr>
        <w:spacing w:line="360" w:lineRule="auto"/>
        <w:jc w:val="both"/>
        <w:rPr>
          <w:rFonts w:ascii="Arial" w:eastAsiaTheme="minorHAnsi" w:hAnsi="Arial" w:cs="Arial"/>
          <w:b/>
          <w:bCs/>
          <w:sz w:val="22"/>
          <w:szCs w:val="22"/>
          <w14:ligatures w14:val="standardContextual"/>
        </w:rPr>
      </w:pPr>
      <w:r w:rsidRPr="003D79B3">
        <w:rPr>
          <w:rFonts w:ascii="Arial" w:eastAsiaTheme="minorHAnsi" w:hAnsi="Arial" w:cs="Arial"/>
          <w:color w:val="000000"/>
          <w:sz w:val="22"/>
          <w:szCs w:val="22"/>
          <w:lang w:val="en-US"/>
          <w14:ligatures w14:val="standardContextual"/>
        </w:rPr>
        <w:t xml:space="preserve">Further studies on modifying the Ni0.5SAC catalyst were conducted by introducing </w:t>
      </w:r>
      <w:proofErr w:type="spellStart"/>
      <w:r w:rsidRPr="003D79B3">
        <w:rPr>
          <w:rFonts w:ascii="Arial" w:eastAsiaTheme="minorHAnsi" w:hAnsi="Arial" w:cs="Arial"/>
          <w:color w:val="000000"/>
          <w:sz w:val="22"/>
          <w:szCs w:val="22"/>
          <w:lang w:val="en-US"/>
          <w14:ligatures w14:val="standardContextual"/>
        </w:rPr>
        <w:t>Ultraflon</w:t>
      </w:r>
      <w:proofErr w:type="spellEnd"/>
      <w:r w:rsidRPr="003D79B3">
        <w:rPr>
          <w:rFonts w:ascii="Arial" w:eastAsiaTheme="minorHAnsi" w:hAnsi="Arial" w:cs="Arial"/>
          <w:color w:val="000000"/>
          <w:sz w:val="22"/>
          <w:szCs w:val="22"/>
          <w:lang w:val="en-US"/>
          <w14:ligatures w14:val="standardContextual"/>
        </w:rPr>
        <w:t xml:space="preserve"> PTFE and MWCNT to enhance its hydrophobicity. A </w:t>
      </w:r>
      <w:proofErr w:type="spellStart"/>
      <w:proofErr w:type="gramStart"/>
      <w:r w:rsidRPr="003D79B3">
        <w:rPr>
          <w:rFonts w:ascii="Arial" w:eastAsiaTheme="minorHAnsi" w:hAnsi="Arial" w:cs="Arial"/>
          <w:color w:val="000000"/>
          <w:sz w:val="22"/>
          <w:szCs w:val="22"/>
          <w:lang w:val="en-US"/>
          <w14:ligatures w14:val="standardContextual"/>
        </w:rPr>
        <w:t>comparis</w:t>
      </w:r>
      <w:proofErr w:type="spellEnd"/>
      <w:r w:rsidR="00DC11CD">
        <w:rPr>
          <w:rFonts w:ascii="Arial" w:eastAsiaTheme="minorHAnsi" w:hAnsi="Arial" w:cs="Arial"/>
          <w:color w:val="000000"/>
          <w:sz w:val="22"/>
          <w:szCs w:val="22"/>
          <w:lang w:val="en-US"/>
          <w14:ligatures w14:val="standardContextual"/>
        </w:rPr>
        <w:t xml:space="preserve">  </w:t>
      </w:r>
      <w:r w:rsidRPr="003D79B3">
        <w:rPr>
          <w:rFonts w:ascii="Arial" w:eastAsiaTheme="minorHAnsi" w:hAnsi="Arial" w:cs="Arial"/>
          <w:color w:val="000000"/>
          <w:sz w:val="22"/>
          <w:szCs w:val="22"/>
          <w:lang w:val="en-US"/>
          <w14:ligatures w14:val="standardContextual"/>
        </w:rPr>
        <w:t>on</w:t>
      </w:r>
      <w:proofErr w:type="gramEnd"/>
      <w:r w:rsidRPr="003D79B3">
        <w:rPr>
          <w:rFonts w:ascii="Arial" w:eastAsiaTheme="minorHAnsi" w:hAnsi="Arial" w:cs="Arial"/>
          <w:color w:val="000000"/>
          <w:sz w:val="22"/>
          <w:szCs w:val="22"/>
          <w:lang w:val="en-US"/>
          <w14:ligatures w14:val="standardContextual"/>
        </w:rPr>
        <w:t xml:space="preserve"> of Ni0.5SAC with various modified versions is shown in Fig. 2. </w:t>
      </w:r>
      <w:proofErr w:type="spellStart"/>
      <w:r w:rsidRPr="003D79B3">
        <w:rPr>
          <w:rFonts w:ascii="Arial" w:eastAsiaTheme="minorHAnsi" w:hAnsi="Arial" w:cs="Arial"/>
          <w:color w:val="000000"/>
          <w:sz w:val="22"/>
          <w:szCs w:val="22"/>
          <w:lang w:val="en-US"/>
          <w14:ligatures w14:val="standardContextual"/>
        </w:rPr>
        <w:t>Pyr-Ni+PTFE</w:t>
      </w:r>
      <w:proofErr w:type="spellEnd"/>
      <w:r w:rsidRPr="003D79B3">
        <w:rPr>
          <w:rFonts w:ascii="Arial" w:eastAsiaTheme="minorHAnsi" w:hAnsi="Arial" w:cs="Arial"/>
          <w:color w:val="000000"/>
          <w:sz w:val="22"/>
          <w:szCs w:val="22"/>
          <w:lang w:val="en-US"/>
          <w14:ligatures w14:val="standardContextual"/>
        </w:rPr>
        <w:t xml:space="preserve"> and </w:t>
      </w:r>
      <w:proofErr w:type="spellStart"/>
      <w:r w:rsidRPr="003D79B3">
        <w:rPr>
          <w:rFonts w:ascii="Arial" w:eastAsiaTheme="minorHAnsi" w:hAnsi="Arial" w:cs="Arial"/>
          <w:color w:val="000000"/>
          <w:sz w:val="22"/>
          <w:szCs w:val="22"/>
          <w:lang w:val="en-US"/>
          <w14:ligatures w14:val="standardContextual"/>
        </w:rPr>
        <w:t>blend-Ni+PTFE</w:t>
      </w:r>
      <w:proofErr w:type="spellEnd"/>
      <w:r w:rsidRPr="003D79B3">
        <w:rPr>
          <w:rFonts w:ascii="Arial" w:eastAsiaTheme="minorHAnsi" w:hAnsi="Arial" w:cs="Arial"/>
          <w:color w:val="000000"/>
          <w:sz w:val="22"/>
          <w:szCs w:val="22"/>
          <w:lang w:val="en-US"/>
          <w14:ligatures w14:val="standardContextual"/>
        </w:rPr>
        <w:t xml:space="preserve"> exhibited similar performance to Ni0.5SAC, while </w:t>
      </w:r>
      <w:proofErr w:type="spellStart"/>
      <w:r w:rsidRPr="003D79B3">
        <w:rPr>
          <w:rFonts w:ascii="Arial" w:eastAsiaTheme="minorHAnsi" w:hAnsi="Arial" w:cs="Arial"/>
          <w:color w:val="000000"/>
          <w:sz w:val="22"/>
          <w:szCs w:val="22"/>
          <w:lang w:val="en-US"/>
          <w14:ligatures w14:val="standardContextual"/>
        </w:rPr>
        <w:t>blend-Ni+MWCNT</w:t>
      </w:r>
      <w:proofErr w:type="spellEnd"/>
      <w:r w:rsidRPr="003D79B3">
        <w:rPr>
          <w:rFonts w:ascii="Arial" w:eastAsiaTheme="minorHAnsi" w:hAnsi="Arial" w:cs="Arial"/>
          <w:color w:val="000000"/>
          <w:sz w:val="22"/>
          <w:szCs w:val="22"/>
          <w:lang w:val="en-US"/>
          <w14:ligatures w14:val="standardContextual"/>
        </w:rPr>
        <w:t xml:space="preserve"> demonstrated high HER activity, likely due to Ni active site blockage from MWCNT. In contrast, </w:t>
      </w:r>
      <w:proofErr w:type="spellStart"/>
      <w:r w:rsidRPr="003D79B3">
        <w:rPr>
          <w:rFonts w:ascii="Arial" w:eastAsiaTheme="minorHAnsi" w:hAnsi="Arial" w:cs="Arial"/>
          <w:color w:val="000000"/>
          <w:sz w:val="22"/>
          <w:szCs w:val="22"/>
          <w:lang w:val="en-US"/>
          <w14:ligatures w14:val="standardContextual"/>
        </w:rPr>
        <w:t>blend-Ni+PANI</w:t>
      </w:r>
      <w:proofErr w:type="spellEnd"/>
      <w:r w:rsidRPr="003D79B3">
        <w:rPr>
          <w:rFonts w:ascii="Arial" w:eastAsiaTheme="minorHAnsi" w:hAnsi="Arial" w:cs="Arial"/>
          <w:color w:val="000000"/>
          <w:sz w:val="22"/>
          <w:szCs w:val="22"/>
          <w:lang w:val="en-US"/>
          <w14:ligatures w14:val="standardContextual"/>
        </w:rPr>
        <w:t xml:space="preserve"> and </w:t>
      </w:r>
      <w:proofErr w:type="spellStart"/>
      <w:r w:rsidRPr="003D79B3">
        <w:rPr>
          <w:rFonts w:ascii="Arial" w:eastAsiaTheme="minorHAnsi" w:hAnsi="Arial" w:cs="Arial"/>
          <w:color w:val="000000"/>
          <w:sz w:val="22"/>
          <w:szCs w:val="22"/>
          <w:lang w:val="en-US"/>
          <w14:ligatures w14:val="standardContextual"/>
        </w:rPr>
        <w:t>blend-Ni+P</w:t>
      </w:r>
      <w:proofErr w:type="spellEnd"/>
      <w:r w:rsidRPr="003D79B3">
        <w:rPr>
          <w:rFonts w:ascii="Arial" w:eastAsiaTheme="minorHAnsi" w:hAnsi="Arial" w:cs="Arial"/>
          <w:color w:val="000000"/>
          <w:sz w:val="22"/>
          <w:szCs w:val="22"/>
          <w:lang w:val="en-US"/>
          <w14:ligatures w14:val="standardContextual"/>
        </w:rPr>
        <w:t xml:space="preserve"> showed excellent CO selectivity and stability, with FE(CO) &gt;77% over a 3-hour operational period.</w:t>
      </w:r>
      <w:r w:rsidR="001901F3" w:rsidRPr="003D79B3">
        <w:rPr>
          <w:rFonts w:ascii="Arial" w:eastAsiaTheme="minorHAnsi" w:hAnsi="Arial" w:cs="Arial"/>
          <w:b/>
          <w:bCs/>
          <w:noProof/>
          <w:sz w:val="22"/>
          <w:szCs w:val="22"/>
          <w14:ligatures w14:val="standardContextual"/>
        </w:rPr>
        <w:drawing>
          <wp:inline distT="0" distB="0" distL="0" distR="0" wp14:anchorId="2AF46EB5" wp14:editId="19E6042A">
            <wp:extent cx="5740930" cy="2005446"/>
            <wp:effectExtent l="0" t="0" r="0" b="1270"/>
            <wp:docPr id="18917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81784" name=""/>
                    <pic:cNvPicPr/>
                  </pic:nvPicPr>
                  <pic:blipFill>
                    <a:blip r:embed="rId7"/>
                    <a:stretch>
                      <a:fillRect/>
                    </a:stretch>
                  </pic:blipFill>
                  <pic:spPr>
                    <a:xfrm>
                      <a:off x="0" y="0"/>
                      <a:ext cx="5769810" cy="2015534"/>
                    </a:xfrm>
                    <a:prstGeom prst="rect">
                      <a:avLst/>
                    </a:prstGeom>
                  </pic:spPr>
                </pic:pic>
              </a:graphicData>
            </a:graphic>
          </wp:inline>
        </w:drawing>
      </w:r>
    </w:p>
    <w:p w14:paraId="7052DC6F" w14:textId="46B8EDBF" w:rsidR="000C33C0" w:rsidRDefault="001901F3" w:rsidP="000C33C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2.</w:t>
      </w:r>
      <w:r w:rsidR="000C33C0">
        <w:rPr>
          <w:rFonts w:ascii="Arial" w:eastAsiaTheme="minorHAnsi" w:hAnsi="Arial" w:cs="Arial"/>
          <w:b/>
          <w:bCs/>
          <w:sz w:val="22"/>
          <w:szCs w:val="22"/>
          <w:lang w:val="en-US"/>
          <w14:ligatures w14:val="standardContextual"/>
        </w:rPr>
        <w:t xml:space="preserve"> Faradaic efficiency of modified Ni0.5SAC with other additives under a diluted CO</w:t>
      </w:r>
      <w:r w:rsidR="000C33C0" w:rsidRPr="00E52653">
        <w:rPr>
          <w:rFonts w:ascii="Arial" w:eastAsiaTheme="minorHAnsi" w:hAnsi="Arial" w:cs="Arial"/>
          <w:b/>
          <w:bCs/>
          <w:sz w:val="22"/>
          <w:szCs w:val="22"/>
          <w:vertAlign w:val="subscript"/>
          <w:lang w:val="en-US"/>
          <w14:ligatures w14:val="standardContextual"/>
        </w:rPr>
        <w:t>2</w:t>
      </w:r>
      <w:r w:rsidR="000C33C0">
        <w:rPr>
          <w:rFonts w:ascii="Arial" w:eastAsiaTheme="minorHAnsi" w:hAnsi="Arial" w:cs="Arial"/>
          <w:b/>
          <w:bCs/>
          <w:sz w:val="22"/>
          <w:szCs w:val="22"/>
          <w:lang w:val="en-US"/>
          <w14:ligatures w14:val="standardContextual"/>
        </w:rPr>
        <w:t xml:space="preserve"> condition at 200mA/cm</w:t>
      </w:r>
      <w:r w:rsidR="000C33C0" w:rsidRPr="0016169B">
        <w:rPr>
          <w:rFonts w:ascii="Arial" w:eastAsiaTheme="minorHAnsi" w:hAnsi="Arial" w:cs="Arial"/>
          <w:b/>
          <w:bCs/>
          <w:sz w:val="22"/>
          <w:szCs w:val="22"/>
          <w:vertAlign w:val="superscript"/>
          <w:lang w:val="en-US"/>
          <w14:ligatures w14:val="standardContextual"/>
        </w:rPr>
        <w:t>2</w:t>
      </w:r>
    </w:p>
    <w:p w14:paraId="31BDD9AF" w14:textId="35DF926C" w:rsidR="001901F3" w:rsidRDefault="001901F3" w:rsidP="00413DA0">
      <w:pPr>
        <w:spacing w:line="360" w:lineRule="auto"/>
        <w:jc w:val="both"/>
        <w:rPr>
          <w:rFonts w:ascii="Arial" w:eastAsiaTheme="minorHAnsi" w:hAnsi="Arial" w:cs="Arial"/>
          <w:b/>
          <w:bCs/>
          <w:sz w:val="22"/>
          <w:szCs w:val="22"/>
          <w:lang w:val="en-US"/>
          <w14:ligatures w14:val="standardContextual"/>
        </w:rPr>
      </w:pPr>
    </w:p>
    <w:p w14:paraId="5D1829E2" w14:textId="77777777" w:rsidR="001901F3" w:rsidRDefault="001901F3" w:rsidP="00413DA0">
      <w:pPr>
        <w:spacing w:line="360" w:lineRule="auto"/>
        <w:jc w:val="both"/>
        <w:rPr>
          <w:rFonts w:ascii="Arial" w:eastAsiaTheme="minorHAnsi" w:hAnsi="Arial" w:cs="Arial"/>
          <w:b/>
          <w:bCs/>
          <w:sz w:val="22"/>
          <w:szCs w:val="22"/>
          <w:lang w:val="en-US"/>
          <w14:ligatures w14:val="standardContextual"/>
        </w:rPr>
      </w:pPr>
    </w:p>
    <w:p w14:paraId="374E177F" w14:textId="77777777" w:rsidR="001901F3" w:rsidRDefault="001901F3" w:rsidP="001901F3">
      <w:pPr>
        <w:spacing w:line="360" w:lineRule="auto"/>
        <w:jc w:val="both"/>
        <w:rPr>
          <w:rFonts w:ascii="Arial" w:eastAsiaTheme="minorHAnsi" w:hAnsi="Arial" w:cs="Arial"/>
          <w:b/>
          <w:bCs/>
          <w:sz w:val="22"/>
          <w:szCs w:val="22"/>
          <w:vertAlign w:val="superscript"/>
          <w:lang w:val="en-US"/>
          <w14:ligatures w14:val="standardContextual"/>
        </w:rPr>
      </w:pPr>
      <w:r w:rsidRPr="001901F3">
        <w:rPr>
          <w:rFonts w:ascii="Arial" w:eastAsiaTheme="minorHAnsi" w:hAnsi="Arial" w:cs="Arial"/>
          <w:b/>
          <w:bCs/>
          <w:sz w:val="22"/>
          <w:szCs w:val="22"/>
          <w:lang w:val="en-US"/>
          <w14:ligatures w14:val="standardContextual"/>
        </w:rPr>
        <w:t xml:space="preserve">Influence of </w:t>
      </w:r>
      <w:proofErr w:type="spellStart"/>
      <w:r w:rsidRPr="001901F3">
        <w:rPr>
          <w:rFonts w:ascii="Arial" w:eastAsiaTheme="minorHAnsi" w:hAnsi="Arial" w:cs="Arial"/>
          <w:b/>
          <w:bCs/>
          <w:sz w:val="22"/>
          <w:szCs w:val="22"/>
          <w:lang w:val="en-US"/>
          <w14:ligatures w14:val="standardContextual"/>
        </w:rPr>
        <w:t>Sustainion</w:t>
      </w:r>
      <w:proofErr w:type="spellEnd"/>
      <w:r w:rsidRPr="001901F3">
        <w:rPr>
          <w:rFonts w:ascii="Arial" w:eastAsiaTheme="minorHAnsi" w:hAnsi="Arial" w:cs="Arial"/>
          <w:b/>
          <w:bCs/>
          <w:sz w:val="22"/>
          <w:szCs w:val="22"/>
          <w:lang w:val="en-US"/>
          <w14:ligatures w14:val="standardContextual"/>
        </w:rPr>
        <w:t xml:space="preserve"> XC-2 ionomer loading on CO2RR performance of NiSAC under 15%CO</w:t>
      </w:r>
      <w:r w:rsidRPr="001901F3">
        <w:rPr>
          <w:rFonts w:ascii="Arial" w:eastAsiaTheme="minorHAnsi" w:hAnsi="Arial" w:cs="Arial"/>
          <w:b/>
          <w:bCs/>
          <w:sz w:val="22"/>
          <w:szCs w:val="22"/>
          <w:vertAlign w:val="subscript"/>
          <w:lang w:val="en-US"/>
          <w14:ligatures w14:val="standardContextual"/>
        </w:rPr>
        <w:t>2</w:t>
      </w:r>
      <w:r w:rsidRPr="001901F3">
        <w:rPr>
          <w:rFonts w:ascii="Arial" w:eastAsiaTheme="minorHAnsi" w:hAnsi="Arial" w:cs="Arial"/>
          <w:b/>
          <w:bCs/>
          <w:sz w:val="22"/>
          <w:szCs w:val="22"/>
          <w:lang w:val="en-US"/>
          <w14:ligatures w14:val="standardContextual"/>
        </w:rPr>
        <w:t xml:space="preserve"> at 200mA/cm</w:t>
      </w:r>
      <w:r w:rsidRPr="001901F3">
        <w:rPr>
          <w:rFonts w:ascii="Arial" w:eastAsiaTheme="minorHAnsi" w:hAnsi="Arial" w:cs="Arial"/>
          <w:b/>
          <w:bCs/>
          <w:sz w:val="22"/>
          <w:szCs w:val="22"/>
          <w:vertAlign w:val="superscript"/>
          <w:lang w:val="en-US"/>
          <w14:ligatures w14:val="standardContextual"/>
        </w:rPr>
        <w:t>2</w:t>
      </w:r>
    </w:p>
    <w:p w14:paraId="1166860D" w14:textId="048A1322" w:rsidR="001901F3" w:rsidRDefault="00C77A9F" w:rsidP="00413DA0">
      <w:pPr>
        <w:spacing w:line="360" w:lineRule="auto"/>
        <w:jc w:val="both"/>
        <w:rPr>
          <w:rFonts w:ascii="Arial" w:eastAsiaTheme="minorHAnsi" w:hAnsi="Arial" w:cs="Arial"/>
          <w:b/>
          <w:bCs/>
          <w:sz w:val="22"/>
          <w:szCs w:val="22"/>
          <w:lang w:val="en-US"/>
          <w14:ligatures w14:val="standardContextual"/>
        </w:rPr>
      </w:pPr>
      <w:r w:rsidRPr="003D79B3">
        <w:rPr>
          <w:rFonts w:ascii="Arial" w:eastAsiaTheme="minorHAnsi" w:hAnsi="Arial" w:cs="Arial"/>
          <w:color w:val="000000"/>
          <w:sz w:val="22"/>
          <w:szCs w:val="22"/>
          <w:lang w:val="en-US"/>
          <w14:ligatures w14:val="standardContextual"/>
        </w:rPr>
        <w:t>In the BPM system, designing the thickness of the anion exchange ionomer in the catalyst layer is crucial for improving local carbonate availability, CO</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regeneration, and limiting K+ concentration at the catalyst/membrane interface. This ionomer has a positively charged backbone, which can significantly impact local ionic transport. As shown in Fig. 3, a Ni0.5SAC catalyst with 10% XC-2 loading achieved 76% FE(CO). However, increasing XC-2 ionomer loading to 20% and 30% may block Ni active sites, reducing CO</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accessibility and CO selectivity. Additionally, higher ionomer loadings slightly increased the cell voltage</w:t>
      </w:r>
      <w:r w:rsidR="003D79B3">
        <w:rPr>
          <w:rFonts w:ascii="Arial" w:eastAsiaTheme="minorHAnsi" w:hAnsi="Arial" w:cs="Arial"/>
          <w:color w:val="000000"/>
          <w:sz w:val="22"/>
          <w:szCs w:val="22"/>
          <w:lang w:val="en-US"/>
          <w14:ligatures w14:val="standardContextual"/>
        </w:rPr>
        <w:t>.</w:t>
      </w:r>
      <w:r w:rsidR="001901F3" w:rsidRPr="001901F3">
        <w:rPr>
          <w:rFonts w:ascii="Arial" w:eastAsiaTheme="minorHAnsi" w:hAnsi="Arial" w:cs="Arial"/>
          <w:b/>
          <w:bCs/>
          <w:noProof/>
          <w:sz w:val="22"/>
          <w:szCs w:val="22"/>
          <w:lang w:val="en-US"/>
          <w14:ligatures w14:val="standardContextual"/>
        </w:rPr>
        <w:drawing>
          <wp:inline distT="0" distB="0" distL="0" distR="0" wp14:anchorId="75AFCDFA" wp14:editId="455075EE">
            <wp:extent cx="5731510" cy="1993265"/>
            <wp:effectExtent l="0" t="0" r="0" b="635"/>
            <wp:docPr id="45424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1094" name=""/>
                    <pic:cNvPicPr/>
                  </pic:nvPicPr>
                  <pic:blipFill>
                    <a:blip r:embed="rId8"/>
                    <a:stretch>
                      <a:fillRect/>
                    </a:stretch>
                  </pic:blipFill>
                  <pic:spPr>
                    <a:xfrm>
                      <a:off x="0" y="0"/>
                      <a:ext cx="5731510" cy="1993265"/>
                    </a:xfrm>
                    <a:prstGeom prst="rect">
                      <a:avLst/>
                    </a:prstGeom>
                  </pic:spPr>
                </pic:pic>
              </a:graphicData>
            </a:graphic>
          </wp:inline>
        </w:drawing>
      </w:r>
    </w:p>
    <w:p w14:paraId="4EEE3E58" w14:textId="1023E598" w:rsidR="00A6092B" w:rsidRDefault="00011BF3" w:rsidP="00A6092B">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3.</w:t>
      </w:r>
      <w:r w:rsidR="00A6092B">
        <w:rPr>
          <w:rFonts w:ascii="Arial" w:eastAsiaTheme="minorHAnsi" w:hAnsi="Arial" w:cs="Arial"/>
          <w:b/>
          <w:bCs/>
          <w:sz w:val="22"/>
          <w:szCs w:val="22"/>
          <w:lang w:val="en-US"/>
          <w14:ligatures w14:val="standardContextual"/>
        </w:rPr>
        <w:t xml:space="preserve"> Faradaic efficiency of a Ni0.5SAC cathode with 10-30%wt XC-2 ionomer loadings under a diluted CO</w:t>
      </w:r>
      <w:r w:rsidR="00A6092B" w:rsidRPr="00E52653">
        <w:rPr>
          <w:rFonts w:ascii="Arial" w:eastAsiaTheme="minorHAnsi" w:hAnsi="Arial" w:cs="Arial"/>
          <w:b/>
          <w:bCs/>
          <w:sz w:val="22"/>
          <w:szCs w:val="22"/>
          <w:vertAlign w:val="subscript"/>
          <w:lang w:val="en-US"/>
          <w14:ligatures w14:val="standardContextual"/>
        </w:rPr>
        <w:t>2</w:t>
      </w:r>
      <w:r w:rsidR="00A6092B">
        <w:rPr>
          <w:rFonts w:ascii="Arial" w:eastAsiaTheme="minorHAnsi" w:hAnsi="Arial" w:cs="Arial"/>
          <w:b/>
          <w:bCs/>
          <w:sz w:val="22"/>
          <w:szCs w:val="22"/>
          <w:lang w:val="en-US"/>
          <w14:ligatures w14:val="standardContextual"/>
        </w:rPr>
        <w:t xml:space="preserve"> condition at 200mA/cm</w:t>
      </w:r>
      <w:r w:rsidR="00A6092B" w:rsidRPr="0016169B">
        <w:rPr>
          <w:rFonts w:ascii="Arial" w:eastAsiaTheme="minorHAnsi" w:hAnsi="Arial" w:cs="Arial"/>
          <w:b/>
          <w:bCs/>
          <w:sz w:val="22"/>
          <w:szCs w:val="22"/>
          <w:vertAlign w:val="superscript"/>
          <w:lang w:val="en-US"/>
          <w14:ligatures w14:val="standardContextual"/>
        </w:rPr>
        <w:t>2</w:t>
      </w:r>
    </w:p>
    <w:p w14:paraId="3CEE5AB0" w14:textId="24DA9115" w:rsidR="00011BF3" w:rsidRDefault="00011BF3" w:rsidP="00413DA0">
      <w:pPr>
        <w:spacing w:line="360" w:lineRule="auto"/>
        <w:jc w:val="both"/>
        <w:rPr>
          <w:rFonts w:ascii="Arial" w:eastAsiaTheme="minorHAnsi" w:hAnsi="Arial" w:cs="Arial"/>
          <w:b/>
          <w:bCs/>
          <w:sz w:val="22"/>
          <w:szCs w:val="22"/>
          <w:lang w:val="en-US"/>
          <w14:ligatures w14:val="standardContextual"/>
        </w:rPr>
      </w:pPr>
    </w:p>
    <w:p w14:paraId="7CB1C639" w14:textId="157E37B0" w:rsidR="00011BF3" w:rsidRDefault="00011BF3" w:rsidP="00011BF3">
      <w:pPr>
        <w:spacing w:line="360" w:lineRule="auto"/>
        <w:jc w:val="both"/>
        <w:rPr>
          <w:rFonts w:ascii="Arial" w:eastAsiaTheme="minorHAnsi" w:hAnsi="Arial" w:cs="Arial"/>
          <w:b/>
          <w:bCs/>
          <w:sz w:val="22"/>
          <w:szCs w:val="22"/>
          <w:vertAlign w:val="superscript"/>
          <w:lang w:val="en-US"/>
          <w14:ligatures w14:val="standardContextual"/>
        </w:rPr>
      </w:pPr>
      <w:r w:rsidRPr="00011BF3">
        <w:rPr>
          <w:rFonts w:ascii="Arial" w:eastAsiaTheme="minorHAnsi" w:hAnsi="Arial" w:cs="Arial"/>
          <w:b/>
          <w:bCs/>
          <w:sz w:val="22"/>
          <w:szCs w:val="22"/>
          <w:lang w:val="en-US"/>
          <w14:ligatures w14:val="standardContextual"/>
        </w:rPr>
        <w:t>Long-term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electrolysis of NiSAC and </w:t>
      </w:r>
      <w:proofErr w:type="spellStart"/>
      <w:proofErr w:type="gramStart"/>
      <w:r w:rsidRPr="00011BF3">
        <w:rPr>
          <w:rFonts w:ascii="Arial" w:eastAsiaTheme="minorHAnsi" w:hAnsi="Arial" w:cs="Arial"/>
          <w:b/>
          <w:bCs/>
          <w:sz w:val="22"/>
          <w:szCs w:val="22"/>
          <w:lang w:val="en-US"/>
          <w14:ligatures w14:val="standardContextual"/>
        </w:rPr>
        <w:t>PANI,PTFE</w:t>
      </w:r>
      <w:proofErr w:type="gramEnd"/>
      <w:r w:rsidRPr="00011BF3">
        <w:rPr>
          <w:rFonts w:ascii="Arial" w:eastAsiaTheme="minorHAnsi" w:hAnsi="Arial" w:cs="Arial"/>
          <w:b/>
          <w:bCs/>
          <w:sz w:val="22"/>
          <w:szCs w:val="22"/>
          <w:lang w:val="en-US"/>
          <w14:ligatures w14:val="standardContextual"/>
        </w:rPr>
        <w:t>@NiSAC</w:t>
      </w:r>
      <w:proofErr w:type="spellEnd"/>
      <w:r w:rsidRPr="00011BF3">
        <w:rPr>
          <w:rFonts w:ascii="Arial" w:eastAsiaTheme="minorHAnsi" w:hAnsi="Arial" w:cs="Arial"/>
          <w:b/>
          <w:bCs/>
          <w:sz w:val="22"/>
          <w:szCs w:val="22"/>
          <w:lang w:val="en-US"/>
          <w14:ligatures w14:val="standardContextual"/>
        </w:rPr>
        <w:t xml:space="preserve"> under</w:t>
      </w:r>
      <w:r w:rsidR="00AC4296">
        <w:rPr>
          <w:rFonts w:ascii="Arial" w:eastAsiaTheme="minorHAnsi" w:hAnsi="Arial" w:cs="Arial"/>
          <w:b/>
          <w:bCs/>
          <w:sz w:val="22"/>
          <w:szCs w:val="22"/>
          <w:lang w:val="en-US"/>
          <w14:ligatures w14:val="standardContextual"/>
        </w:rPr>
        <w:t xml:space="preserve"> a </w:t>
      </w:r>
      <w:r w:rsidRPr="00011BF3">
        <w:rPr>
          <w:rFonts w:ascii="Arial" w:eastAsiaTheme="minorHAnsi" w:hAnsi="Arial" w:cs="Arial"/>
          <w:b/>
          <w:bCs/>
          <w:sz w:val="22"/>
          <w:szCs w:val="22"/>
          <w:lang w:val="en-US"/>
          <w14:ligatures w14:val="standardContextual"/>
        </w:rPr>
        <w:t>pure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at 200mA/cm</w:t>
      </w:r>
      <w:r w:rsidRPr="00011BF3">
        <w:rPr>
          <w:rFonts w:ascii="Arial" w:eastAsiaTheme="minorHAnsi" w:hAnsi="Arial" w:cs="Arial"/>
          <w:b/>
          <w:bCs/>
          <w:sz w:val="22"/>
          <w:szCs w:val="22"/>
          <w:vertAlign w:val="superscript"/>
          <w:lang w:val="en-US"/>
          <w14:ligatures w14:val="standardContextual"/>
        </w:rPr>
        <w:t>2</w:t>
      </w:r>
    </w:p>
    <w:p w14:paraId="7A9A3BEC" w14:textId="2DE27FA7" w:rsidR="00AC4296" w:rsidRDefault="00AC4296" w:rsidP="00011BF3">
      <w:pPr>
        <w:spacing w:line="360" w:lineRule="auto"/>
        <w:jc w:val="both"/>
        <w:rPr>
          <w:rFonts w:ascii="Arial" w:eastAsiaTheme="minorHAnsi" w:hAnsi="Arial" w:cs="Arial"/>
          <w:sz w:val="22"/>
          <w:szCs w:val="22"/>
          <w:lang w:val="en-US"/>
          <w14:ligatures w14:val="standardContextual"/>
        </w:rPr>
      </w:pPr>
      <w:r w:rsidRPr="00AC4296">
        <w:rPr>
          <w:rFonts w:ascii="Arial" w:eastAsiaTheme="minorHAnsi" w:hAnsi="Arial" w:cs="Arial"/>
          <w:sz w:val="22"/>
          <w:szCs w:val="22"/>
          <w:lang w:val="en-US"/>
          <w14:ligatures w14:val="standardContextual"/>
        </w:rPr>
        <w:t>Long-term CO</w:t>
      </w:r>
      <w:r w:rsidRPr="00AC4296">
        <w:rPr>
          <w:rFonts w:ascii="Arial" w:eastAsiaTheme="minorHAnsi" w:hAnsi="Arial" w:cs="Arial"/>
          <w:sz w:val="22"/>
          <w:szCs w:val="22"/>
          <w:vertAlign w:val="subscript"/>
          <w:lang w:val="en-US"/>
          <w14:ligatures w14:val="standardContextual"/>
        </w:rPr>
        <w:t>2</w:t>
      </w:r>
      <w:r w:rsidRPr="00AC4296">
        <w:rPr>
          <w:rFonts w:ascii="Arial" w:eastAsiaTheme="minorHAnsi" w:hAnsi="Arial" w:cs="Arial"/>
          <w:sz w:val="22"/>
          <w:szCs w:val="22"/>
          <w:lang w:val="en-US"/>
          <w14:ligatures w14:val="standardContextual"/>
        </w:rPr>
        <w:t xml:space="preserve"> electrolysis of the BPM system with Ni0.5SAC and modified Ni0.5SAC with PANI and PTFE additives under pure CO</w:t>
      </w:r>
      <w:r w:rsidRPr="00AC4296">
        <w:rPr>
          <w:rFonts w:ascii="Arial" w:eastAsiaTheme="minorHAnsi" w:hAnsi="Arial" w:cs="Arial"/>
          <w:sz w:val="22"/>
          <w:szCs w:val="22"/>
          <w:vertAlign w:val="subscript"/>
          <w:lang w:val="en-US"/>
          <w14:ligatures w14:val="standardContextual"/>
        </w:rPr>
        <w:t>2</w:t>
      </w:r>
      <w:r w:rsidRPr="00AC4296">
        <w:rPr>
          <w:rFonts w:ascii="Arial" w:eastAsiaTheme="minorHAnsi" w:hAnsi="Arial" w:cs="Arial"/>
          <w:sz w:val="22"/>
          <w:szCs w:val="22"/>
          <w:lang w:val="en-US"/>
          <w14:ligatures w14:val="standardContextual"/>
        </w:rPr>
        <w:t xml:space="preserve"> and 1M KOH at 200 mA/cm² is shown in Fig. 4. Both Ni0.5SAC and PANI@Ni0.5SAC maintained high CO selectivity, with FE(CO) &gt;90% over 8 hours at 200 mA/cm². In contrast, FE(CO) for PTFE@Ni0.5SAC dropped significantly after 5 hours. Additionally, PTFE@Ni0.5SAC exhibited a substantially higher cell voltage compared to Ni0.5SAC and PANI@Ni0.5SAC, indicating reduced electrical conductivity in the presence of PTFE.</w:t>
      </w:r>
    </w:p>
    <w:p w14:paraId="6EEFA276" w14:textId="2254F24C" w:rsidR="001901F3" w:rsidRDefault="00011BF3" w:rsidP="00413DA0">
      <w:pPr>
        <w:spacing w:line="360" w:lineRule="auto"/>
        <w:jc w:val="both"/>
        <w:rPr>
          <w:rFonts w:ascii="Arial" w:eastAsiaTheme="minorHAnsi" w:hAnsi="Arial" w:cs="Arial"/>
          <w:b/>
          <w:bCs/>
          <w:sz w:val="22"/>
          <w:szCs w:val="22"/>
          <w:lang w:val="en-US"/>
          <w14:ligatures w14:val="standardContextual"/>
        </w:rPr>
      </w:pPr>
      <w:r w:rsidRPr="00011BF3">
        <w:rPr>
          <w:rFonts w:ascii="Arial" w:eastAsiaTheme="minorHAnsi" w:hAnsi="Arial" w:cs="Arial"/>
          <w:b/>
          <w:bCs/>
          <w:noProof/>
          <w:sz w:val="22"/>
          <w:szCs w:val="22"/>
          <w:lang w:val="en-US"/>
          <w14:ligatures w14:val="standardContextual"/>
        </w:rPr>
        <w:lastRenderedPageBreak/>
        <w:drawing>
          <wp:inline distT="0" distB="0" distL="0" distR="0" wp14:anchorId="2FE01385" wp14:editId="72F4006E">
            <wp:extent cx="5731510" cy="2766060"/>
            <wp:effectExtent l="0" t="0" r="0" b="2540"/>
            <wp:docPr id="139069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96892" name=""/>
                    <pic:cNvPicPr/>
                  </pic:nvPicPr>
                  <pic:blipFill>
                    <a:blip r:embed="rId9"/>
                    <a:stretch>
                      <a:fillRect/>
                    </a:stretch>
                  </pic:blipFill>
                  <pic:spPr>
                    <a:xfrm>
                      <a:off x="0" y="0"/>
                      <a:ext cx="5731510" cy="2766060"/>
                    </a:xfrm>
                    <a:prstGeom prst="rect">
                      <a:avLst/>
                    </a:prstGeom>
                  </pic:spPr>
                </pic:pic>
              </a:graphicData>
            </a:graphic>
          </wp:inline>
        </w:drawing>
      </w:r>
    </w:p>
    <w:p w14:paraId="3B6621C3" w14:textId="2421645C" w:rsidR="00011BF3" w:rsidRDefault="00011BF3" w:rsidP="00413DA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4.</w:t>
      </w:r>
      <w:r w:rsidR="003D79B3">
        <w:rPr>
          <w:rFonts w:ascii="Arial" w:eastAsiaTheme="minorHAnsi" w:hAnsi="Arial" w:cs="Arial"/>
          <w:b/>
          <w:bCs/>
          <w:sz w:val="22"/>
          <w:szCs w:val="22"/>
          <w:lang w:val="en-US"/>
          <w14:ligatures w14:val="standardContextual"/>
        </w:rPr>
        <w:t xml:space="preserve"> Long-term stability of Ni0.5SAC and </w:t>
      </w:r>
      <w:proofErr w:type="gramStart"/>
      <w:r w:rsidR="003D79B3">
        <w:rPr>
          <w:rFonts w:ascii="Arial" w:eastAsiaTheme="minorHAnsi" w:hAnsi="Arial" w:cs="Arial"/>
          <w:b/>
          <w:bCs/>
          <w:sz w:val="22"/>
          <w:szCs w:val="22"/>
          <w:lang w:val="en-US"/>
          <w14:ligatures w14:val="standardContextual"/>
        </w:rPr>
        <w:t>PANI,PTFE@Ni0.5SAC</w:t>
      </w:r>
      <w:proofErr w:type="gramEnd"/>
      <w:r w:rsidR="003D79B3">
        <w:rPr>
          <w:rFonts w:ascii="Arial" w:eastAsiaTheme="minorHAnsi" w:hAnsi="Arial" w:cs="Arial"/>
          <w:b/>
          <w:bCs/>
          <w:sz w:val="22"/>
          <w:szCs w:val="22"/>
          <w:lang w:val="en-US"/>
          <w14:ligatures w14:val="standardContextual"/>
        </w:rPr>
        <w:t xml:space="preserve"> under a pure CO</w:t>
      </w:r>
      <w:r w:rsidR="003D79B3" w:rsidRPr="003D79B3">
        <w:rPr>
          <w:rFonts w:ascii="Arial" w:eastAsiaTheme="minorHAnsi" w:hAnsi="Arial" w:cs="Arial"/>
          <w:b/>
          <w:bCs/>
          <w:sz w:val="22"/>
          <w:szCs w:val="22"/>
          <w:vertAlign w:val="subscript"/>
          <w:lang w:val="en-US"/>
          <w14:ligatures w14:val="standardContextual"/>
        </w:rPr>
        <w:t>2</w:t>
      </w:r>
      <w:r w:rsidR="003D79B3">
        <w:rPr>
          <w:rFonts w:ascii="Arial" w:eastAsiaTheme="minorHAnsi" w:hAnsi="Arial" w:cs="Arial"/>
          <w:b/>
          <w:bCs/>
          <w:sz w:val="22"/>
          <w:szCs w:val="22"/>
          <w:lang w:val="en-US"/>
          <w14:ligatures w14:val="standardContextual"/>
        </w:rPr>
        <w:t xml:space="preserve"> at 200mA/cm</w:t>
      </w:r>
      <w:r w:rsidR="003D79B3" w:rsidRPr="003D79B3">
        <w:rPr>
          <w:rFonts w:ascii="Arial" w:eastAsiaTheme="minorHAnsi" w:hAnsi="Arial" w:cs="Arial"/>
          <w:b/>
          <w:bCs/>
          <w:sz w:val="22"/>
          <w:szCs w:val="22"/>
          <w:vertAlign w:val="superscript"/>
          <w:lang w:val="en-US"/>
          <w14:ligatures w14:val="standardContextual"/>
        </w:rPr>
        <w:t>2</w:t>
      </w:r>
    </w:p>
    <w:p w14:paraId="33D982A4" w14:textId="77777777" w:rsidR="006C5269" w:rsidRDefault="006C5269" w:rsidP="00011BF3">
      <w:pPr>
        <w:spacing w:line="360" w:lineRule="auto"/>
        <w:jc w:val="both"/>
        <w:rPr>
          <w:rFonts w:ascii="Arial" w:eastAsiaTheme="minorHAnsi" w:hAnsi="Arial" w:cs="Arial"/>
          <w:b/>
          <w:bCs/>
          <w:sz w:val="22"/>
          <w:szCs w:val="22"/>
          <w:lang w:val="en-US"/>
          <w14:ligatures w14:val="standardContextual"/>
        </w:rPr>
      </w:pPr>
    </w:p>
    <w:p w14:paraId="66811B0D" w14:textId="43A1DE4A" w:rsidR="00011BF3" w:rsidRDefault="00011BF3" w:rsidP="00011BF3">
      <w:pPr>
        <w:spacing w:line="360" w:lineRule="auto"/>
        <w:jc w:val="both"/>
        <w:rPr>
          <w:rFonts w:ascii="Arial" w:eastAsiaTheme="minorHAnsi" w:hAnsi="Arial" w:cs="Arial"/>
          <w:b/>
          <w:bCs/>
          <w:sz w:val="22"/>
          <w:szCs w:val="22"/>
          <w:lang w:val="en-US"/>
          <w14:ligatures w14:val="standardContextual"/>
        </w:rPr>
      </w:pPr>
      <w:r w:rsidRPr="00011BF3">
        <w:rPr>
          <w:rFonts w:ascii="Arial" w:eastAsiaTheme="minorHAnsi" w:hAnsi="Arial" w:cs="Arial"/>
          <w:b/>
          <w:bCs/>
          <w:sz w:val="22"/>
          <w:szCs w:val="22"/>
          <w:lang w:val="en-US"/>
          <w14:ligatures w14:val="standardContextual"/>
        </w:rPr>
        <w:t>Long-term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electrolysis of NiSAC and </w:t>
      </w:r>
      <w:proofErr w:type="spellStart"/>
      <w:proofErr w:type="gramStart"/>
      <w:r w:rsidRPr="00011BF3">
        <w:rPr>
          <w:rFonts w:ascii="Arial" w:eastAsiaTheme="minorHAnsi" w:hAnsi="Arial" w:cs="Arial"/>
          <w:b/>
          <w:bCs/>
          <w:sz w:val="22"/>
          <w:szCs w:val="22"/>
          <w:lang w:val="en-US"/>
          <w14:ligatures w14:val="standardContextual"/>
        </w:rPr>
        <w:t>PANI,PTFE</w:t>
      </w:r>
      <w:proofErr w:type="gramEnd"/>
      <w:r w:rsidRPr="00011BF3">
        <w:rPr>
          <w:rFonts w:ascii="Arial" w:eastAsiaTheme="minorHAnsi" w:hAnsi="Arial" w:cs="Arial"/>
          <w:b/>
          <w:bCs/>
          <w:sz w:val="22"/>
          <w:szCs w:val="22"/>
          <w:lang w:val="en-US"/>
          <w14:ligatures w14:val="standardContextual"/>
        </w:rPr>
        <w:t>@NiSAC</w:t>
      </w:r>
      <w:proofErr w:type="spellEnd"/>
      <w:r w:rsidRPr="00011BF3">
        <w:rPr>
          <w:rFonts w:ascii="Arial" w:eastAsiaTheme="minorHAnsi" w:hAnsi="Arial" w:cs="Arial"/>
          <w:b/>
          <w:bCs/>
          <w:sz w:val="22"/>
          <w:szCs w:val="22"/>
          <w:lang w:val="en-US"/>
          <w14:ligatures w14:val="standardContextual"/>
        </w:rPr>
        <w:t xml:space="preserve"> under </w:t>
      </w:r>
      <w:r>
        <w:rPr>
          <w:rFonts w:ascii="Arial" w:eastAsiaTheme="minorHAnsi" w:hAnsi="Arial" w:cs="Arial"/>
          <w:b/>
          <w:bCs/>
          <w:sz w:val="22"/>
          <w:szCs w:val="22"/>
          <w:lang w:val="en-US"/>
          <w14:ligatures w14:val="standardContextual"/>
        </w:rPr>
        <w:t xml:space="preserve">a </w:t>
      </w:r>
      <w:r w:rsidRPr="00011BF3">
        <w:rPr>
          <w:rFonts w:ascii="Arial" w:eastAsiaTheme="minorHAnsi" w:hAnsi="Arial" w:cs="Arial"/>
          <w:b/>
          <w:bCs/>
          <w:sz w:val="22"/>
          <w:szCs w:val="22"/>
          <w:lang w:val="en-US"/>
          <w14:ligatures w14:val="standardContextual"/>
        </w:rPr>
        <w:t>pure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w:t>
      </w:r>
      <w:r>
        <w:rPr>
          <w:rFonts w:ascii="Arial" w:eastAsiaTheme="minorHAnsi" w:hAnsi="Arial" w:cs="Arial"/>
          <w:b/>
          <w:bCs/>
          <w:sz w:val="22"/>
          <w:szCs w:val="22"/>
          <w:lang w:val="en-US"/>
          <w14:ligatures w14:val="standardContextual"/>
        </w:rPr>
        <w:t xml:space="preserve">condition with 0.5M and 1.0M KOH anolyte </w:t>
      </w:r>
      <w:r w:rsidRPr="00011BF3">
        <w:rPr>
          <w:rFonts w:ascii="Arial" w:eastAsiaTheme="minorHAnsi" w:hAnsi="Arial" w:cs="Arial"/>
          <w:b/>
          <w:bCs/>
          <w:sz w:val="22"/>
          <w:szCs w:val="22"/>
          <w:lang w:val="en-US"/>
          <w14:ligatures w14:val="standardContextual"/>
        </w:rPr>
        <w:t xml:space="preserve">at </w:t>
      </w:r>
      <w:r>
        <w:rPr>
          <w:rFonts w:ascii="Arial" w:eastAsiaTheme="minorHAnsi" w:hAnsi="Arial" w:cs="Arial"/>
          <w:b/>
          <w:bCs/>
          <w:sz w:val="22"/>
          <w:szCs w:val="22"/>
          <w:lang w:val="en-US"/>
          <w14:ligatures w14:val="standardContextual"/>
        </w:rPr>
        <w:t>1</w:t>
      </w:r>
      <w:r w:rsidRPr="00011BF3">
        <w:rPr>
          <w:rFonts w:ascii="Arial" w:eastAsiaTheme="minorHAnsi" w:hAnsi="Arial" w:cs="Arial"/>
          <w:b/>
          <w:bCs/>
          <w:sz w:val="22"/>
          <w:szCs w:val="22"/>
          <w:lang w:val="en-US"/>
          <w14:ligatures w14:val="standardContextual"/>
        </w:rPr>
        <w:t>00mA/cm</w:t>
      </w:r>
      <w:r w:rsidRPr="00011BF3">
        <w:rPr>
          <w:rFonts w:ascii="Arial" w:eastAsiaTheme="minorHAnsi" w:hAnsi="Arial" w:cs="Arial"/>
          <w:b/>
          <w:bCs/>
          <w:sz w:val="22"/>
          <w:szCs w:val="22"/>
          <w:vertAlign w:val="superscript"/>
          <w:lang w:val="en-US"/>
          <w14:ligatures w14:val="standardContextual"/>
        </w:rPr>
        <w:t>2</w:t>
      </w:r>
      <w:r>
        <w:rPr>
          <w:rFonts w:ascii="Arial" w:eastAsiaTheme="minorHAnsi" w:hAnsi="Arial" w:cs="Arial"/>
          <w:b/>
          <w:bCs/>
          <w:sz w:val="22"/>
          <w:szCs w:val="22"/>
          <w:vertAlign w:val="superscript"/>
          <w:lang w:val="en-US"/>
          <w14:ligatures w14:val="standardContextual"/>
        </w:rPr>
        <w:t xml:space="preserve"> </w:t>
      </w:r>
    </w:p>
    <w:p w14:paraId="20184030" w14:textId="11CC3595" w:rsidR="004D5004" w:rsidRDefault="004D5004" w:rsidP="00011BF3">
      <w:pPr>
        <w:spacing w:line="360" w:lineRule="auto"/>
        <w:jc w:val="both"/>
        <w:rPr>
          <w:rFonts w:ascii="Arial" w:eastAsiaTheme="minorHAnsi" w:hAnsi="Arial" w:cs="Arial"/>
          <w:sz w:val="22"/>
          <w:szCs w:val="22"/>
          <w:lang w:val="en-US"/>
          <w14:ligatures w14:val="standardContextual"/>
        </w:rPr>
      </w:pPr>
      <w:r w:rsidRPr="004D5004">
        <w:rPr>
          <w:rFonts w:ascii="Arial" w:eastAsiaTheme="minorHAnsi" w:hAnsi="Arial" w:cs="Arial"/>
          <w:sz w:val="22"/>
          <w:szCs w:val="22"/>
          <w:lang w:val="en-US"/>
          <w14:ligatures w14:val="standardContextual"/>
        </w:rPr>
        <w:t>To further mitigate K+ crossover, which could result in salt formation in the cathode region, the influence of KOH anolyte concentration on BPM system stability was tested under pure CO</w:t>
      </w:r>
      <w:r w:rsidRPr="004D5004">
        <w:rPr>
          <w:rFonts w:ascii="Arial" w:eastAsiaTheme="minorHAnsi" w:hAnsi="Arial" w:cs="Arial"/>
          <w:sz w:val="22"/>
          <w:szCs w:val="22"/>
          <w:vertAlign w:val="subscript"/>
          <w:lang w:val="en-US"/>
          <w14:ligatures w14:val="standardContextual"/>
        </w:rPr>
        <w:t>2</w:t>
      </w:r>
      <w:r w:rsidRPr="004D5004">
        <w:rPr>
          <w:rFonts w:ascii="Arial" w:eastAsiaTheme="minorHAnsi" w:hAnsi="Arial" w:cs="Arial"/>
          <w:sz w:val="22"/>
          <w:szCs w:val="22"/>
          <w:lang w:val="en-US"/>
          <w14:ligatures w14:val="standardContextual"/>
        </w:rPr>
        <w:t xml:space="preserve"> with 0.5M and 1M KOH at 100 mA/cm². As shown in Fig. 5, a 1M KOH system exhibited a slightly lower cell voltage (3.32V) than the 0.5M system (3.49V). However, significant salt buildup occurred in the 1M KOH system after 13 hours, requiring frequent regeneration. After regeneration with DI water, the GDE became wetted, reducing hydrophobicity and causing HER activity over CO2RR. In contrast, the 0.5M KOH system maintained stability with FE(CO) &gt;90% for over 40 hours, likely due to the lower K+ concentration, which reduced crossover and prevented severe salt formation. Salt formation began after 15 hours and required regeneration after 30 hours, as CO</w:t>
      </w:r>
      <w:r w:rsidRPr="004D5004">
        <w:rPr>
          <w:rFonts w:ascii="Arial" w:eastAsiaTheme="minorHAnsi" w:hAnsi="Arial" w:cs="Arial"/>
          <w:sz w:val="22"/>
          <w:szCs w:val="22"/>
          <w:vertAlign w:val="subscript"/>
          <w:lang w:val="en-US"/>
          <w14:ligatures w14:val="standardContextual"/>
        </w:rPr>
        <w:t>2</w:t>
      </w:r>
      <w:r w:rsidRPr="004D5004">
        <w:rPr>
          <w:rFonts w:ascii="Arial" w:eastAsiaTheme="minorHAnsi" w:hAnsi="Arial" w:cs="Arial"/>
          <w:sz w:val="22"/>
          <w:szCs w:val="22"/>
          <w:lang w:val="en-US"/>
          <w14:ligatures w14:val="standardContextual"/>
        </w:rPr>
        <w:t xml:space="preserve"> output decreased significantly</w:t>
      </w:r>
      <w:r>
        <w:rPr>
          <w:rFonts w:ascii="Arial" w:eastAsiaTheme="minorHAnsi" w:hAnsi="Arial" w:cs="Arial"/>
          <w:sz w:val="22"/>
          <w:szCs w:val="22"/>
          <w:lang w:val="en-US"/>
          <w14:ligatures w14:val="standardContextual"/>
        </w:rPr>
        <w:t xml:space="preserve"> (from 150 to 70 ml/min over time)</w:t>
      </w:r>
      <w:r w:rsidRPr="004D5004">
        <w:rPr>
          <w:rFonts w:ascii="Arial" w:eastAsiaTheme="minorHAnsi" w:hAnsi="Arial" w:cs="Arial"/>
          <w:sz w:val="22"/>
          <w:szCs w:val="22"/>
          <w:lang w:val="en-US"/>
          <w14:ligatures w14:val="standardContextual"/>
        </w:rPr>
        <w:t>. Frequent DI water regeneration can reduce GDE hydrophobicity, so alternative methods, such as pulse electrochemical regeneration or using a more diluted KOH concentration, may prolong cell lifespan.</w:t>
      </w:r>
    </w:p>
    <w:p w14:paraId="6393DA18" w14:textId="55F32FF9" w:rsidR="00011BF3" w:rsidRDefault="00011BF3" w:rsidP="00011BF3">
      <w:pPr>
        <w:spacing w:line="360" w:lineRule="auto"/>
        <w:jc w:val="center"/>
        <w:rPr>
          <w:rFonts w:ascii="Arial" w:eastAsiaTheme="minorHAnsi" w:hAnsi="Arial" w:cs="Arial"/>
          <w:b/>
          <w:bCs/>
          <w:sz w:val="22"/>
          <w:szCs w:val="22"/>
          <w:lang w:val="en-US"/>
          <w14:ligatures w14:val="standardContextual"/>
        </w:rPr>
      </w:pPr>
      <w:r w:rsidRPr="00011BF3">
        <w:rPr>
          <w:rFonts w:ascii="Arial" w:eastAsiaTheme="minorHAnsi" w:hAnsi="Arial" w:cs="Arial"/>
          <w:b/>
          <w:bCs/>
          <w:noProof/>
          <w:sz w:val="22"/>
          <w:szCs w:val="22"/>
          <w:lang w:val="en-US"/>
          <w14:ligatures w14:val="standardContextual"/>
        </w:rPr>
        <w:lastRenderedPageBreak/>
        <w:drawing>
          <wp:inline distT="0" distB="0" distL="0" distR="0" wp14:anchorId="6D844815" wp14:editId="7A1D8701">
            <wp:extent cx="4480560" cy="3691770"/>
            <wp:effectExtent l="0" t="0" r="2540" b="4445"/>
            <wp:docPr id="63064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42928" name=""/>
                    <pic:cNvPicPr/>
                  </pic:nvPicPr>
                  <pic:blipFill>
                    <a:blip r:embed="rId10"/>
                    <a:stretch>
                      <a:fillRect/>
                    </a:stretch>
                  </pic:blipFill>
                  <pic:spPr>
                    <a:xfrm>
                      <a:off x="0" y="0"/>
                      <a:ext cx="4616680" cy="3803927"/>
                    </a:xfrm>
                    <a:prstGeom prst="rect">
                      <a:avLst/>
                    </a:prstGeom>
                  </pic:spPr>
                </pic:pic>
              </a:graphicData>
            </a:graphic>
          </wp:inline>
        </w:drawing>
      </w:r>
    </w:p>
    <w:p w14:paraId="66ECE6EA" w14:textId="526A4387" w:rsidR="006C5269" w:rsidRPr="006C5269" w:rsidRDefault="00011BF3" w:rsidP="006C5269">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5.</w:t>
      </w:r>
      <w:r w:rsidR="006C5269">
        <w:rPr>
          <w:rFonts w:ascii="Arial" w:eastAsiaTheme="minorHAnsi" w:hAnsi="Arial" w:cs="Arial"/>
          <w:b/>
          <w:bCs/>
          <w:sz w:val="22"/>
          <w:szCs w:val="22"/>
          <w:lang w:val="en-US"/>
          <w14:ligatures w14:val="standardContextual"/>
        </w:rPr>
        <w:t xml:space="preserve"> Long-term stability of Ni0.5SAC under a pure CO</w:t>
      </w:r>
      <w:r w:rsidR="006C5269" w:rsidRPr="003D79B3">
        <w:rPr>
          <w:rFonts w:ascii="Arial" w:eastAsiaTheme="minorHAnsi" w:hAnsi="Arial" w:cs="Arial"/>
          <w:b/>
          <w:bCs/>
          <w:sz w:val="22"/>
          <w:szCs w:val="22"/>
          <w:vertAlign w:val="subscript"/>
          <w:lang w:val="en-US"/>
          <w14:ligatures w14:val="standardContextual"/>
        </w:rPr>
        <w:t>2</w:t>
      </w:r>
      <w:r w:rsidR="006C5269">
        <w:rPr>
          <w:rFonts w:ascii="Arial" w:eastAsiaTheme="minorHAnsi" w:hAnsi="Arial" w:cs="Arial"/>
          <w:b/>
          <w:bCs/>
          <w:sz w:val="22"/>
          <w:szCs w:val="22"/>
          <w:lang w:val="en-US"/>
          <w14:ligatures w14:val="standardContextual"/>
        </w:rPr>
        <w:t xml:space="preserve"> with 0.5M and 1M KOH anolyte at </w:t>
      </w:r>
      <w:r w:rsidR="00806CF6">
        <w:rPr>
          <w:rFonts w:ascii="Arial" w:eastAsiaTheme="minorHAnsi" w:hAnsi="Arial" w:cs="Arial"/>
          <w:b/>
          <w:bCs/>
          <w:sz w:val="22"/>
          <w:szCs w:val="22"/>
          <w:lang w:val="en-US"/>
          <w14:ligatures w14:val="standardContextual"/>
        </w:rPr>
        <w:t>1</w:t>
      </w:r>
      <w:r w:rsidR="006C5269">
        <w:rPr>
          <w:rFonts w:ascii="Arial" w:eastAsiaTheme="minorHAnsi" w:hAnsi="Arial" w:cs="Arial"/>
          <w:b/>
          <w:bCs/>
          <w:sz w:val="22"/>
          <w:szCs w:val="22"/>
          <w:lang w:val="en-US"/>
          <w14:ligatures w14:val="standardContextual"/>
        </w:rPr>
        <w:t>00mA/cm</w:t>
      </w:r>
      <w:r w:rsidR="006C5269" w:rsidRPr="003D79B3">
        <w:rPr>
          <w:rFonts w:ascii="Arial" w:eastAsiaTheme="minorHAnsi" w:hAnsi="Arial" w:cs="Arial"/>
          <w:b/>
          <w:bCs/>
          <w:sz w:val="22"/>
          <w:szCs w:val="22"/>
          <w:vertAlign w:val="superscript"/>
          <w:lang w:val="en-US"/>
          <w14:ligatures w14:val="standardContextual"/>
        </w:rPr>
        <w:t>2</w:t>
      </w:r>
    </w:p>
    <w:p w14:paraId="45BFE26F" w14:textId="77777777" w:rsidR="00300855" w:rsidRDefault="00300855" w:rsidP="005C67B6">
      <w:pPr>
        <w:spacing w:line="360"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t>Upcoming tasks</w:t>
      </w:r>
    </w:p>
    <w:p w14:paraId="7E2CBE8C" w14:textId="77777777" w:rsidR="004D5004" w:rsidRDefault="004D5004" w:rsidP="008907E8">
      <w:pPr>
        <w:pStyle w:val="ListParagraph"/>
        <w:numPr>
          <w:ilvl w:val="0"/>
          <w:numId w:val="31"/>
        </w:numPr>
        <w:rPr>
          <w:rFonts w:ascii="Arial" w:hAnsi="Arial" w:cs="Arial"/>
        </w:rPr>
      </w:pPr>
      <w:r>
        <w:rPr>
          <w:rFonts w:ascii="Arial" w:hAnsi="Arial" w:cs="Arial"/>
        </w:rPr>
        <w:t xml:space="preserve">Long-term stability: </w:t>
      </w:r>
    </w:p>
    <w:p w14:paraId="522ABE1C" w14:textId="418749F3" w:rsidR="004D5004" w:rsidRDefault="004D5004" w:rsidP="004D5004">
      <w:pPr>
        <w:pStyle w:val="ListParagraph"/>
        <w:numPr>
          <w:ilvl w:val="1"/>
          <w:numId w:val="31"/>
        </w:numPr>
        <w:rPr>
          <w:rFonts w:ascii="Arial" w:hAnsi="Arial" w:cs="Arial"/>
        </w:rPr>
      </w:pPr>
      <w:r>
        <w:rPr>
          <w:rFonts w:ascii="Arial" w:hAnsi="Arial" w:cs="Arial"/>
        </w:rPr>
        <w:t>under 0.1M KOH anolyte</w:t>
      </w:r>
    </w:p>
    <w:p w14:paraId="1B2126D5" w14:textId="07720B61" w:rsidR="004D5004" w:rsidRPr="004D5004" w:rsidRDefault="004D5004" w:rsidP="004D5004">
      <w:pPr>
        <w:pStyle w:val="ListParagraph"/>
        <w:numPr>
          <w:ilvl w:val="1"/>
          <w:numId w:val="31"/>
        </w:numPr>
        <w:rPr>
          <w:rFonts w:ascii="Arial" w:hAnsi="Arial" w:cs="Arial"/>
        </w:rPr>
      </w:pPr>
      <w:r>
        <w:rPr>
          <w:rFonts w:ascii="Arial" w:hAnsi="Arial" w:cs="Arial"/>
        </w:rPr>
        <w:t>pulse electrochemical method</w:t>
      </w:r>
    </w:p>
    <w:p w14:paraId="020EDABE" w14:textId="43C60A58" w:rsidR="00190335" w:rsidRPr="00136F96" w:rsidRDefault="0017383B" w:rsidP="00136F96">
      <w:pPr>
        <w:pStyle w:val="ListParagraph"/>
        <w:numPr>
          <w:ilvl w:val="0"/>
          <w:numId w:val="31"/>
        </w:numPr>
        <w:rPr>
          <w:rFonts w:ascii="Arial" w:hAnsi="Arial" w:cs="Arial"/>
        </w:rPr>
      </w:pPr>
      <w:r>
        <w:rPr>
          <w:rFonts w:ascii="Arial" w:hAnsi="Arial" w:cs="Arial"/>
        </w:rPr>
        <w:t>CO2RR of Ni0.5SAC with 5%XC-2 ionomer</w:t>
      </w:r>
      <w:r w:rsidR="00545262">
        <w:rPr>
          <w:rFonts w:ascii="Arial" w:hAnsi="Arial" w:cs="Arial"/>
        </w:rPr>
        <w:t xml:space="preserve"> and PANI@Ni0.5SAC with higher Ni0.5SAC mass loading</w:t>
      </w:r>
    </w:p>
    <w:sectPr w:rsidR="00190335" w:rsidRPr="00136F96"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B01"/>
    <w:rsid w:val="00046A50"/>
    <w:rsid w:val="00055255"/>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C33C0"/>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716B"/>
    <w:rsid w:val="001860D1"/>
    <w:rsid w:val="001865C4"/>
    <w:rsid w:val="001901F3"/>
    <w:rsid w:val="00190335"/>
    <w:rsid w:val="001A000E"/>
    <w:rsid w:val="001A118A"/>
    <w:rsid w:val="001A1F1E"/>
    <w:rsid w:val="001A4E1C"/>
    <w:rsid w:val="001B19C3"/>
    <w:rsid w:val="001B2B7E"/>
    <w:rsid w:val="001C141C"/>
    <w:rsid w:val="001C2DDA"/>
    <w:rsid w:val="001C743B"/>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911DD"/>
    <w:rsid w:val="00292212"/>
    <w:rsid w:val="002A2AAF"/>
    <w:rsid w:val="002A58D9"/>
    <w:rsid w:val="002A70EF"/>
    <w:rsid w:val="002B4C7F"/>
    <w:rsid w:val="002C364D"/>
    <w:rsid w:val="002D76F4"/>
    <w:rsid w:val="002E0CEC"/>
    <w:rsid w:val="002E7AFF"/>
    <w:rsid w:val="002E7F70"/>
    <w:rsid w:val="002F17E6"/>
    <w:rsid w:val="00300855"/>
    <w:rsid w:val="00301CA0"/>
    <w:rsid w:val="00310B6E"/>
    <w:rsid w:val="003154CD"/>
    <w:rsid w:val="0031651B"/>
    <w:rsid w:val="003174D7"/>
    <w:rsid w:val="00323352"/>
    <w:rsid w:val="0032649E"/>
    <w:rsid w:val="00335932"/>
    <w:rsid w:val="0033598A"/>
    <w:rsid w:val="00337079"/>
    <w:rsid w:val="00342C41"/>
    <w:rsid w:val="0034492A"/>
    <w:rsid w:val="00347751"/>
    <w:rsid w:val="00357EB9"/>
    <w:rsid w:val="00361240"/>
    <w:rsid w:val="0036740C"/>
    <w:rsid w:val="00377892"/>
    <w:rsid w:val="0039486D"/>
    <w:rsid w:val="00397494"/>
    <w:rsid w:val="003A2306"/>
    <w:rsid w:val="003A389D"/>
    <w:rsid w:val="003B2000"/>
    <w:rsid w:val="003B4225"/>
    <w:rsid w:val="003B54CA"/>
    <w:rsid w:val="003B63E2"/>
    <w:rsid w:val="003B7CFA"/>
    <w:rsid w:val="003D038C"/>
    <w:rsid w:val="003D252B"/>
    <w:rsid w:val="003D2C63"/>
    <w:rsid w:val="003D79B3"/>
    <w:rsid w:val="003E2F90"/>
    <w:rsid w:val="003E48CC"/>
    <w:rsid w:val="003E6EE3"/>
    <w:rsid w:val="004062E3"/>
    <w:rsid w:val="00412EEB"/>
    <w:rsid w:val="00412F42"/>
    <w:rsid w:val="00413DA0"/>
    <w:rsid w:val="00414B41"/>
    <w:rsid w:val="00415D25"/>
    <w:rsid w:val="00420FD3"/>
    <w:rsid w:val="00435A5B"/>
    <w:rsid w:val="00451FAD"/>
    <w:rsid w:val="0045683A"/>
    <w:rsid w:val="0046104C"/>
    <w:rsid w:val="004616B8"/>
    <w:rsid w:val="00464A16"/>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13154"/>
    <w:rsid w:val="00521192"/>
    <w:rsid w:val="00525A2A"/>
    <w:rsid w:val="00532DAD"/>
    <w:rsid w:val="00533D5A"/>
    <w:rsid w:val="0054482C"/>
    <w:rsid w:val="00545262"/>
    <w:rsid w:val="00545384"/>
    <w:rsid w:val="00546913"/>
    <w:rsid w:val="00552C5E"/>
    <w:rsid w:val="0055485A"/>
    <w:rsid w:val="005578E3"/>
    <w:rsid w:val="00564641"/>
    <w:rsid w:val="0057032E"/>
    <w:rsid w:val="005838C0"/>
    <w:rsid w:val="005A1D91"/>
    <w:rsid w:val="005A4005"/>
    <w:rsid w:val="005B15A5"/>
    <w:rsid w:val="005B6D21"/>
    <w:rsid w:val="005C19EB"/>
    <w:rsid w:val="005C67B6"/>
    <w:rsid w:val="005D2FEF"/>
    <w:rsid w:val="005D35B0"/>
    <w:rsid w:val="005D52DB"/>
    <w:rsid w:val="005D717E"/>
    <w:rsid w:val="005E2223"/>
    <w:rsid w:val="005E3F41"/>
    <w:rsid w:val="005E6C6F"/>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C5269"/>
    <w:rsid w:val="006E296B"/>
    <w:rsid w:val="006F1CF4"/>
    <w:rsid w:val="006F72E2"/>
    <w:rsid w:val="00703D7A"/>
    <w:rsid w:val="00704527"/>
    <w:rsid w:val="00710766"/>
    <w:rsid w:val="00712327"/>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D60E5"/>
    <w:rsid w:val="007E0AB7"/>
    <w:rsid w:val="007E62DC"/>
    <w:rsid w:val="007E6D5E"/>
    <w:rsid w:val="007E6E85"/>
    <w:rsid w:val="00806CF6"/>
    <w:rsid w:val="008078FB"/>
    <w:rsid w:val="00817352"/>
    <w:rsid w:val="0081766C"/>
    <w:rsid w:val="00822EE5"/>
    <w:rsid w:val="00823173"/>
    <w:rsid w:val="0083587E"/>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314A7"/>
    <w:rsid w:val="00941552"/>
    <w:rsid w:val="00942FD1"/>
    <w:rsid w:val="0094305B"/>
    <w:rsid w:val="0094314B"/>
    <w:rsid w:val="009431E2"/>
    <w:rsid w:val="00945024"/>
    <w:rsid w:val="009457E0"/>
    <w:rsid w:val="0094785B"/>
    <w:rsid w:val="00953BC8"/>
    <w:rsid w:val="0095506E"/>
    <w:rsid w:val="009632DA"/>
    <w:rsid w:val="00964075"/>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092B"/>
    <w:rsid w:val="00A627C2"/>
    <w:rsid w:val="00A62881"/>
    <w:rsid w:val="00A6476D"/>
    <w:rsid w:val="00A6503B"/>
    <w:rsid w:val="00A729BF"/>
    <w:rsid w:val="00A7586A"/>
    <w:rsid w:val="00A86977"/>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49F8"/>
    <w:rsid w:val="00B26F46"/>
    <w:rsid w:val="00B4041D"/>
    <w:rsid w:val="00B42EC6"/>
    <w:rsid w:val="00B43A1C"/>
    <w:rsid w:val="00B51F92"/>
    <w:rsid w:val="00B520EB"/>
    <w:rsid w:val="00B53F2E"/>
    <w:rsid w:val="00B5534E"/>
    <w:rsid w:val="00B62F5B"/>
    <w:rsid w:val="00B67656"/>
    <w:rsid w:val="00B70ED4"/>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4F74"/>
    <w:rsid w:val="00C004C3"/>
    <w:rsid w:val="00C10F38"/>
    <w:rsid w:val="00C314DC"/>
    <w:rsid w:val="00C31C3F"/>
    <w:rsid w:val="00C3219A"/>
    <w:rsid w:val="00C4173B"/>
    <w:rsid w:val="00C4216D"/>
    <w:rsid w:val="00C44492"/>
    <w:rsid w:val="00C51895"/>
    <w:rsid w:val="00C63366"/>
    <w:rsid w:val="00C63723"/>
    <w:rsid w:val="00C64590"/>
    <w:rsid w:val="00C65A57"/>
    <w:rsid w:val="00C70A6A"/>
    <w:rsid w:val="00C7102F"/>
    <w:rsid w:val="00C7326B"/>
    <w:rsid w:val="00C74800"/>
    <w:rsid w:val="00C749AA"/>
    <w:rsid w:val="00C74FFF"/>
    <w:rsid w:val="00C77869"/>
    <w:rsid w:val="00C77A9F"/>
    <w:rsid w:val="00C83A0C"/>
    <w:rsid w:val="00C9123A"/>
    <w:rsid w:val="00C962DE"/>
    <w:rsid w:val="00CA1E1B"/>
    <w:rsid w:val="00CA2F2D"/>
    <w:rsid w:val="00CB11C9"/>
    <w:rsid w:val="00CB3F3A"/>
    <w:rsid w:val="00CB4CB4"/>
    <w:rsid w:val="00CD1B10"/>
    <w:rsid w:val="00CD3424"/>
    <w:rsid w:val="00CE016E"/>
    <w:rsid w:val="00CE4893"/>
    <w:rsid w:val="00CE4EEC"/>
    <w:rsid w:val="00CE65C4"/>
    <w:rsid w:val="00CF32FB"/>
    <w:rsid w:val="00D03F74"/>
    <w:rsid w:val="00D06ACA"/>
    <w:rsid w:val="00D10CCC"/>
    <w:rsid w:val="00D1647A"/>
    <w:rsid w:val="00D20952"/>
    <w:rsid w:val="00D21F60"/>
    <w:rsid w:val="00D22CEA"/>
    <w:rsid w:val="00D3404A"/>
    <w:rsid w:val="00D600FA"/>
    <w:rsid w:val="00D60156"/>
    <w:rsid w:val="00D64372"/>
    <w:rsid w:val="00D72937"/>
    <w:rsid w:val="00D745A7"/>
    <w:rsid w:val="00D779FD"/>
    <w:rsid w:val="00D82285"/>
    <w:rsid w:val="00D855EA"/>
    <w:rsid w:val="00D9421D"/>
    <w:rsid w:val="00D95BAB"/>
    <w:rsid w:val="00D95DB5"/>
    <w:rsid w:val="00D95F62"/>
    <w:rsid w:val="00D979D8"/>
    <w:rsid w:val="00DA12B7"/>
    <w:rsid w:val="00DA1B0D"/>
    <w:rsid w:val="00DB40C6"/>
    <w:rsid w:val="00DC11CD"/>
    <w:rsid w:val="00DC27EF"/>
    <w:rsid w:val="00DC5CED"/>
    <w:rsid w:val="00DD344C"/>
    <w:rsid w:val="00DF3698"/>
    <w:rsid w:val="00DF3BB2"/>
    <w:rsid w:val="00DF75E4"/>
    <w:rsid w:val="00E12443"/>
    <w:rsid w:val="00E13729"/>
    <w:rsid w:val="00E16FCD"/>
    <w:rsid w:val="00E215BC"/>
    <w:rsid w:val="00E22121"/>
    <w:rsid w:val="00E35C63"/>
    <w:rsid w:val="00E375AA"/>
    <w:rsid w:val="00E37DFB"/>
    <w:rsid w:val="00E40A4C"/>
    <w:rsid w:val="00E450F3"/>
    <w:rsid w:val="00E457E5"/>
    <w:rsid w:val="00E52653"/>
    <w:rsid w:val="00E60007"/>
    <w:rsid w:val="00E60E18"/>
    <w:rsid w:val="00E60E3A"/>
    <w:rsid w:val="00E6651F"/>
    <w:rsid w:val="00E757C0"/>
    <w:rsid w:val="00E75DDD"/>
    <w:rsid w:val="00E801CD"/>
    <w:rsid w:val="00E82130"/>
    <w:rsid w:val="00E84F2D"/>
    <w:rsid w:val="00E944D0"/>
    <w:rsid w:val="00E95FB2"/>
    <w:rsid w:val="00E969FF"/>
    <w:rsid w:val="00EA170E"/>
    <w:rsid w:val="00EA3FF5"/>
    <w:rsid w:val="00EB7E14"/>
    <w:rsid w:val="00EC6C69"/>
    <w:rsid w:val="00ED5807"/>
    <w:rsid w:val="00EE28A0"/>
    <w:rsid w:val="00EF1A05"/>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4A7"/>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4099</TotalTime>
  <Pages>6</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215</cp:revision>
  <cp:lastPrinted>2024-10-14T16:04:00Z</cp:lastPrinted>
  <dcterms:created xsi:type="dcterms:W3CDTF">2023-11-11T07:00:00Z</dcterms:created>
  <dcterms:modified xsi:type="dcterms:W3CDTF">2025-10-15T03:08:00Z</dcterms:modified>
</cp:coreProperties>
</file>