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40" w:before="0" w:line="276" w:lineRule="auto"/>
      </w:pPr>
      <w:r>
        <w:rPr>
          <w:rFonts w:ascii="Times New Roman" w:hAnsi="Times New Roman" w:cs="Times New Roman"/>
          <w:b w:val="0"/>
          <w:color w:val="0284C7"/>
          <w:sz w:val="26"/>
          <w:szCs w:val="26"/>
          <w:rtl/>
        </w:rPr>
        <w:t>تقرير مشروع</w:t>
      </w:r>
    </w:p>
    <w:p>
      <w:pPr>
        <w:bidi/>
        <w:spacing w:after="120" w:before="0" w:line="240" w:lineRule="auto"/>
      </w:pPr>
      <w:r>
        <w:rPr>
          <w:rFonts w:ascii="Times New Roman" w:hAnsi="Times New Roman" w:cs="Times New Roman"/>
          <w:b/>
          <w:bCs/>
          <w:color w:val="0B1E3A"/>
          <w:sz w:val="58"/>
          <w:szCs w:val="58"/>
          <w:rtl/>
        </w:rPr>
        <w:t>تحليل فجوة الكيانات غير الربحية مقارنة بعدد السكان على مستوى المحافظات</w:t>
      </w:r>
    </w:p>
    <w:p>
      <w:pPr>
        <w:bidi/>
        <w:spacing w:after="40" w:before="0" w:line="276" w:lineRule="auto"/>
      </w:pPr>
      <w:r>
        <w:rPr>
          <w:rFonts w:ascii="Times New Roman" w:hAnsi="Times New Roman" w:cs="Times New Roman"/>
          <w:b w:val="0"/>
          <w:sz w:val="26"/>
          <w:szCs w:val="26"/>
          <w:rtl/>
        </w:rPr>
        <w:t xml:space="preserve">إعداد: </w:t>
      </w:r>
      <w:r>
        <w:rPr>
          <w:rFonts w:ascii="Times New Roman" w:hAnsi="Times New Roman" w:cs="Times New Roman"/>
          <w:b/>
          <w:bCs/>
          <w:sz w:val="26"/>
          <w:szCs w:val="26"/>
          <w:rtl/>
        </w:rPr>
        <w:t>هيا صالح الحارثي</w:t>
      </w:r>
    </w:p>
    <w:p>
      <w:pPr>
        <w:bidi/>
        <w:spacing w:after="40" w:before="0" w:line="276" w:lineRule="auto"/>
      </w:pPr>
      <w:r>
        <w:rPr>
          <w:rFonts w:ascii="Times New Roman" w:hAnsi="Times New Roman" w:cs="Times New Roman"/>
          <w:b w:val="0"/>
          <w:color w:val="556070"/>
          <w:sz w:val="24"/>
          <w:szCs w:val="24"/>
          <w:rtl/>
        </w:rPr>
        <w:t>هاكاثون تحليل البيانات في القطاع غير الربحي · جمعية كفاءات الأهلية · 2026</w:t>
      </w:r>
    </w:p>
    <w:p>
      <w:pPr>
        <w:bidi/>
        <w:spacing w:after="80" w:before="0" w:line="276" w:lineRule="auto"/>
      </w:pPr>
      <w:r>
        <w:rPr>
          <w:rFonts w:ascii="Times New Roman" w:hAnsi="Times New Roman" w:cs="Times New Roman"/>
          <w:b w:val="0"/>
          <w:color w:val="556070"/>
          <w:sz w:val="24"/>
          <w:szCs w:val="24"/>
          <w:rtl/>
        </w:rPr>
        <w:t xml:space="preserve">GitHub: </w:t>
      </w:r>
      <w:hyperlink r:id="rId9">
        <w:r>
          <w:rPr>
            <w:rFonts w:ascii="Times New Roman" w:hAnsi="Times New Roman" w:cs="Times New Roman"/>
            <w:color w:val="0284C7"/>
            <w:sz w:val="22"/>
            <w:szCs w:val="22"/>
            <w:u w:val="single"/>
          </w:rPr>
          <w:t xml:space="preserve">github.com/HayaSaleh97/npo-governorate-gap-analysis</w:t>
        </w:r>
      </w:hyperlink>
    </w:p>
    <w:p>
      <w:pPr>
        <w:pBdr>
          <w:bottom w:val="single" w:sz="18" w:space="1" w:color="F97316"/>
        </w:pBdr>
        <w:bidi/>
        <w:spacing w:after="120" w:before="0" w:line="120" w:lineRule="auto"/>
      </w:pPr>
    </w:p>
    <w:tbl>
      <w:tblPr>
        <w:tblStyle w:val="TableGrid"/>
        <w:bidiVisual/>
        <w:tblW w:type="auto" w:w="0"/>
        <w:jc w:val="center"/>
        <w:tblBorders>
          <w:top w:val="single" w:sz="4" w:color="CBD5E1"/>
          <w:bottom w:val="single" w:sz="4" w:color="CBD5E1"/>
          <w:insideH w:val="single" w:sz="4" w:color="CBD5E1"/>
          <w:left w:val="nil"/>
          <w:right w:val="nil"/>
          <w:insideV w:val="nil"/>
        </w:tblBorders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rtl/>
              </w:rPr>
              <w:t>المحافظات</w:t>
            </w:r>
          </w:p>
        </w:tc>
        <w:tc>
          <w:tcPr>
            <w:tcW w:type="dxa" w:w="2381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rtl/>
              </w:rPr>
              <w:t>الكيانات المحسوبة</w:t>
            </w:r>
          </w:p>
        </w:tc>
        <w:tc>
          <w:tcPr>
            <w:tcW w:type="dxa" w:w="2381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rtl/>
              </w:rPr>
              <w:t>محافظات الأولوية</w:t>
            </w:r>
          </w:p>
        </w:tc>
        <w:tc>
          <w:tcPr>
            <w:tcW w:type="dxa" w:w="2608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rtl/>
              </w:rPr>
              <w:t>كيانات صُحّحت من اسمها</w:t>
            </w:r>
          </w:p>
        </w:tc>
      </w:tr>
      <w:tr>
        <w:tc>
          <w:tcPr>
            <w:tcW w:type="dxa" w:w="2381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color w:val="0B1E3A"/>
                <w:sz w:val="36"/>
                <w:szCs w:val="24"/>
                <w:rtl/>
              </w:rPr>
              <w:t>150</w:t>
            </w:r>
          </w:p>
        </w:tc>
        <w:tc>
          <w:tcPr>
            <w:tcW w:type="dxa" w:w="2381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color w:val="0B1E3A"/>
                <w:sz w:val="36"/>
                <w:szCs w:val="24"/>
                <w:rtl/>
              </w:rPr>
              <w:t>6,306</w:t>
            </w:r>
          </w:p>
        </w:tc>
        <w:tc>
          <w:tcPr>
            <w:tcW w:type="dxa" w:w="2381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color w:val="0B1E3A"/>
                <w:sz w:val="36"/>
                <w:szCs w:val="24"/>
                <w:rtl/>
              </w:rPr>
              <w:t>17</w:t>
            </w:r>
          </w:p>
        </w:tc>
        <w:tc>
          <w:tcPr>
            <w:tcW w:type="dxa" w:w="2608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color w:val="0B1E3A"/>
                <w:sz w:val="36"/>
                <w:szCs w:val="24"/>
                <w:rtl/>
              </w:rPr>
              <w:t>56</w:t>
            </w:r>
          </w:p>
        </w:tc>
      </w:tr>
    </w:tbl>
    <w:p>
      <w:pPr>
        <w:bidi/>
        <w:spacing w:after="40" w:before="0" w:line="276" w:lineRule="auto"/>
      </w:pP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1. السؤال وصاحب القرار</w:t>
      </w:r>
    </w:p>
    <w:p>
      <w:pPr>
        <w:bidi/>
        <w:spacing w:after="4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السؤال: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أي المحافظات فيها كيانات غير ربحية أقل من المتوقع مقارنة بعدد سكانها، وأين يُنصح الجهات المانحة بتوجيه الاهتمام أولًا؟</w:t>
      </w:r>
    </w:p>
    <w:p>
      <w:pPr>
        <w:bidi/>
        <w:spacing w:after="4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صاحب القرار: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الجهات المانحة (مثل منصة مانح) والمركز الوطني لتنمية القطاع غير الربحي.</w:t>
      </w:r>
    </w:p>
    <w:p>
      <w:pPr>
        <w:bidi/>
        <w:spacing w:after="4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القرار المطلوب: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أي المحافظات تكون أولوية لتوجيه المنح ودراسة الاحتياج فيها.</w:t>
      </w: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2. البيانات والتنظيف</w:t>
      </w:r>
    </w:p>
    <w:p>
      <w:pPr>
        <w:bidi/>
        <w:spacing w:after="2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المصادر: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سجل الكيانات غير الربحية: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13 ملفًا (ملف لكل منطقة) من منصة البيانات المفتوحة الوطنية، نشر المركز الوطني لتنمية القطاع غير الربحي؛ 6,403 كيانًا بعد التنظيف.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السكان: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تعداد 2022 (الهيئة العامة للإحصاء) لـ150 محافظة عبر citypopulation.de؛ المجموع 32,175,224 نسمة ويطابق الأرقام الرسمية لكل منطقة.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الحدود: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geoBoundaries (حدود المحافظات والمناطق) للخريطة فقط.</w:t>
      </w:r>
    </w:p>
    <w:p>
      <w:pPr>
        <w:bidi/>
        <w:spacing w:after="20" w:before="6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أهم مشكلات التنظيف وقراراتها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(كل قرار موثّق في سجل تنظيف يُولَّد تلقائيًا من الدفتر):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القراءة: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ثلاثة ملفات بترميز Windows-1256، وصف أول فارغ في كل الملفات، و2,685 صفًا فارغًا حُذفت؛ ملف الجوف بدون الرقم الوطني فاستُخدم اسم الكيان مفتاحًا.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توحيد الأسماء: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16 كتابة مختلفة للمحافظات بين الملفين (991 صفًا، مثل جده ← جدة وأبقيق ← بقيق)، وأخطاء إملائية في ملف السكان؛ وصفا منطقتي مكة المكرمة والمدينة المنورة في الموقع مبدّلان، فاعتمدنا مجموع المحافظات المطابق للتعداد الرسمي.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محافظات غير واضحة: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قرارات يدوية لـ27 كيانًا (مثل "أخرى" أو مركز بدل محافظة) بعد التحقق من اسم الكيان والمصادر، ودمج 4 محافظات مستحدثة غير موجودة في التعداد (37 كيانًا) في محافظاتها الأم.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الخطوة 9f، اسم الكيان يذكر محافظة أخرى: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72 حالة داخل نفس المنطقة رُوجعت حالة حالة؛ صُحّح </w:t>
      </w:r>
      <w:r>
        <w:rPr>
          <w:rFonts w:ascii="Times New Roman" w:hAnsi="Times New Roman" w:cs="Times New Roman"/>
          <w:b/>
          <w:bCs/>
          <w:sz w:val="23"/>
          <w:szCs w:val="23"/>
          <w:rtl/>
        </w:rPr>
        <w:t>56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(أكبرها 12 كيانًا مسجلة في حبونا وأسماؤها تذكر شرورة)، وأُبقي 16 لأن الاسم يذكر المنطقة أو غير محسوم.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/>
          <w:bCs/>
          <w:sz w:val="23"/>
          <w:szCs w:val="23"/>
          <w:rtl/>
        </w:rPr>
        <w:t>النتيجة: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6,306 كيانًا (98.5%) نُسبت لمحافظاتها، و97 كيانًا (1.5%) بقيت بدون محافظة لأنها وطنية أو على مستوى منطقة.</w:t>
      </w: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3. المنهجية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لماذا ليس معدلًا ثابتًا؟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معدل المملكة 19.6 كيانًا لكل 100 ألف نسمة، لكنه يختلف كثيرًا حسب الحجم: الوسيط 57 في أصغر المحافظات و16 في أكبرها. لو طبّقناه على الجميع لظهرت 23 من أكبر 38 محافظة "ناقصة" لمجرد أنها كبيرة (مثل جدة والدمام).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النموذج: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انحدار خطي بسيط (scikit-learn) على لوغاريتم السكان ولوغاريتم عدد الكيانات في 150 محافظة، فيقارن كل محافظة بمثيلاتها في الحجم. الميل 0.69 (فترة ثقة 95%: 0.61–0.76)، أي أن الكيانات تزيد نحو 61% فقط عند تضاعف السكان.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النطاق الطبيعي: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فاصل تنبؤ 80% حول الخط؛ المحافظة تحته "أقل من المتوقع بوضوح"، وتحت نطاق 95% "أولوية عالية جدًا".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التحقق: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R² = 0.67، وعلى محافظات لم تدخل في التقدير (تحقق متقاطع بخمس طيّات) 0.61 ± 0.11؛ والميل بدون مدينة الرياض 0.67، فالنتيجة لا تعتمد عليها. مثال: جدة فيها 415 كيانًا، والمتوقع بالمعدل الثابت 735 وبالنموذج 322، فهي ضمن الطبيعي؛ وتيماء فيها 6 والمتوقع 8 و15، فهي أقل من المتوقع.</w:t>
      </w:r>
    </w:p>
    <w:p>
      <w:pPr>
        <w:keepNext/>
        <w:bidi/>
        <w:spacing w:after="2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560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opulation_vs_np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100" w:before="0" w:line="276" w:lineRule="auto"/>
        <w:jc w:val="center"/>
      </w:pPr>
      <w:r>
        <w:rPr>
          <w:rFonts w:ascii="Times New Roman" w:hAnsi="Times New Roman" w:cs="Times New Roman"/>
          <w:b w:val="0"/>
          <w:color w:val="556070"/>
          <w:sz w:val="20"/>
          <w:szCs w:val="20"/>
          <w:rtl/>
        </w:rPr>
        <w:t>شكل 1: عدد الكيانات مقابل السكان في 150 محافظة، مع خط النموذج والنطاق الطبيعي (80%)؛ النقاط البرتقالية أقل من المتوقع بوضوح.</w:t>
      </w: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4. النتائج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 w:val="0"/>
          <w:sz w:val="24"/>
          <w:szCs w:val="24"/>
          <w:rtl/>
        </w:rPr>
        <w:t>من 150 محافظة: 122 ضمن الطبيعي، و</w:t>
      </w:r>
      <w:r>
        <w:rPr>
          <w:rFonts w:ascii="Times New Roman" w:hAnsi="Times New Roman" w:cs="Times New Roman"/>
          <w:b/>
          <w:bCs/>
          <w:sz w:val="24"/>
          <w:szCs w:val="24"/>
          <w:rtl/>
        </w:rPr>
        <w:t>17 أقل من المتوقع بوضوح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(4 منها أولوية عالية جدًا)، و11 أعلى من المتوقع.</w:t>
      </w:r>
    </w:p>
    <w:tbl>
      <w:tblPr>
        <w:tblStyle w:val="TableGrid"/>
        <w:bidiVisual/>
        <w:tblW w:type="auto" w:w="0"/>
        <w:jc w:val="center"/>
        <w:tblBorders>
          <w:top w:val="single" w:sz="4" w:color="CBD5E1"/>
          <w:bottom w:val="single" w:sz="4" w:color="CBD5E1"/>
          <w:insideH w:val="single" w:sz="4" w:color="CBD5E1"/>
          <w:left w:val="nil"/>
          <w:right w:val="nil"/>
          <w:insideV w:val="nil"/>
        </w:tblBorders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39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#</w:t>
            </w:r>
          </w:p>
        </w:tc>
        <w:tc>
          <w:tcPr>
            <w:tcW w:type="dxa" w:w="107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المحافظة</w:t>
            </w:r>
          </w:p>
        </w:tc>
        <w:tc>
          <w:tcPr>
            <w:tcW w:type="dxa" w:w="90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المنطقة</w:t>
            </w:r>
          </w:p>
        </w:tc>
        <w:tc>
          <w:tcPr>
            <w:tcW w:type="dxa" w:w="73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الموجود</w:t>
            </w:r>
          </w:p>
        </w:tc>
        <w:tc>
          <w:tcPr>
            <w:tcW w:type="dxa" w:w="73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المتوقع</w:t>
            </w:r>
          </w:p>
        </w:tc>
        <w:tc>
          <w:tcPr>
            <w:tcW w:type="dxa" w:w="107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الموجود من المتوقع</w:t>
            </w:r>
          </w:p>
        </w:tc>
        <w:tc>
          <w:tcPr>
            <w:tcW w:type="dxa" w:w="907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الأولوية</w:t>
            </w:r>
          </w:p>
        </w:tc>
        <w:tc>
          <w:tcPr>
            <w:tcW w:type="dxa" w:w="3912"/>
            <w:shd w:val="clear" w:color="auto" w:fill="0B1E3A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  <w:rtl/>
              </w:rPr>
              <w:t>الأنواع الغائبة رغم شيوعها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النعيرية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الشرقية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20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10%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color w:val="EA580C"/>
                <w:sz w:val="19"/>
                <w:szCs w:val="19"/>
                <w:rtl/>
              </w:rPr>
              <w:t>عالية جدًا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الخدمات الاجتماعية، الصحة، البيئة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رأس تنورة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الشرقية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19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15%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color w:val="EA580C"/>
                <w:sz w:val="19"/>
                <w:szCs w:val="19"/>
                <w:rtl/>
              </w:rPr>
              <w:t>عالية جدًا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الصحة، البيئة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العديد *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الشرقية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5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20%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color w:val="EA580C"/>
                <w:sz w:val="19"/>
                <w:szCs w:val="19"/>
                <w:rtl/>
              </w:rPr>
              <w:t>عالية جدًا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الخدمات الاجتماعية، التنمية والإسكان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طبرجل *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الجوف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8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29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28%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color w:val="EA580C"/>
                <w:sz w:val="19"/>
                <w:szCs w:val="19"/>
                <w:rtl/>
              </w:rPr>
              <w:t>عالية جدًا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الدعوة والتعليم الديني، دعم العمل الخيري، التعليم والأبحاث، الثقافة والترفيه، البيئة، الروابط المهنية، التأييد والمؤازرة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5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الجبيل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الشرقية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24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81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30%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الصحة، البيئة، التأييد والمؤازرة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6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ثار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نجران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7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30%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الدعوة والتعليم الديني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7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الطوال *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جازان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13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30%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الخدمات الاجتماعية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8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بقيق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الشرقية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6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20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30%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الصحة، البيئة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9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البدع *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تبوك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8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36%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التنمية والإسكان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10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تيماء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تبوك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6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15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40%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—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11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الخرج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الرياض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27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66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41%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التعليم والأبحاث، التأييد والمؤازرة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12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هروب *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جازان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5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12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42%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التنمية والإسكان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13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القريات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الجوف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18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42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43%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دعم العمل الخيري، التعليم والأبحاث، الثقافة والترفيه، البيئة، الروابط المهنية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14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خباش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نجران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2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5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43%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التنمية والإسكان، الدعوة والتعليم الديني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15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أبو عريش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جازان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18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41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44%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الثقافة والترفيه، البيئة، الروابط المهنية</w:t>
            </w:r>
          </w:p>
        </w:tc>
      </w:tr>
      <w:tr>
        <w:tc>
          <w:tcPr>
            <w:tcW w:type="dxa" w:w="39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16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فرسان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جازان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</w:t>
            </w:r>
          </w:p>
        </w:tc>
        <w:tc>
          <w:tcPr>
            <w:tcW w:type="dxa" w:w="73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7</w:t>
            </w:r>
          </w:p>
        </w:tc>
        <w:tc>
          <w:tcPr>
            <w:tcW w:type="dxa" w:w="107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44%</w:t>
            </w:r>
          </w:p>
        </w:tc>
        <w:tc>
          <w:tcPr>
            <w:tcW w:type="dxa" w:w="907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  <w:shd w:val="clear" w:color="auto" w:fill="F1F5F9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الخدمات الاجتماعية</w:t>
            </w:r>
          </w:p>
        </w:tc>
      </w:tr>
      <w:tr>
        <w:tc>
          <w:tcPr>
            <w:tcW w:type="dxa" w:w="39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17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صامطة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جازان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16</w:t>
            </w:r>
          </w:p>
        </w:tc>
        <w:tc>
          <w:tcPr>
            <w:tcW w:type="dxa" w:w="73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36</w:t>
            </w:r>
          </w:p>
        </w:tc>
        <w:tc>
          <w:tcPr>
            <w:tcW w:type="dxa" w:w="107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44%</w:t>
            </w:r>
          </w:p>
        </w:tc>
        <w:tc>
          <w:tcPr>
            <w:tcW w:type="dxa" w:w="907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عالية</w:t>
            </w:r>
          </w:p>
        </w:tc>
        <w:tc>
          <w:tcPr>
            <w:tcW w:type="dxa" w:w="3912"/>
          </w:tcPr>
          <w:p>
            <w:pPr>
              <w:bidi/>
              <w:spacing w:after="0"/>
              <w:jc w:val="center"/>
            </w:pPr>
            <w:r>
              <w:rPr>
                <w:rFonts w:ascii="Times New Roman" w:hAnsi="Times New Roman" w:cs="Times New Roman"/>
                <w:b w:val="0"/>
                <w:sz w:val="19"/>
                <w:szCs w:val="19"/>
                <w:rtl/>
              </w:rPr>
              <w:t>دعم العمل الخيري، التعليم والأبحاث، البيئة، الروابط المهنية، التأييد والمؤازرة</w:t>
            </w:r>
          </w:p>
        </w:tc>
      </w:tr>
    </w:tbl>
    <w:p>
      <w:pPr>
        <w:bidi/>
        <w:spacing w:after="100" w:before="40" w:line="276" w:lineRule="auto"/>
      </w:pPr>
      <w:r>
        <w:rPr>
          <w:rFonts w:ascii="Times New Roman" w:hAnsi="Times New Roman" w:cs="Times New Roman"/>
          <w:b w:val="0"/>
          <w:color w:val="556070"/>
          <w:sz w:val="19"/>
          <w:szCs w:val="19"/>
          <w:rtl/>
        </w:rPr>
        <w:t>* محافظة مستحدثة: قد تكون بعض جمعياتها ما زالت مسجلة تحت المحافظة الأم.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أثر المنطقة: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إضافة المنطقة للنموذج رفعت R² من 0.67 إلى 0.83 (والتحقق المتقاطع من 0.61 إلى 0.74)، واختبار F يؤكد أن الفرق ليس صدفة (F = 10.7، p ≈ 9×10⁻¹⁵). أربع مناطق أقل من المتوقع ككل: الجوف 45%، الشرقية 68%، تبوك 77%، جازان 81%؛ و10 من محافظات الأولوية الـ17 في الشرقية وجازان، فجزء من الفجوة إقليمي.</w:t>
      </w:r>
    </w:p>
    <w:tbl>
      <w:tblPr>
        <w:bidiVisual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69084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6_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690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2532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region_rati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2532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6"/>
          </w:tcPr>
          <w:p>
            <w:pPr>
              <w:bidi/>
              <w:jc w:val="center"/>
            </w:pPr>
            <w:r>
              <w:rPr>
                <w:rFonts w:ascii="Times New Roman" w:hAnsi="Times New Roman" w:cs="Times New Roman"/>
                <w:b w:val="0"/>
                <w:color w:val="556070"/>
                <w:sz w:val="20"/>
                <w:szCs w:val="20"/>
                <w:rtl/>
              </w:rPr>
              <w:t>شكل 2: المحافظات حسب حالتها (البرتقالي أقل من المتوقع بوضوح).</w:t>
            </w:r>
          </w:p>
        </w:tc>
        <w:tc>
          <w:tcPr>
            <w:tcW w:type="dxa" w:w="4876"/>
          </w:tcPr>
          <w:p>
            <w:pPr>
              <w:bidi/>
              <w:jc w:val="center"/>
            </w:pPr>
            <w:r>
              <w:rPr>
                <w:rFonts w:ascii="Times New Roman" w:hAnsi="Times New Roman" w:cs="Times New Roman"/>
                <w:b w:val="0"/>
                <w:color w:val="556070"/>
                <w:sz w:val="20"/>
                <w:szCs w:val="20"/>
                <w:rtl/>
              </w:rPr>
              <w:t>شكل 3: الكيانات الموجودة كنسبة من المتوقع لكل منطقة.</w:t>
            </w:r>
          </w:p>
        </w:tc>
      </w:tr>
    </w:tbl>
    <w:p>
      <w:pPr>
        <w:bidi/>
        <w:spacing w:after="40" w:before="0" w:line="276" w:lineRule="auto"/>
      </w:pP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الأنواع الغائبة: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نقارن كل محافظة بالمحافظات التي في حجمها؛ النوع "غائب" إذا كان موجودًا في 50% أو أكثر منها وليس في المحافظة أي كيان منه. وسيط الأنواع 5 من 10 وطنيًا مقابل 3 في محافظات الأولوية. أكثرها غيابًا </w:t>
      </w:r>
      <w:r>
        <w:rPr>
          <w:rFonts w:ascii="Times New Roman" w:hAnsi="Times New Roman" w:cs="Times New Roman"/>
          <w:b/>
          <w:bCs/>
          <w:sz w:val="24"/>
          <w:szCs w:val="24"/>
          <w:rtl/>
        </w:rPr>
        <w:t>البيئة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 xml:space="preserve"> (8 من 17)، ثم الخدمات الاجتماعية والتنمية والإسكان والصحة والتعليم والروابط المهنية والتأييد (4 لكل منها). و</w:t>
      </w:r>
      <w:r>
        <w:rPr>
          <w:rFonts w:ascii="Times New Roman" w:hAnsi="Times New Roman" w:cs="Times New Roman"/>
          <w:b/>
          <w:bCs/>
          <w:sz w:val="24"/>
          <w:szCs w:val="24"/>
          <w:rtl/>
        </w:rPr>
        <w:t>الصحة غائبة في أربع محافظات صناعية بالشرقية</w:t>
      </w:r>
      <w:r>
        <w:rPr>
          <w:rFonts w:ascii="Times New Roman" w:hAnsi="Times New Roman" w:cs="Times New Roman"/>
          <w:b w:val="0"/>
          <w:sz w:val="24"/>
          <w:szCs w:val="24"/>
          <w:rtl/>
        </w:rPr>
        <w:t>: الجبيل وبقيق ورأس تنورة والنعيرية.</w:t>
      </w: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5. الداشبورد التفاعلية «بوصلة العطاء»</w:t>
      </w:r>
    </w:p>
    <w:p>
      <w:pPr>
        <w:bidi/>
        <w:spacing w:after="60" w:before="0" w:line="276" w:lineRule="auto"/>
      </w:pPr>
      <w:r>
        <w:rPr>
          <w:rFonts w:ascii="Times New Roman" w:hAnsi="Times New Roman" w:cs="Times New Roman"/>
          <w:b w:val="0"/>
          <w:sz w:val="24"/>
          <w:szCs w:val="24"/>
          <w:rtl/>
        </w:rPr>
        <w:t>ملف HTML واحد (outputs/dashboard.html) يولّده الدفتر من نفس النتائج ويعمل بدون إنترنت، بخمس صفحات: الرئيسية، والخريطة، والإسطرلاب، وملف المحافظة، والمنهجية.</w:t>
      </w:r>
    </w:p>
    <w:p>
      <w:pPr>
        <w:keepNext/>
        <w:bidi/>
        <w:spacing w:after="2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100" w:before="0" w:line="276" w:lineRule="auto"/>
        <w:jc w:val="center"/>
      </w:pPr>
      <w:r>
        <w:rPr>
          <w:rFonts w:ascii="Times New Roman" w:hAnsi="Times New Roman" w:cs="Times New Roman"/>
          <w:b w:val="0"/>
          <w:color w:val="556070"/>
          <w:sz w:val="20"/>
          <w:szCs w:val="20"/>
          <w:rtl/>
        </w:rPr>
        <w:t>شكل 4: الرئيسية: المؤشرات وأهم النتائج والمناطق.</w:t>
      </w:r>
    </w:p>
    <w:p>
      <w:pPr>
        <w:keepNext/>
        <w:bidi/>
        <w:spacing w:after="2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100" w:before="0" w:line="276" w:lineRule="auto"/>
        <w:jc w:val="center"/>
      </w:pPr>
      <w:r>
        <w:rPr>
          <w:rFonts w:ascii="Times New Roman" w:hAnsi="Times New Roman" w:cs="Times New Roman"/>
          <w:b w:val="0"/>
          <w:color w:val="556070"/>
          <w:sz w:val="20"/>
          <w:szCs w:val="20"/>
          <w:rtl/>
        </w:rPr>
        <w:t>شكل 5: الخريطة: حالة كل محافظة وقائمة الأولويات.</w:t>
      </w:r>
    </w:p>
    <w:p>
      <w:pPr>
        <w:keepNext/>
        <w:bidi/>
        <w:spacing w:after="2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8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rola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100" w:before="0" w:line="276" w:lineRule="auto"/>
        <w:jc w:val="center"/>
      </w:pPr>
      <w:r>
        <w:rPr>
          <w:rFonts w:ascii="Times New Roman" w:hAnsi="Times New Roman" w:cs="Times New Roman"/>
          <w:b w:val="0"/>
          <w:color w:val="556070"/>
          <w:sz w:val="20"/>
          <w:szCs w:val="20"/>
          <w:rtl/>
        </w:rPr>
        <w:t>شكل 6: الإسطرلاب: ثلاث حلقات تدور من المنطقة إلى المحافظة إلى نوع الكيان (مثال: النعيرية).</w:t>
      </w: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6. التوصيات وحدود التحليل</w:t>
      </w:r>
    </w:p>
    <w:p>
      <w:pPr>
        <w:bidi/>
        <w:spacing w:after="20" w:before="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التوصيات: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البدء بدراسة احتياج ميدانية في المحافظات الأربع ذات الأولوية العالية جدًا: النعيرية، رأس تنورة، العديد، طبرجل.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التعامل مع الفجوة في المنطقة الشرقية وجازان (10 من 17 محافظة) كفجوة إقليمية، ببرامج على مستوى المنطقة لا محافظة واحدة.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توجيه دراسة الاحتياج نحو الأنواع الغائبة أولًا: البيئة، والصحة في المحافظات الصناعية بالشرقية، والخدمات الاجتماعية والتنمية في المحافظات الصغيرة.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في المحافظات المستحدثة الخمس في القائمة، مراجعة الجمعيات المسجلة في المحافظة الأم قبل القرار.</w:t>
      </w:r>
    </w:p>
    <w:p>
      <w:pPr>
        <w:bidi/>
        <w:spacing w:after="20" w:before="60" w:line="276" w:lineRule="auto"/>
      </w:pPr>
      <w:r>
        <w:rPr>
          <w:rFonts w:ascii="Times New Roman" w:hAnsi="Times New Roman" w:cs="Times New Roman"/>
          <w:b/>
          <w:bCs/>
          <w:sz w:val="24"/>
          <w:szCs w:val="24"/>
          <w:rtl/>
        </w:rPr>
        <w:t>حدود التحليل: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النموذج يقيس </w:t>
      </w:r>
      <w:r>
        <w:rPr>
          <w:rFonts w:ascii="Times New Roman" w:hAnsi="Times New Roman" w:cs="Times New Roman"/>
          <w:b/>
          <w:bCs/>
          <w:sz w:val="23"/>
          <w:szCs w:val="23"/>
          <w:rtl/>
        </w:rPr>
        <w:t>التغطية</w:t>
      </w:r>
      <w:r>
        <w:rPr>
          <w:rFonts w:ascii="Times New Roman" w:hAnsi="Times New Roman" w:cs="Times New Roman"/>
          <w:b w:val="0"/>
          <w:sz w:val="23"/>
          <w:szCs w:val="23"/>
          <w:rtl/>
        </w:rPr>
        <w:t xml:space="preserve"> مقارنة بالسكان، لا الفقر ولا الاحتياج؛ لذلك التوصية دراسة الاحتياج وليست الحكم بأن المحافظة الأكثر احتياجًا.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المحافظة المسجلة قد تكون المقر الإداري لا مكان الخدمة؛ صحّحنا فقط ما يذكره اسم الكيان (56 كيانًا).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97 كيانًا بدون محافظة لم تدخل في العدّ، والسكان من تعداد 2022 بينما السجل محدّث في 2025–2026.</w:t>
      </w:r>
    </w:p>
    <w:p>
      <w:pPr>
        <w:pStyle w:val="ListBullet"/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3"/>
          <w:szCs w:val="23"/>
          <w:rtl/>
        </w:rPr>
        <w:t>تركّز الشرقية في القائمة قد يعود لنسبة غير السعوديين أو لبرامج الشركات أو لتسجيل الجمعيات في الدمام والخبر؛ فرضية لم نختبرها.</w:t>
      </w:r>
    </w:p>
    <w:p>
      <w:pPr>
        <w:keepNext/>
        <w:pBdr>
          <w:bottom w:val="single" w:sz="6" w:space="1" w:color="0284C7"/>
        </w:pBdr>
        <w:bidi/>
        <w:spacing w:after="60" w:before="160" w:line="240" w:lineRule="auto"/>
      </w:pPr>
      <w:r>
        <w:rPr>
          <w:rFonts w:ascii="Times New Roman" w:hAnsi="Times New Roman" w:cs="Times New Roman"/>
          <w:b/>
          <w:bCs/>
          <w:color w:val="0B1E3A"/>
          <w:sz w:val="36"/>
          <w:szCs w:val="36"/>
          <w:rtl/>
        </w:rPr>
        <w:t>7. المراجع</w:t>
      </w:r>
    </w:p>
    <w:p>
      <w:pPr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2"/>
          <w:szCs w:val="22"/>
          <w:rtl/>
        </w:rPr>
        <w:t xml:space="preserve">1. المركز الوطني لتنمية القطاع غير الربحي، سجل الكيانات غير الربحية (13 ملفًا حسب المنطقة)، منصة البيانات المفتوحة الوطنية. روابط الملفات في README. </w:t>
      </w:r>
      <w:hyperlink r:id="rId16">
        <w:r>
          <w:rPr>
            <w:rFonts w:ascii="Times New Roman" w:hAnsi="Times New Roman" w:cs="Times New Roman"/>
            <w:color w:val="0284C7"/>
            <w:sz w:val="20"/>
            <w:szCs w:val="20"/>
            <w:u w:val="single"/>
          </w:rPr>
          <w:t xml:space="preserve">https://open.data.gov.sa</w:t>
        </w:r>
      </w:hyperlink>
    </w:p>
    <w:p>
      <w:pPr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2"/>
          <w:szCs w:val="22"/>
          <w:rtl/>
        </w:rPr>
        <w:t xml:space="preserve">2. الهيئة العامة للإحصاء، تعداد السكان 2022، عبر City Population: Saudi Arabia, Administrative Division. </w:t>
      </w:r>
      <w:hyperlink r:id="rId17">
        <w:r>
          <w:rPr>
            <w:rFonts w:ascii="Times New Roman" w:hAnsi="Times New Roman" w:cs="Times New Roman"/>
            <w:color w:val="0284C7"/>
            <w:sz w:val="20"/>
            <w:szCs w:val="20"/>
            <w:u w:val="single"/>
          </w:rPr>
          <w:t xml:space="preserve">https://www.citypopulation.de/en/saudiarabia/admin/</w:t>
        </w:r>
      </w:hyperlink>
    </w:p>
    <w:p>
      <w:pPr>
        <w:bidi/>
        <w:spacing w:after="30" w:before="0" w:line="264" w:lineRule="auto"/>
      </w:pPr>
      <w:r>
        <w:rPr>
          <w:rFonts w:ascii="Times New Roman" w:hAnsi="Times New Roman" w:cs="Times New Roman"/>
          <w:b w:val="0"/>
          <w:sz w:val="22"/>
          <w:szCs w:val="22"/>
          <w:rtl/>
        </w:rPr>
        <w:t xml:space="preserve">3. geoBoundaries: حدود SAU ADM2 وADM1 (OpenStreetMap)، الترخيص CC BY-SA 2.0 وODbL. </w:t>
      </w:r>
      <w:hyperlink r:id="rId18">
        <w:r>
          <w:rPr>
            <w:rFonts w:ascii="Times New Roman" w:hAnsi="Times New Roman" w:cs="Times New Roman"/>
            <w:color w:val="0284C7"/>
            <w:sz w:val="20"/>
            <w:szCs w:val="20"/>
            <w:u w:val="single"/>
          </w:rPr>
          <w:t xml:space="preserve">https://www.geoboundaries.org/</w:t>
        </w:r>
      </w:hyperlink>
    </w:p>
    <w:sectPr w:rsidR="00FC693F" w:rsidRPr="0006063C" w:rsidSect="00034616">
      <w:footerReference w:type="default" r:id="rId19"/>
      <w:pgSz w:w="11906" w:h="16838"/>
      <w:pgMar w:top="907" w:right="1077" w:bottom="850" w:left="1077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Times New Roman" w:hAnsi="Times New Roman" w:cs="Times New Roman"/>
        <w:b w:val="0"/>
        <w:color w:val="556070"/>
        <w:sz w:val="19"/>
        <w:szCs w:val="19"/>
        <w:rtl/>
      </w:rPr>
      <w:t xml:space="preserve">تحليل فجوة الكيانات غير الربحية · هيا صالح الحارثي · </w:t>
    </w:r>
    <w:r>
      <w:rPr>
        <w:rFonts w:ascii="Times New Roman" w:hAnsi="Times New Roman" w:cs="Times New Roman"/>
        <w:b w:val="0"/>
        <w:color w:val="556070"/>
        <w:sz w:val="19"/>
        <w:szCs w:val="19"/>
        <w:rtl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bidi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HayaSaleh97/npo-governorate-gap-analysis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yperlink" Target="https://open.data.gov.sa" TargetMode="External"/><Relationship Id="rId17" Type="http://schemas.openxmlformats.org/officeDocument/2006/relationships/hyperlink" Target="https://www.citypopulation.de/en/saudiarabia/admin/" TargetMode="External"/><Relationship Id="rId18" Type="http://schemas.openxmlformats.org/officeDocument/2006/relationships/hyperlink" Target="https://www.geoboundaries.org/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