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 w:before="0" w:line="276" w:lineRule="auto"/>
      </w:pPr>
      <w:r>
        <w:rPr>
          <w:rFonts w:ascii="Times New Roman" w:hAnsi="Times New Roman" w:cs="Times New Roman"/>
          <w:b w:val="0"/>
          <w:color w:val="0284C7"/>
          <w:sz w:val="26"/>
          <w:szCs w:val="26"/>
          <w:rtl/>
        </w:rPr>
        <w:t>تقرير مشروع</w:t>
      </w:r>
    </w:p>
    <w:p>
      <w:pPr>
        <w:bidi/>
        <w:spacing w:after="120" w:before="0" w:line="240" w:lineRule="auto"/>
      </w:pPr>
      <w:r>
        <w:rPr>
          <w:rFonts w:ascii="Times New Roman" w:hAnsi="Times New Roman" w:cs="Times New Roman"/>
          <w:b/>
          <w:bCs/>
          <w:color w:val="0B1E3A"/>
          <w:sz w:val="58"/>
          <w:szCs w:val="58"/>
          <w:rtl/>
        </w:rPr>
        <w:t>تحليل فجوة الكيانات غير الربحية مقارنة بعدد السكان على مستوى المحافظات</w:t>
      </w:r>
    </w:p>
    <w:p>
      <w:pPr>
        <w:bidi/>
        <w:spacing w:after="40" w:before="0" w:line="276" w:lineRule="auto"/>
      </w:pPr>
      <w:r>
        <w:rPr>
          <w:rFonts w:ascii="Times New Roman" w:hAnsi="Times New Roman" w:cs="Times New Roman"/>
          <w:b w:val="0"/>
          <w:sz w:val="26"/>
          <w:szCs w:val="26"/>
          <w:rtl/>
        </w:rPr>
        <w:t xml:space="preserve">إعداد: </w:t>
      </w:r>
      <w:r>
        <w:rPr>
          <w:rFonts w:ascii="Times New Roman" w:hAnsi="Times New Roman" w:cs="Times New Roman"/>
          <w:b/>
          <w:bCs/>
          <w:sz w:val="26"/>
          <w:szCs w:val="26"/>
          <w:rtl/>
        </w:rPr>
        <w:t>هيا صالح الحارثي</w:t>
      </w:r>
    </w:p>
    <w:p>
      <w:pPr>
        <w:bidi/>
        <w:spacing w:after="40" w:before="0" w:line="276" w:lineRule="auto"/>
      </w:pPr>
      <w:r>
        <w:rPr>
          <w:rFonts w:ascii="Times New Roman" w:hAnsi="Times New Roman" w:cs="Times New Roman"/>
          <w:b w:val="0"/>
          <w:color w:val="556070"/>
          <w:sz w:val="24"/>
          <w:szCs w:val="24"/>
          <w:rtl/>
        </w:rPr>
        <w:t>هاكاثون تحليل البيانات في القطاع غير الربحي · جمعية كفاءات الأهلية · 2026</w:t>
      </w:r>
    </w:p>
    <w:p>
      <w:pPr>
        <w:bidi/>
        <w:spacing w:after="80" w:before="0" w:line="276" w:lineRule="auto"/>
      </w:pPr>
      <w:r>
        <w:rPr>
          <w:rFonts w:ascii="Times New Roman" w:hAnsi="Times New Roman" w:cs="Times New Roman"/>
          <w:b w:val="0"/>
          <w:color w:val="556070"/>
          <w:sz w:val="24"/>
          <w:szCs w:val="24"/>
          <w:rtl/>
        </w:rPr>
        <w:t xml:space="preserve">GitHub: </w:t>
      </w:r>
      <w:hyperlink r:id="rId9">
        <w:r>
          <w:rPr>
            <w:rFonts w:ascii="Times New Roman" w:hAnsi="Times New Roman" w:cs="Times New Roman"/>
            <w:color w:val="0284C7"/>
            <w:sz w:val="22"/>
            <w:szCs w:val="22"/>
            <w:u w:val="single"/>
          </w:rPr>
          <w:t xml:space="preserve">github.com/HayaSaleh97/npo-governorate-gap-analysis</w:t>
        </w:r>
      </w:hyperlink>
    </w:p>
    <w:p>
      <w:pPr>
        <w:pBdr>
          <w:bottom w:val="single" w:sz="18" w:space="1" w:color="F97316"/>
        </w:pBdr>
        <w:bidi/>
        <w:spacing w:after="120" w:before="0" w:line="120" w:lineRule="auto"/>
      </w:pPr>
    </w:p>
    <w:tbl>
      <w:tblPr>
        <w:tblStyle w:val="TableGrid"/>
        <w:bidiVisual/>
        <w:tblW w:type="auto" w:w="0"/>
        <w:jc w:val="center"/>
        <w:tblBorders>
          <w:top w:val="single" w:sz="4" w:color="CBD5E1"/>
          <w:bottom w:val="single" w:sz="4" w:color="CBD5E1"/>
          <w:insideH w:val="single" w:sz="4" w:color="CBD5E1"/>
          <w:left w:val="nil"/>
          <w:right w:val="nil"/>
          <w:insideV w:val="nil"/>
        </w:tblBorders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381"/>
            <w:shd w:val="clear" w:color="auto" w:fill="0B1E3A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  <w:rtl/>
              </w:rPr>
              <w:t>المحافظات</w:t>
            </w:r>
          </w:p>
        </w:tc>
        <w:tc>
          <w:tcPr>
            <w:tcW w:type="dxa" w:w="2381"/>
            <w:shd w:val="clear" w:color="auto" w:fill="0B1E3A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  <w:rtl/>
              </w:rPr>
              <w:t>الكيانات المحسوبة</w:t>
            </w:r>
          </w:p>
        </w:tc>
        <w:tc>
          <w:tcPr>
            <w:tcW w:type="dxa" w:w="2381"/>
            <w:shd w:val="clear" w:color="auto" w:fill="0B1E3A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  <w:rtl/>
              </w:rPr>
              <w:t>محافظات الأولوية</w:t>
            </w:r>
          </w:p>
        </w:tc>
        <w:tc>
          <w:tcPr>
            <w:tcW w:type="dxa" w:w="2608"/>
            <w:shd w:val="clear" w:color="auto" w:fill="0B1E3A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  <w:rtl/>
              </w:rPr>
              <w:t>كيانات صُحّحت من اسمها</w:t>
            </w:r>
          </w:p>
        </w:tc>
      </w:tr>
      <w:tr>
        <w:tc>
          <w:tcPr>
            <w:tcW w:type="dxa" w:w="2381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color w:val="0B1E3A"/>
                <w:sz w:val="36"/>
                <w:szCs w:val="24"/>
                <w:rtl/>
              </w:rPr>
              <w:t>150</w:t>
            </w:r>
          </w:p>
        </w:tc>
        <w:tc>
          <w:tcPr>
            <w:tcW w:type="dxa" w:w="2381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color w:val="0B1E3A"/>
                <w:sz w:val="36"/>
                <w:szCs w:val="24"/>
                <w:rtl/>
              </w:rPr>
              <w:t>6,306</w:t>
            </w:r>
          </w:p>
        </w:tc>
        <w:tc>
          <w:tcPr>
            <w:tcW w:type="dxa" w:w="2381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color w:val="0B1E3A"/>
                <w:sz w:val="36"/>
                <w:szCs w:val="24"/>
                <w:rtl/>
              </w:rPr>
              <w:t>17</w:t>
            </w:r>
          </w:p>
        </w:tc>
        <w:tc>
          <w:tcPr>
            <w:tcW w:type="dxa" w:w="2608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color w:val="0B1E3A"/>
                <w:sz w:val="36"/>
                <w:szCs w:val="24"/>
                <w:rtl/>
              </w:rPr>
              <w:t>56</w:t>
            </w:r>
          </w:p>
        </w:tc>
      </w:tr>
    </w:tbl>
    <w:p>
      <w:pPr>
        <w:bidi/>
        <w:spacing w:after="40" w:before="0" w:line="276" w:lineRule="auto"/>
      </w:pPr>
    </w:p>
    <w:p>
      <w:pPr>
        <w:keepNext/>
        <w:pBdr>
          <w:bottom w:val="single" w:sz="6" w:space="1" w:color="0284C7"/>
        </w:pBdr>
        <w:bidi/>
        <w:spacing w:after="60" w:before="160" w:line="240" w:lineRule="auto"/>
      </w:pPr>
      <w:r>
        <w:rPr>
          <w:rFonts w:ascii="Times New Roman" w:hAnsi="Times New Roman" w:cs="Times New Roman"/>
          <w:b/>
          <w:bCs/>
          <w:color w:val="0B1E3A"/>
          <w:sz w:val="36"/>
          <w:szCs w:val="36"/>
          <w:rtl/>
        </w:rPr>
        <w:t>1. السؤال وصاحب القرار</w:t>
      </w:r>
    </w:p>
    <w:p>
      <w:pPr>
        <w:bidi/>
        <w:spacing w:after="40" w:before="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  <w:rtl/>
        </w:rPr>
        <w:t>السؤال:</w:t>
      </w:r>
      <w:r>
        <w:rPr>
          <w:rFonts w:ascii="Times New Roman" w:hAnsi="Times New Roman" w:cs="Times New Roman"/>
          <w:b w:val="0"/>
          <w:sz w:val="24"/>
          <w:szCs w:val="24"/>
          <w:rtl/>
        </w:rPr>
        <w:t xml:space="preserve"> أي المحافظات فيها كيانات غير ربحية أقل من المتوقع مقارنة بعدد سكانها، وأين يُنصح الجهات المانحة بتوجيه الاهتمام أولًا؟</w:t>
      </w:r>
    </w:p>
    <w:p>
      <w:pPr>
        <w:bidi/>
        <w:spacing w:after="40" w:before="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  <w:rtl/>
        </w:rPr>
        <w:t>صاحب القرار:</w:t>
      </w:r>
      <w:r>
        <w:rPr>
          <w:rFonts w:ascii="Times New Roman" w:hAnsi="Times New Roman" w:cs="Times New Roman"/>
          <w:b w:val="0"/>
          <w:sz w:val="24"/>
          <w:szCs w:val="24"/>
          <w:rtl/>
        </w:rPr>
        <w:t xml:space="preserve"> الجهات المانحة (مثل منصة مانح) والمركز الوطني لتنمية القطاع غير الربحي.</w:t>
      </w:r>
    </w:p>
    <w:p>
      <w:pPr>
        <w:bidi/>
        <w:spacing w:after="40" w:before="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  <w:rtl/>
        </w:rPr>
        <w:t>القرار المطلوب:</w:t>
      </w:r>
      <w:r>
        <w:rPr>
          <w:rFonts w:ascii="Times New Roman" w:hAnsi="Times New Roman" w:cs="Times New Roman"/>
          <w:b w:val="0"/>
          <w:sz w:val="24"/>
          <w:szCs w:val="24"/>
          <w:rtl/>
        </w:rPr>
        <w:t xml:space="preserve"> أي المحافظات تكون أولوية لتوجيه المنح ودراسة الاحتياج فيها.</w:t>
      </w:r>
    </w:p>
    <w:p>
      <w:pPr>
        <w:keepNext/>
        <w:pBdr>
          <w:bottom w:val="single" w:sz="6" w:space="1" w:color="0284C7"/>
        </w:pBdr>
        <w:bidi/>
        <w:spacing w:after="60" w:before="160" w:line="240" w:lineRule="auto"/>
      </w:pPr>
      <w:r>
        <w:rPr>
          <w:rFonts w:ascii="Times New Roman" w:hAnsi="Times New Roman" w:cs="Times New Roman"/>
          <w:b/>
          <w:bCs/>
          <w:color w:val="0B1E3A"/>
          <w:sz w:val="36"/>
          <w:szCs w:val="36"/>
          <w:rtl/>
        </w:rPr>
        <w:t>2. البيانات والتنظيف</w:t>
      </w:r>
    </w:p>
    <w:p>
      <w:pPr>
        <w:bidi/>
        <w:spacing w:after="20" w:before="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  <w:rtl/>
        </w:rPr>
        <w:t>المصادر:</w:t>
      </w:r>
    </w:p>
    <w:p>
      <w:pPr>
        <w:pStyle w:val="ListBullet"/>
        <w:bidi/>
        <w:spacing w:after="30" w:before="0" w:line="264" w:lineRule="auto"/>
      </w:pPr>
      <w:r>
        <w:rPr>
          <w:rFonts w:ascii="Times New Roman" w:hAnsi="Times New Roman" w:cs="Times New Roman"/>
          <w:b/>
          <w:bCs/>
          <w:sz w:val="23"/>
          <w:szCs w:val="23"/>
          <w:rtl/>
        </w:rPr>
        <w:t>سجل الكيانات غير الربحية:</w:t>
      </w:r>
      <w:r>
        <w:rPr>
          <w:rFonts w:ascii="Times New Roman" w:hAnsi="Times New Roman" w:cs="Times New Roman"/>
          <w:b w:val="0"/>
          <w:sz w:val="23"/>
          <w:szCs w:val="23"/>
          <w:rtl/>
        </w:rPr>
        <w:t xml:space="preserve"> 13 ملفًا (ملف لكل منطقة) من منصة البيانات المفتوحة الوطنية، نشر المركز الوطني لتنمية القطاع غير الربحي؛ 6,403 كيانًا بعد التنظيف.</w:t>
      </w:r>
    </w:p>
    <w:p>
      <w:pPr>
        <w:pStyle w:val="ListBullet"/>
        <w:bidi/>
        <w:spacing w:after="30" w:before="0" w:line="264" w:lineRule="auto"/>
      </w:pPr>
      <w:r>
        <w:rPr>
          <w:rFonts w:ascii="Times New Roman" w:hAnsi="Times New Roman" w:cs="Times New Roman"/>
          <w:b/>
          <w:bCs/>
          <w:sz w:val="23"/>
          <w:szCs w:val="23"/>
          <w:rtl/>
        </w:rPr>
        <w:t>السكان:</w:t>
      </w:r>
      <w:r>
        <w:rPr>
          <w:rFonts w:ascii="Times New Roman" w:hAnsi="Times New Roman" w:cs="Times New Roman"/>
          <w:b w:val="0"/>
          <w:sz w:val="23"/>
          <w:szCs w:val="23"/>
          <w:rtl/>
        </w:rPr>
        <w:t xml:space="preserve"> تعداد 2022 (الهيئة العامة للإحصاء) لـ150 محافظة عبر citypopulation.de؛ المجموع 32,175,224 نسمة ويطابق الأرقام الرسمية لكل منطقة.</w:t>
      </w:r>
    </w:p>
    <w:p>
      <w:pPr>
        <w:pStyle w:val="ListBullet"/>
        <w:bidi/>
        <w:spacing w:after="30" w:before="0" w:line="264" w:lineRule="auto"/>
      </w:pPr>
      <w:r>
        <w:rPr>
          <w:rFonts w:ascii="Times New Roman" w:hAnsi="Times New Roman" w:cs="Times New Roman"/>
          <w:b/>
          <w:bCs/>
          <w:sz w:val="23"/>
          <w:szCs w:val="23"/>
          <w:rtl/>
        </w:rPr>
        <w:t>الحدود:</w:t>
      </w:r>
      <w:r>
        <w:rPr>
          <w:rFonts w:ascii="Times New Roman" w:hAnsi="Times New Roman" w:cs="Times New Roman"/>
          <w:b w:val="0"/>
          <w:sz w:val="23"/>
          <w:szCs w:val="23"/>
          <w:rtl/>
        </w:rPr>
        <w:t xml:space="preserve"> geoBoundaries (حدود المحافظات والمناطق) للخريطة فقط.</w:t>
      </w:r>
    </w:p>
    <w:p>
      <w:pPr>
        <w:bidi/>
        <w:spacing w:after="20" w:before="6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  <w:rtl/>
        </w:rPr>
        <w:t>أهم مشكلات التنظيف وقراراتها</w:t>
      </w:r>
      <w:r>
        <w:rPr>
          <w:rFonts w:ascii="Times New Roman" w:hAnsi="Times New Roman" w:cs="Times New Roman"/>
          <w:b w:val="0"/>
          <w:sz w:val="24"/>
          <w:szCs w:val="24"/>
          <w:rtl/>
        </w:rPr>
        <w:t xml:space="preserve"> (كل قرار موثّق في سجل تنظيف يُولَّد تلقائيًا من الدفتر):</w:t>
      </w:r>
    </w:p>
    <w:p>
      <w:pPr>
        <w:pStyle w:val="ListBullet"/>
        <w:bidi/>
        <w:spacing w:after="30" w:before="0" w:line="264" w:lineRule="auto"/>
      </w:pPr>
      <w:r>
        <w:rPr>
          <w:rFonts w:ascii="Times New Roman" w:hAnsi="Times New Roman" w:cs="Times New Roman"/>
          <w:b/>
          <w:bCs/>
          <w:sz w:val="23"/>
          <w:szCs w:val="23"/>
          <w:rtl/>
        </w:rPr>
        <w:t>القراءة:</w:t>
      </w:r>
      <w:r>
        <w:rPr>
          <w:rFonts w:ascii="Times New Roman" w:hAnsi="Times New Roman" w:cs="Times New Roman"/>
          <w:b w:val="0"/>
          <w:sz w:val="23"/>
          <w:szCs w:val="23"/>
          <w:rtl/>
        </w:rPr>
        <w:t xml:space="preserve"> ثلاثة ملفات بترميز Windows-1256، وصف أول فارغ في كل الملفات، و2,685 صفًا فارغًا حُذفت؛ ملف الجوف بدون الرقم الوطني فاستُخدم اسم الكيان مفتاحًا.</w:t>
      </w:r>
    </w:p>
    <w:p>
      <w:pPr>
        <w:pStyle w:val="ListBullet"/>
        <w:bidi/>
        <w:spacing w:after="30" w:before="0" w:line="264" w:lineRule="auto"/>
      </w:pPr>
      <w:r>
        <w:rPr>
          <w:rFonts w:ascii="Times New Roman" w:hAnsi="Times New Roman" w:cs="Times New Roman"/>
          <w:b/>
          <w:bCs/>
          <w:sz w:val="23"/>
          <w:szCs w:val="23"/>
          <w:rtl/>
        </w:rPr>
        <w:t>توحيد الأسماء:</w:t>
      </w:r>
      <w:r>
        <w:rPr>
          <w:rFonts w:ascii="Times New Roman" w:hAnsi="Times New Roman" w:cs="Times New Roman"/>
          <w:b w:val="0"/>
          <w:sz w:val="23"/>
          <w:szCs w:val="23"/>
          <w:rtl/>
        </w:rPr>
        <w:t xml:space="preserve"> 16 كتابة مختلفة للمحافظات بين الملفين (991 صفًا، مثل جده ← جدة وأبقيق ← بقيق)، وأخطاء إملائية في ملف السكان؛ وصفا منطقتي مكة المكرمة والمدينة المنورة في الموقع مبدّلان، فاعتمدنا مجموع المحافظات المطابق للتعداد الرسمي.</w:t>
      </w:r>
    </w:p>
    <w:p>
      <w:pPr>
        <w:pStyle w:val="ListBullet"/>
        <w:bidi/>
        <w:spacing w:after="30" w:before="0" w:line="264" w:lineRule="auto"/>
      </w:pPr>
      <w:r>
        <w:rPr>
          <w:rFonts w:ascii="Times New Roman" w:hAnsi="Times New Roman" w:cs="Times New Roman"/>
          <w:b/>
          <w:bCs/>
          <w:sz w:val="23"/>
          <w:szCs w:val="23"/>
          <w:rtl/>
        </w:rPr>
        <w:t>محافظات غير واضحة:</w:t>
      </w:r>
      <w:r>
        <w:rPr>
          <w:rFonts w:ascii="Times New Roman" w:hAnsi="Times New Roman" w:cs="Times New Roman"/>
          <w:b w:val="0"/>
          <w:sz w:val="23"/>
          <w:szCs w:val="23"/>
          <w:rtl/>
        </w:rPr>
        <w:t xml:space="preserve"> قرارات يدوية لـ27 كيانًا (مثل "أخرى" أو مركز بدل محافظة) بعد التحقق من اسم الكيان والمصادر، ودمج 4 محافظات مستحدثة غير موجودة في التعداد (37 كيانًا) في محافظاتها الأم.</w:t>
      </w:r>
    </w:p>
    <w:p>
      <w:pPr>
        <w:pStyle w:val="ListBullet"/>
        <w:bidi/>
        <w:spacing w:after="30" w:before="0" w:line="264" w:lineRule="auto"/>
      </w:pPr>
      <w:r>
        <w:rPr>
          <w:rFonts w:ascii="Times New Roman" w:hAnsi="Times New Roman" w:cs="Times New Roman"/>
          <w:b/>
          <w:bCs/>
          <w:sz w:val="23"/>
          <w:szCs w:val="23"/>
          <w:rtl/>
        </w:rPr>
        <w:t>الخطوة 9f، اسم الكيان يذكر محافظة أخرى:</w:t>
      </w:r>
      <w:r>
        <w:rPr>
          <w:rFonts w:ascii="Times New Roman" w:hAnsi="Times New Roman" w:cs="Times New Roman"/>
          <w:b w:val="0"/>
          <w:sz w:val="23"/>
          <w:szCs w:val="23"/>
          <w:rtl/>
        </w:rPr>
        <w:t xml:space="preserve"> 72 حالة داخل نفس المنطقة رُوجعت حالة حالة؛ صُحّح </w:t>
      </w:r>
      <w:r>
        <w:rPr>
          <w:rFonts w:ascii="Times New Roman" w:hAnsi="Times New Roman" w:cs="Times New Roman"/>
          <w:b/>
          <w:bCs/>
          <w:sz w:val="23"/>
          <w:szCs w:val="23"/>
          <w:rtl/>
        </w:rPr>
        <w:t>56</w:t>
      </w:r>
      <w:r>
        <w:rPr>
          <w:rFonts w:ascii="Times New Roman" w:hAnsi="Times New Roman" w:cs="Times New Roman"/>
          <w:b w:val="0"/>
          <w:sz w:val="23"/>
          <w:szCs w:val="23"/>
          <w:rtl/>
        </w:rPr>
        <w:t xml:space="preserve"> (أكبرها 12 كيانًا مسجلة في حبونا وأسماؤها تذكر شرورة)، وأُبقي 16 لأن الاسم يذكر المنطقة أو غير محسوم.</w:t>
      </w:r>
    </w:p>
    <w:p>
      <w:pPr>
        <w:pStyle w:val="ListBullet"/>
        <w:bidi/>
        <w:spacing w:after="30" w:before="0" w:line="264" w:lineRule="auto"/>
      </w:pPr>
      <w:r>
        <w:rPr>
          <w:rFonts w:ascii="Times New Roman" w:hAnsi="Times New Roman" w:cs="Times New Roman"/>
          <w:b/>
          <w:bCs/>
          <w:sz w:val="23"/>
          <w:szCs w:val="23"/>
          <w:rtl/>
        </w:rPr>
        <w:t>النتيجة:</w:t>
      </w:r>
      <w:r>
        <w:rPr>
          <w:rFonts w:ascii="Times New Roman" w:hAnsi="Times New Roman" w:cs="Times New Roman"/>
          <w:b w:val="0"/>
          <w:sz w:val="23"/>
          <w:szCs w:val="23"/>
          <w:rtl/>
        </w:rPr>
        <w:t xml:space="preserve"> 6,306 كيانًا (98.5%) نُسبت لمحافظاتها، و97 كيانًا (1.5%) بقيت بدون محافظة لأنها وطنية أو على مستوى منطقة.</w:t>
      </w:r>
    </w:p>
    <w:p>
      <w:pPr>
        <w:keepNext/>
        <w:pBdr>
          <w:bottom w:val="single" w:sz="6" w:space="1" w:color="0284C7"/>
        </w:pBdr>
        <w:bidi/>
        <w:spacing w:after="60" w:before="160" w:line="240" w:lineRule="auto"/>
      </w:pPr>
      <w:r>
        <w:rPr>
          <w:rFonts w:ascii="Times New Roman" w:hAnsi="Times New Roman" w:cs="Times New Roman"/>
          <w:b/>
          <w:bCs/>
          <w:color w:val="0B1E3A"/>
          <w:sz w:val="36"/>
          <w:szCs w:val="36"/>
          <w:rtl/>
        </w:rPr>
        <w:t>3. المنهجية</w:t>
      </w:r>
    </w:p>
    <w:p>
      <w:pPr>
        <w:bidi/>
        <w:spacing w:after="60" w:before="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  <w:rtl/>
        </w:rPr>
        <w:t>لماذا ليس معدلًا ثابتًا؟</w:t>
      </w:r>
      <w:r>
        <w:rPr>
          <w:rFonts w:ascii="Times New Roman" w:hAnsi="Times New Roman" w:cs="Times New Roman"/>
          <w:b w:val="0"/>
          <w:sz w:val="24"/>
          <w:szCs w:val="24"/>
          <w:rtl/>
        </w:rPr>
        <w:t xml:space="preserve"> معدل المملكة 19.6 كيانًا لكل 100 ألف نسمة، لكنه يختلف كثيرًا حسب الحجم: الوسيط 57 في أصغر المحافظات و16 في أكبرها. لو طبّقناه على الجميع لظهرت 23 من أكبر 38 محافظة "ناقصة" لمجرد أنها كبيرة (مثل جدة والدمام).</w:t>
      </w:r>
    </w:p>
    <w:p>
      <w:pPr>
        <w:bidi/>
        <w:spacing w:after="60" w:before="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  <w:rtl/>
        </w:rPr>
        <w:t>النموذج:</w:t>
      </w:r>
      <w:r>
        <w:rPr>
          <w:rFonts w:ascii="Times New Roman" w:hAnsi="Times New Roman" w:cs="Times New Roman"/>
          <w:b w:val="0"/>
          <w:sz w:val="24"/>
          <w:szCs w:val="24"/>
          <w:rtl/>
        </w:rPr>
        <w:t xml:space="preserve"> انحدار خطي بسيط (scikit-learn) على لوغاريتم السكان ولوغاريتم عدد الكيانات في 150 محافظة، فيقارن كل محافظة بمثيلاتها في الحجم. الميل 0.69 (فترة ثقة 95%: 0.61–0.76)، أي أن الكيانات تزيد نحو 61% فقط عند تضاعف السكان.</w:t>
      </w:r>
    </w:p>
    <w:p>
      <w:pPr>
        <w:bidi/>
        <w:spacing w:after="60" w:before="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  <w:rtl/>
        </w:rPr>
        <w:t>النطاق الطبيعي:</w:t>
      </w:r>
      <w:r>
        <w:rPr>
          <w:rFonts w:ascii="Times New Roman" w:hAnsi="Times New Roman" w:cs="Times New Roman"/>
          <w:b w:val="0"/>
          <w:sz w:val="24"/>
          <w:szCs w:val="24"/>
          <w:rtl/>
        </w:rPr>
        <w:t xml:space="preserve"> فاصل تنبؤ 80% حول الخط؛ المحافظة تحته "أقل من المتوقع بوضوح"، وتحت نطاق 95% "أولوية عالية جدًا".</w:t>
      </w:r>
    </w:p>
    <w:p>
      <w:pPr>
        <w:bidi/>
        <w:spacing w:after="60" w:before="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  <w:rtl/>
        </w:rPr>
        <w:t>التحقق:</w:t>
      </w:r>
      <w:r>
        <w:rPr>
          <w:rFonts w:ascii="Times New Roman" w:hAnsi="Times New Roman" w:cs="Times New Roman"/>
          <w:b w:val="0"/>
          <w:sz w:val="24"/>
          <w:szCs w:val="24"/>
          <w:rtl/>
        </w:rPr>
        <w:t xml:space="preserve"> R² = 0.67، وعلى محافظات لم تدخل في التقدير (تحقق متقاطع بخمس طيّات) 0.61 ± 0.11؛ والميل بدون مدينة الرياض 0.67، فالنتيجة لا تعتمد عليها. مثال: جدة فيها 415 كيانًا، والمتوقع بالمعدل الثابت 735 وبالنموذج 322، فهي ضمن الطبيعي؛ وتيماء فيها 6 والمتوقع 8 و15، فهي أقل من المتوقع.</w:t>
      </w:r>
    </w:p>
    <w:p>
      <w:pPr>
        <w:keepNext/>
        <w:bidi/>
        <w:spacing w:after="20" w:before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2000" cy="356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opulation_vs_np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56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100" w:before="0" w:line="276" w:lineRule="auto"/>
        <w:jc w:val="center"/>
      </w:pPr>
      <w:r>
        <w:rPr>
          <w:rFonts w:ascii="Times New Roman" w:hAnsi="Times New Roman" w:cs="Times New Roman"/>
          <w:b w:val="0"/>
          <w:color w:val="556070"/>
          <w:sz w:val="20"/>
          <w:szCs w:val="20"/>
          <w:rtl/>
        </w:rPr>
        <w:t>شكل 1: عدد الكيانات مقابل السكان في 150 محافظة، مع خط النموذج والنطاق الطبيعي (80%)؛ النقاط البرتقالية أقل من المتوقع بوضوح.</w:t>
      </w:r>
    </w:p>
    <w:p>
      <w:pPr>
        <w:keepNext/>
        <w:pBdr>
          <w:bottom w:val="single" w:sz="6" w:space="1" w:color="0284C7"/>
        </w:pBdr>
        <w:bidi/>
        <w:spacing w:after="60" w:before="160" w:line="240" w:lineRule="auto"/>
      </w:pPr>
      <w:r>
        <w:rPr>
          <w:rFonts w:ascii="Times New Roman" w:hAnsi="Times New Roman" w:cs="Times New Roman"/>
          <w:b/>
          <w:bCs/>
          <w:color w:val="0B1E3A"/>
          <w:sz w:val="36"/>
          <w:szCs w:val="36"/>
          <w:rtl/>
        </w:rPr>
        <w:t>4. النتائج</w:t>
      </w:r>
    </w:p>
    <w:p>
      <w:pPr>
        <w:bidi/>
        <w:spacing w:after="60" w:before="0" w:line="276" w:lineRule="auto"/>
      </w:pPr>
      <w:r>
        <w:rPr>
          <w:rFonts w:ascii="Times New Roman" w:hAnsi="Times New Roman" w:cs="Times New Roman"/>
          <w:b w:val="0"/>
          <w:sz w:val="24"/>
          <w:szCs w:val="24"/>
          <w:rtl/>
        </w:rPr>
        <w:t>من 150 محافظة: 122 ضمن الطبيعي، و</w:t>
      </w:r>
      <w:r>
        <w:rPr>
          <w:rFonts w:ascii="Times New Roman" w:hAnsi="Times New Roman" w:cs="Times New Roman"/>
          <w:b/>
          <w:bCs/>
          <w:sz w:val="24"/>
          <w:szCs w:val="24"/>
          <w:rtl/>
        </w:rPr>
        <w:t>17 أقل من المتوقع بوضوح</w:t>
      </w:r>
      <w:r>
        <w:rPr>
          <w:rFonts w:ascii="Times New Roman" w:hAnsi="Times New Roman" w:cs="Times New Roman"/>
          <w:b w:val="0"/>
          <w:sz w:val="24"/>
          <w:szCs w:val="24"/>
          <w:rtl/>
        </w:rPr>
        <w:t xml:space="preserve"> (4 منها أولوية عالية جدًا)، و11 أعلى من المتوقع.</w:t>
      </w:r>
    </w:p>
    <w:tbl>
      <w:tblPr>
        <w:tblStyle w:val="TableGrid"/>
        <w:bidiVisual/>
        <w:tblW w:type="auto" w:w="0"/>
        <w:jc w:val="center"/>
        <w:tblBorders>
          <w:top w:val="single" w:sz="4" w:color="CBD5E1"/>
          <w:bottom w:val="single" w:sz="4" w:color="CBD5E1"/>
          <w:insideH w:val="single" w:sz="4" w:color="CBD5E1"/>
          <w:left w:val="nil"/>
          <w:right w:val="nil"/>
          <w:insideV w:val="nil"/>
        </w:tblBorders>
        <w:tblLook w:firstColumn="1" w:firstRow="1" w:lastColumn="0" w:lastRow="0" w:noHBand="0" w:noVBand="1" w:val="04A0"/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c>
          <w:tcPr>
            <w:tcW w:type="dxa" w:w="397"/>
            <w:shd w:val="clear" w:color="auto" w:fill="0B1E3A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  <w:rtl/>
              </w:rPr>
              <w:t>#</w:t>
            </w:r>
          </w:p>
        </w:tc>
        <w:tc>
          <w:tcPr>
            <w:tcW w:type="dxa" w:w="1077"/>
            <w:shd w:val="clear" w:color="auto" w:fill="0B1E3A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  <w:rtl/>
              </w:rPr>
              <w:t>المحافظة</w:t>
            </w:r>
          </w:p>
        </w:tc>
        <w:tc>
          <w:tcPr>
            <w:tcW w:type="dxa" w:w="907"/>
            <w:shd w:val="clear" w:color="auto" w:fill="0B1E3A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  <w:rtl/>
              </w:rPr>
              <w:t>المنطقة</w:t>
            </w:r>
          </w:p>
        </w:tc>
        <w:tc>
          <w:tcPr>
            <w:tcW w:type="dxa" w:w="737"/>
            <w:shd w:val="clear" w:color="auto" w:fill="0B1E3A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  <w:rtl/>
              </w:rPr>
              <w:t>الموجود</w:t>
            </w:r>
          </w:p>
        </w:tc>
        <w:tc>
          <w:tcPr>
            <w:tcW w:type="dxa" w:w="737"/>
            <w:shd w:val="clear" w:color="auto" w:fill="0B1E3A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  <w:rtl/>
              </w:rPr>
              <w:t>المتوقع</w:t>
            </w:r>
          </w:p>
        </w:tc>
        <w:tc>
          <w:tcPr>
            <w:tcW w:type="dxa" w:w="1077"/>
            <w:shd w:val="clear" w:color="auto" w:fill="0B1E3A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  <w:rtl/>
              </w:rPr>
              <w:t>الموجود من المتوقع</w:t>
            </w:r>
          </w:p>
        </w:tc>
        <w:tc>
          <w:tcPr>
            <w:tcW w:type="dxa" w:w="907"/>
            <w:shd w:val="clear" w:color="auto" w:fill="0B1E3A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  <w:rtl/>
              </w:rPr>
              <w:t>الأولوية</w:t>
            </w:r>
          </w:p>
        </w:tc>
        <w:tc>
          <w:tcPr>
            <w:tcW w:type="dxa" w:w="3912"/>
            <w:shd w:val="clear" w:color="auto" w:fill="0B1E3A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  <w:rtl/>
              </w:rPr>
              <w:t>الأنواع الغائبة رغم شيوعها</w:t>
            </w:r>
          </w:p>
        </w:tc>
      </w:tr>
      <w:tr>
        <w:tc>
          <w:tcPr>
            <w:tcW w:type="dxa" w:w="39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</w:t>
            </w:r>
          </w:p>
        </w:tc>
        <w:tc>
          <w:tcPr>
            <w:tcW w:type="dxa" w:w="107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النعيرية</w:t>
            </w:r>
          </w:p>
        </w:tc>
        <w:tc>
          <w:tcPr>
            <w:tcW w:type="dxa" w:w="90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الشرقية</w:t>
            </w:r>
          </w:p>
        </w:tc>
        <w:tc>
          <w:tcPr>
            <w:tcW w:type="dxa" w:w="73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2</w:t>
            </w:r>
          </w:p>
        </w:tc>
        <w:tc>
          <w:tcPr>
            <w:tcW w:type="dxa" w:w="73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20</w:t>
            </w:r>
          </w:p>
        </w:tc>
        <w:tc>
          <w:tcPr>
            <w:tcW w:type="dxa" w:w="107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10%</w:t>
            </w:r>
          </w:p>
        </w:tc>
        <w:tc>
          <w:tcPr>
            <w:tcW w:type="dxa" w:w="90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color w:val="EA580C"/>
                <w:sz w:val="19"/>
                <w:szCs w:val="19"/>
                <w:rtl/>
              </w:rPr>
              <w:t>عالية جدًا</w:t>
            </w:r>
          </w:p>
        </w:tc>
        <w:tc>
          <w:tcPr>
            <w:tcW w:type="dxa" w:w="3912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الخدمات الاجتماعية، الصحة، البيئة</w:t>
            </w:r>
          </w:p>
        </w:tc>
      </w:tr>
      <w:tr>
        <w:tc>
          <w:tcPr>
            <w:tcW w:type="dxa" w:w="39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2</w:t>
            </w:r>
          </w:p>
        </w:tc>
        <w:tc>
          <w:tcPr>
            <w:tcW w:type="dxa" w:w="107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رأس تنورة</w:t>
            </w:r>
          </w:p>
        </w:tc>
        <w:tc>
          <w:tcPr>
            <w:tcW w:type="dxa" w:w="90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الشرقية</w:t>
            </w:r>
          </w:p>
        </w:tc>
        <w:tc>
          <w:tcPr>
            <w:tcW w:type="dxa" w:w="73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3</w:t>
            </w:r>
          </w:p>
        </w:tc>
        <w:tc>
          <w:tcPr>
            <w:tcW w:type="dxa" w:w="73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19</w:t>
            </w:r>
          </w:p>
        </w:tc>
        <w:tc>
          <w:tcPr>
            <w:tcW w:type="dxa" w:w="107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15%</w:t>
            </w:r>
          </w:p>
        </w:tc>
        <w:tc>
          <w:tcPr>
            <w:tcW w:type="dxa" w:w="90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color w:val="EA580C"/>
                <w:sz w:val="19"/>
                <w:szCs w:val="19"/>
                <w:rtl/>
              </w:rPr>
              <w:t>عالية جدًا</w:t>
            </w:r>
          </w:p>
        </w:tc>
        <w:tc>
          <w:tcPr>
            <w:tcW w:type="dxa" w:w="3912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الصحة، البيئة</w:t>
            </w:r>
          </w:p>
        </w:tc>
      </w:tr>
      <w:tr>
        <w:tc>
          <w:tcPr>
            <w:tcW w:type="dxa" w:w="39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3</w:t>
            </w:r>
          </w:p>
        </w:tc>
        <w:tc>
          <w:tcPr>
            <w:tcW w:type="dxa" w:w="107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العديد *</w:t>
            </w:r>
          </w:p>
        </w:tc>
        <w:tc>
          <w:tcPr>
            <w:tcW w:type="dxa" w:w="90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الشرقية</w:t>
            </w:r>
          </w:p>
        </w:tc>
        <w:tc>
          <w:tcPr>
            <w:tcW w:type="dxa" w:w="73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</w:t>
            </w:r>
          </w:p>
        </w:tc>
        <w:tc>
          <w:tcPr>
            <w:tcW w:type="dxa" w:w="73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5</w:t>
            </w:r>
          </w:p>
        </w:tc>
        <w:tc>
          <w:tcPr>
            <w:tcW w:type="dxa" w:w="107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20%</w:t>
            </w:r>
          </w:p>
        </w:tc>
        <w:tc>
          <w:tcPr>
            <w:tcW w:type="dxa" w:w="90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color w:val="EA580C"/>
                <w:sz w:val="19"/>
                <w:szCs w:val="19"/>
                <w:rtl/>
              </w:rPr>
              <w:t>عالية جدًا</w:t>
            </w:r>
          </w:p>
        </w:tc>
        <w:tc>
          <w:tcPr>
            <w:tcW w:type="dxa" w:w="3912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الخدمات الاجتماعية، التنمية والإسكان</w:t>
            </w:r>
          </w:p>
        </w:tc>
      </w:tr>
      <w:tr>
        <w:tc>
          <w:tcPr>
            <w:tcW w:type="dxa" w:w="39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4</w:t>
            </w:r>
          </w:p>
        </w:tc>
        <w:tc>
          <w:tcPr>
            <w:tcW w:type="dxa" w:w="107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طبرجل *</w:t>
            </w:r>
          </w:p>
        </w:tc>
        <w:tc>
          <w:tcPr>
            <w:tcW w:type="dxa" w:w="90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الجوف</w:t>
            </w:r>
          </w:p>
        </w:tc>
        <w:tc>
          <w:tcPr>
            <w:tcW w:type="dxa" w:w="73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8</w:t>
            </w:r>
          </w:p>
        </w:tc>
        <w:tc>
          <w:tcPr>
            <w:tcW w:type="dxa" w:w="73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29</w:t>
            </w:r>
          </w:p>
        </w:tc>
        <w:tc>
          <w:tcPr>
            <w:tcW w:type="dxa" w:w="107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28%</w:t>
            </w:r>
          </w:p>
        </w:tc>
        <w:tc>
          <w:tcPr>
            <w:tcW w:type="dxa" w:w="90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color w:val="EA580C"/>
                <w:sz w:val="19"/>
                <w:szCs w:val="19"/>
                <w:rtl/>
              </w:rPr>
              <w:t>عالية جدًا</w:t>
            </w:r>
          </w:p>
        </w:tc>
        <w:tc>
          <w:tcPr>
            <w:tcW w:type="dxa" w:w="3912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الدعوة والتعليم الديني، دعم العمل الخيري، التعليم والأبحاث، الثقافة والترفيه، البيئة، الروابط المهنية، التأييد والمؤازرة</w:t>
            </w:r>
          </w:p>
        </w:tc>
      </w:tr>
      <w:tr>
        <w:tc>
          <w:tcPr>
            <w:tcW w:type="dxa" w:w="39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5</w:t>
            </w:r>
          </w:p>
        </w:tc>
        <w:tc>
          <w:tcPr>
            <w:tcW w:type="dxa" w:w="107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الجبيل</w:t>
            </w:r>
          </w:p>
        </w:tc>
        <w:tc>
          <w:tcPr>
            <w:tcW w:type="dxa" w:w="90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الشرقية</w:t>
            </w:r>
          </w:p>
        </w:tc>
        <w:tc>
          <w:tcPr>
            <w:tcW w:type="dxa" w:w="73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24</w:t>
            </w:r>
          </w:p>
        </w:tc>
        <w:tc>
          <w:tcPr>
            <w:tcW w:type="dxa" w:w="73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81</w:t>
            </w:r>
          </w:p>
        </w:tc>
        <w:tc>
          <w:tcPr>
            <w:tcW w:type="dxa" w:w="107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30%</w:t>
            </w:r>
          </w:p>
        </w:tc>
        <w:tc>
          <w:tcPr>
            <w:tcW w:type="dxa" w:w="90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عالية</w:t>
            </w:r>
          </w:p>
        </w:tc>
        <w:tc>
          <w:tcPr>
            <w:tcW w:type="dxa" w:w="3912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الصحة، البيئة، التأييد والمؤازرة</w:t>
            </w:r>
          </w:p>
        </w:tc>
      </w:tr>
      <w:tr>
        <w:tc>
          <w:tcPr>
            <w:tcW w:type="dxa" w:w="39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6</w:t>
            </w:r>
          </w:p>
        </w:tc>
        <w:tc>
          <w:tcPr>
            <w:tcW w:type="dxa" w:w="107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ثار</w:t>
            </w:r>
          </w:p>
        </w:tc>
        <w:tc>
          <w:tcPr>
            <w:tcW w:type="dxa" w:w="90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نجران</w:t>
            </w:r>
          </w:p>
        </w:tc>
        <w:tc>
          <w:tcPr>
            <w:tcW w:type="dxa" w:w="73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2</w:t>
            </w:r>
          </w:p>
        </w:tc>
        <w:tc>
          <w:tcPr>
            <w:tcW w:type="dxa" w:w="73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7</w:t>
            </w:r>
          </w:p>
        </w:tc>
        <w:tc>
          <w:tcPr>
            <w:tcW w:type="dxa" w:w="107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30%</w:t>
            </w:r>
          </w:p>
        </w:tc>
        <w:tc>
          <w:tcPr>
            <w:tcW w:type="dxa" w:w="90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عالية</w:t>
            </w:r>
          </w:p>
        </w:tc>
        <w:tc>
          <w:tcPr>
            <w:tcW w:type="dxa" w:w="3912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الدعوة والتعليم الديني</w:t>
            </w:r>
          </w:p>
        </w:tc>
      </w:tr>
      <w:tr>
        <w:tc>
          <w:tcPr>
            <w:tcW w:type="dxa" w:w="39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7</w:t>
            </w:r>
          </w:p>
        </w:tc>
        <w:tc>
          <w:tcPr>
            <w:tcW w:type="dxa" w:w="107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الطوال *</w:t>
            </w:r>
          </w:p>
        </w:tc>
        <w:tc>
          <w:tcPr>
            <w:tcW w:type="dxa" w:w="90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جازان</w:t>
            </w:r>
          </w:p>
        </w:tc>
        <w:tc>
          <w:tcPr>
            <w:tcW w:type="dxa" w:w="73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4</w:t>
            </w:r>
          </w:p>
        </w:tc>
        <w:tc>
          <w:tcPr>
            <w:tcW w:type="dxa" w:w="73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13</w:t>
            </w:r>
          </w:p>
        </w:tc>
        <w:tc>
          <w:tcPr>
            <w:tcW w:type="dxa" w:w="107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30%</w:t>
            </w:r>
          </w:p>
        </w:tc>
        <w:tc>
          <w:tcPr>
            <w:tcW w:type="dxa" w:w="90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عالية</w:t>
            </w:r>
          </w:p>
        </w:tc>
        <w:tc>
          <w:tcPr>
            <w:tcW w:type="dxa" w:w="3912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الخدمات الاجتماعية</w:t>
            </w:r>
          </w:p>
        </w:tc>
      </w:tr>
      <w:tr>
        <w:tc>
          <w:tcPr>
            <w:tcW w:type="dxa" w:w="39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8</w:t>
            </w:r>
          </w:p>
        </w:tc>
        <w:tc>
          <w:tcPr>
            <w:tcW w:type="dxa" w:w="107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بقيق</w:t>
            </w:r>
          </w:p>
        </w:tc>
        <w:tc>
          <w:tcPr>
            <w:tcW w:type="dxa" w:w="90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الشرقية</w:t>
            </w:r>
          </w:p>
        </w:tc>
        <w:tc>
          <w:tcPr>
            <w:tcW w:type="dxa" w:w="73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6</w:t>
            </w:r>
          </w:p>
        </w:tc>
        <w:tc>
          <w:tcPr>
            <w:tcW w:type="dxa" w:w="73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20</w:t>
            </w:r>
          </w:p>
        </w:tc>
        <w:tc>
          <w:tcPr>
            <w:tcW w:type="dxa" w:w="107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30%</w:t>
            </w:r>
          </w:p>
        </w:tc>
        <w:tc>
          <w:tcPr>
            <w:tcW w:type="dxa" w:w="90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عالية</w:t>
            </w:r>
          </w:p>
        </w:tc>
        <w:tc>
          <w:tcPr>
            <w:tcW w:type="dxa" w:w="3912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الصحة، البيئة</w:t>
            </w:r>
          </w:p>
        </w:tc>
      </w:tr>
      <w:tr>
        <w:tc>
          <w:tcPr>
            <w:tcW w:type="dxa" w:w="39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9</w:t>
            </w:r>
          </w:p>
        </w:tc>
        <w:tc>
          <w:tcPr>
            <w:tcW w:type="dxa" w:w="107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البدع *</w:t>
            </w:r>
          </w:p>
        </w:tc>
        <w:tc>
          <w:tcPr>
            <w:tcW w:type="dxa" w:w="90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تبوك</w:t>
            </w:r>
          </w:p>
        </w:tc>
        <w:tc>
          <w:tcPr>
            <w:tcW w:type="dxa" w:w="73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3</w:t>
            </w:r>
          </w:p>
        </w:tc>
        <w:tc>
          <w:tcPr>
            <w:tcW w:type="dxa" w:w="73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8</w:t>
            </w:r>
          </w:p>
        </w:tc>
        <w:tc>
          <w:tcPr>
            <w:tcW w:type="dxa" w:w="107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36%</w:t>
            </w:r>
          </w:p>
        </w:tc>
        <w:tc>
          <w:tcPr>
            <w:tcW w:type="dxa" w:w="90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عالية</w:t>
            </w:r>
          </w:p>
        </w:tc>
        <w:tc>
          <w:tcPr>
            <w:tcW w:type="dxa" w:w="3912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التنمية والإسكان</w:t>
            </w:r>
          </w:p>
        </w:tc>
      </w:tr>
      <w:tr>
        <w:tc>
          <w:tcPr>
            <w:tcW w:type="dxa" w:w="39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10</w:t>
            </w:r>
          </w:p>
        </w:tc>
        <w:tc>
          <w:tcPr>
            <w:tcW w:type="dxa" w:w="107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تيماء</w:t>
            </w:r>
          </w:p>
        </w:tc>
        <w:tc>
          <w:tcPr>
            <w:tcW w:type="dxa" w:w="90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تبوك</w:t>
            </w:r>
          </w:p>
        </w:tc>
        <w:tc>
          <w:tcPr>
            <w:tcW w:type="dxa" w:w="73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6</w:t>
            </w:r>
          </w:p>
        </w:tc>
        <w:tc>
          <w:tcPr>
            <w:tcW w:type="dxa" w:w="73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15</w:t>
            </w:r>
          </w:p>
        </w:tc>
        <w:tc>
          <w:tcPr>
            <w:tcW w:type="dxa" w:w="107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40%</w:t>
            </w:r>
          </w:p>
        </w:tc>
        <w:tc>
          <w:tcPr>
            <w:tcW w:type="dxa" w:w="90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عالية</w:t>
            </w:r>
          </w:p>
        </w:tc>
        <w:tc>
          <w:tcPr>
            <w:tcW w:type="dxa" w:w="3912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11</w:t>
            </w:r>
          </w:p>
        </w:tc>
        <w:tc>
          <w:tcPr>
            <w:tcW w:type="dxa" w:w="107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الخرج</w:t>
            </w:r>
          </w:p>
        </w:tc>
        <w:tc>
          <w:tcPr>
            <w:tcW w:type="dxa" w:w="90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الرياض</w:t>
            </w:r>
          </w:p>
        </w:tc>
        <w:tc>
          <w:tcPr>
            <w:tcW w:type="dxa" w:w="73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27</w:t>
            </w:r>
          </w:p>
        </w:tc>
        <w:tc>
          <w:tcPr>
            <w:tcW w:type="dxa" w:w="73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66</w:t>
            </w:r>
          </w:p>
        </w:tc>
        <w:tc>
          <w:tcPr>
            <w:tcW w:type="dxa" w:w="107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41%</w:t>
            </w:r>
          </w:p>
        </w:tc>
        <w:tc>
          <w:tcPr>
            <w:tcW w:type="dxa" w:w="90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عالية</w:t>
            </w:r>
          </w:p>
        </w:tc>
        <w:tc>
          <w:tcPr>
            <w:tcW w:type="dxa" w:w="3912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التعليم والأبحاث، التأييد والمؤازرة</w:t>
            </w:r>
          </w:p>
        </w:tc>
      </w:tr>
      <w:tr>
        <w:tc>
          <w:tcPr>
            <w:tcW w:type="dxa" w:w="39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12</w:t>
            </w:r>
          </w:p>
        </w:tc>
        <w:tc>
          <w:tcPr>
            <w:tcW w:type="dxa" w:w="107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هروب *</w:t>
            </w:r>
          </w:p>
        </w:tc>
        <w:tc>
          <w:tcPr>
            <w:tcW w:type="dxa" w:w="90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جازان</w:t>
            </w:r>
          </w:p>
        </w:tc>
        <w:tc>
          <w:tcPr>
            <w:tcW w:type="dxa" w:w="73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5</w:t>
            </w:r>
          </w:p>
        </w:tc>
        <w:tc>
          <w:tcPr>
            <w:tcW w:type="dxa" w:w="73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12</w:t>
            </w:r>
          </w:p>
        </w:tc>
        <w:tc>
          <w:tcPr>
            <w:tcW w:type="dxa" w:w="107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42%</w:t>
            </w:r>
          </w:p>
        </w:tc>
        <w:tc>
          <w:tcPr>
            <w:tcW w:type="dxa" w:w="90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عالية</w:t>
            </w:r>
          </w:p>
        </w:tc>
        <w:tc>
          <w:tcPr>
            <w:tcW w:type="dxa" w:w="3912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التنمية والإسكان</w:t>
            </w:r>
          </w:p>
        </w:tc>
      </w:tr>
      <w:tr>
        <w:tc>
          <w:tcPr>
            <w:tcW w:type="dxa" w:w="39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13</w:t>
            </w:r>
          </w:p>
        </w:tc>
        <w:tc>
          <w:tcPr>
            <w:tcW w:type="dxa" w:w="107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القريات</w:t>
            </w:r>
          </w:p>
        </w:tc>
        <w:tc>
          <w:tcPr>
            <w:tcW w:type="dxa" w:w="90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الجوف</w:t>
            </w:r>
          </w:p>
        </w:tc>
        <w:tc>
          <w:tcPr>
            <w:tcW w:type="dxa" w:w="73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18</w:t>
            </w:r>
          </w:p>
        </w:tc>
        <w:tc>
          <w:tcPr>
            <w:tcW w:type="dxa" w:w="73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42</w:t>
            </w:r>
          </w:p>
        </w:tc>
        <w:tc>
          <w:tcPr>
            <w:tcW w:type="dxa" w:w="107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43%</w:t>
            </w:r>
          </w:p>
        </w:tc>
        <w:tc>
          <w:tcPr>
            <w:tcW w:type="dxa" w:w="90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عالية</w:t>
            </w:r>
          </w:p>
        </w:tc>
        <w:tc>
          <w:tcPr>
            <w:tcW w:type="dxa" w:w="3912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دعم العمل الخيري، التعليم والأبحاث، الثقافة والترفيه، البيئة، الروابط المهنية</w:t>
            </w:r>
          </w:p>
        </w:tc>
      </w:tr>
      <w:tr>
        <w:tc>
          <w:tcPr>
            <w:tcW w:type="dxa" w:w="39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14</w:t>
            </w:r>
          </w:p>
        </w:tc>
        <w:tc>
          <w:tcPr>
            <w:tcW w:type="dxa" w:w="107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خباش</w:t>
            </w:r>
          </w:p>
        </w:tc>
        <w:tc>
          <w:tcPr>
            <w:tcW w:type="dxa" w:w="90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نجران</w:t>
            </w:r>
          </w:p>
        </w:tc>
        <w:tc>
          <w:tcPr>
            <w:tcW w:type="dxa" w:w="73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2</w:t>
            </w:r>
          </w:p>
        </w:tc>
        <w:tc>
          <w:tcPr>
            <w:tcW w:type="dxa" w:w="73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5</w:t>
            </w:r>
          </w:p>
        </w:tc>
        <w:tc>
          <w:tcPr>
            <w:tcW w:type="dxa" w:w="107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43%</w:t>
            </w:r>
          </w:p>
        </w:tc>
        <w:tc>
          <w:tcPr>
            <w:tcW w:type="dxa" w:w="90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عالية</w:t>
            </w:r>
          </w:p>
        </w:tc>
        <w:tc>
          <w:tcPr>
            <w:tcW w:type="dxa" w:w="3912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التنمية والإسكان، الدعوة والتعليم الديني</w:t>
            </w:r>
          </w:p>
        </w:tc>
      </w:tr>
      <w:tr>
        <w:tc>
          <w:tcPr>
            <w:tcW w:type="dxa" w:w="39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15</w:t>
            </w:r>
          </w:p>
        </w:tc>
        <w:tc>
          <w:tcPr>
            <w:tcW w:type="dxa" w:w="107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أبو عريش</w:t>
            </w:r>
          </w:p>
        </w:tc>
        <w:tc>
          <w:tcPr>
            <w:tcW w:type="dxa" w:w="90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جازان</w:t>
            </w:r>
          </w:p>
        </w:tc>
        <w:tc>
          <w:tcPr>
            <w:tcW w:type="dxa" w:w="73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18</w:t>
            </w:r>
          </w:p>
        </w:tc>
        <w:tc>
          <w:tcPr>
            <w:tcW w:type="dxa" w:w="73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41</w:t>
            </w:r>
          </w:p>
        </w:tc>
        <w:tc>
          <w:tcPr>
            <w:tcW w:type="dxa" w:w="107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44%</w:t>
            </w:r>
          </w:p>
        </w:tc>
        <w:tc>
          <w:tcPr>
            <w:tcW w:type="dxa" w:w="90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عالية</w:t>
            </w:r>
          </w:p>
        </w:tc>
        <w:tc>
          <w:tcPr>
            <w:tcW w:type="dxa" w:w="3912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الثقافة والترفيه، البيئة، الروابط المهنية</w:t>
            </w:r>
          </w:p>
        </w:tc>
      </w:tr>
      <w:tr>
        <w:tc>
          <w:tcPr>
            <w:tcW w:type="dxa" w:w="39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16</w:t>
            </w:r>
          </w:p>
        </w:tc>
        <w:tc>
          <w:tcPr>
            <w:tcW w:type="dxa" w:w="107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فرسان</w:t>
            </w:r>
          </w:p>
        </w:tc>
        <w:tc>
          <w:tcPr>
            <w:tcW w:type="dxa" w:w="90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جازان</w:t>
            </w:r>
          </w:p>
        </w:tc>
        <w:tc>
          <w:tcPr>
            <w:tcW w:type="dxa" w:w="73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3</w:t>
            </w:r>
          </w:p>
        </w:tc>
        <w:tc>
          <w:tcPr>
            <w:tcW w:type="dxa" w:w="73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7</w:t>
            </w:r>
          </w:p>
        </w:tc>
        <w:tc>
          <w:tcPr>
            <w:tcW w:type="dxa" w:w="107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44%</w:t>
            </w:r>
          </w:p>
        </w:tc>
        <w:tc>
          <w:tcPr>
            <w:tcW w:type="dxa" w:w="907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عالية</w:t>
            </w:r>
          </w:p>
        </w:tc>
        <w:tc>
          <w:tcPr>
            <w:tcW w:type="dxa" w:w="3912"/>
            <w:shd w:val="clear" w:color="auto" w:fill="F1F5F9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الخدمات الاجتماعية</w:t>
            </w:r>
          </w:p>
        </w:tc>
      </w:tr>
      <w:tr>
        <w:tc>
          <w:tcPr>
            <w:tcW w:type="dxa" w:w="39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17</w:t>
            </w:r>
          </w:p>
        </w:tc>
        <w:tc>
          <w:tcPr>
            <w:tcW w:type="dxa" w:w="107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صامطة</w:t>
            </w:r>
          </w:p>
        </w:tc>
        <w:tc>
          <w:tcPr>
            <w:tcW w:type="dxa" w:w="90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جازان</w:t>
            </w:r>
          </w:p>
        </w:tc>
        <w:tc>
          <w:tcPr>
            <w:tcW w:type="dxa" w:w="73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16</w:t>
            </w:r>
          </w:p>
        </w:tc>
        <w:tc>
          <w:tcPr>
            <w:tcW w:type="dxa" w:w="73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36</w:t>
            </w:r>
          </w:p>
        </w:tc>
        <w:tc>
          <w:tcPr>
            <w:tcW w:type="dxa" w:w="107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44%</w:t>
            </w:r>
          </w:p>
        </w:tc>
        <w:tc>
          <w:tcPr>
            <w:tcW w:type="dxa" w:w="907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عالية</w:t>
            </w:r>
          </w:p>
        </w:tc>
        <w:tc>
          <w:tcPr>
            <w:tcW w:type="dxa" w:w="3912"/>
          </w:tcPr>
          <w:p>
            <w:pPr>
              <w:bidi/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sz w:val="19"/>
                <w:szCs w:val="19"/>
                <w:rtl/>
              </w:rPr>
              <w:t>دعم العمل الخيري، التعليم والأبحاث، البيئة، الروابط المهنية، التأييد والمؤازرة</w:t>
            </w:r>
          </w:p>
        </w:tc>
      </w:tr>
    </w:tbl>
    <w:p>
      <w:pPr>
        <w:bidi/>
        <w:spacing w:after="100" w:before="40" w:line="276" w:lineRule="auto"/>
      </w:pPr>
      <w:r>
        <w:rPr>
          <w:rFonts w:ascii="Times New Roman" w:hAnsi="Times New Roman" w:cs="Times New Roman"/>
          <w:b w:val="0"/>
          <w:color w:val="556070"/>
          <w:sz w:val="19"/>
          <w:szCs w:val="19"/>
          <w:rtl/>
        </w:rPr>
        <w:t>* محافظة مستحدثة: قد تكون بعض جمعياتها ما زالت مسجلة تحت المحافظة الأم.</w:t>
      </w:r>
    </w:p>
    <w:p>
      <w:pPr>
        <w:bidi/>
        <w:spacing w:after="60" w:before="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  <w:rtl/>
        </w:rPr>
        <w:t>أثر المنطقة:</w:t>
      </w:r>
      <w:r>
        <w:rPr>
          <w:rFonts w:ascii="Times New Roman" w:hAnsi="Times New Roman" w:cs="Times New Roman"/>
          <w:b w:val="0"/>
          <w:sz w:val="24"/>
          <w:szCs w:val="24"/>
          <w:rtl/>
        </w:rPr>
        <w:t xml:space="preserve"> إضافة المنطقة للنموذج رفعت R² من 0.67 إلى 0.83 (والتحقق المتقاطع من 0.61 إلى 0.74)، واختبار F يؤكد أن الفرق ليس صدفة (F = 10.7، p ≈ 9×10⁻¹⁵). أربع مناطق أقل من المتوقع ككل: الجوف 45%، الشرقية 68%، تبوك 77%، جازان 81%؛ و10 من محافظات الأولوية الـ17 في الشرقية وجازان، فجزء من الفجوة إقليمي.</w:t>
      </w:r>
    </w:p>
    <w:tbl>
      <w:tblPr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24000" cy="269084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6_ma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6908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24000" cy="22532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4_region_rati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253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76"/>
          </w:tcPr>
          <w:p>
            <w:pPr>
              <w:bidi/>
              <w:jc w:val="center"/>
            </w:pPr>
            <w:r>
              <w:rPr>
                <w:rFonts w:ascii="Times New Roman" w:hAnsi="Times New Roman" w:cs="Times New Roman"/>
                <w:b w:val="0"/>
                <w:color w:val="556070"/>
                <w:sz w:val="20"/>
                <w:szCs w:val="20"/>
                <w:rtl/>
              </w:rPr>
              <w:t>شكل 2: المحافظات حسب حالتها (البرتقالي أقل من المتوقع بوضوح).</w:t>
            </w:r>
          </w:p>
        </w:tc>
        <w:tc>
          <w:tcPr>
            <w:tcW w:type="dxa" w:w="4876"/>
          </w:tcPr>
          <w:p>
            <w:pPr>
              <w:bidi/>
              <w:jc w:val="center"/>
            </w:pPr>
            <w:r>
              <w:rPr>
                <w:rFonts w:ascii="Times New Roman" w:hAnsi="Times New Roman" w:cs="Times New Roman"/>
                <w:b w:val="0"/>
                <w:color w:val="556070"/>
                <w:sz w:val="20"/>
                <w:szCs w:val="20"/>
                <w:rtl/>
              </w:rPr>
              <w:t>شكل 3: الكيانات الموجودة كنسبة من المتوقع لكل منطقة.</w:t>
            </w:r>
          </w:p>
        </w:tc>
      </w:tr>
    </w:tbl>
    <w:p>
      <w:pPr>
        <w:bidi/>
        <w:spacing w:after="40" w:before="0" w:line="276" w:lineRule="auto"/>
      </w:pPr>
    </w:p>
    <w:p>
      <w:pPr>
        <w:bidi/>
        <w:spacing w:after="60" w:before="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  <w:rtl/>
        </w:rPr>
        <w:t>الأنواع الغائبة:</w:t>
      </w:r>
      <w:r>
        <w:rPr>
          <w:rFonts w:ascii="Times New Roman" w:hAnsi="Times New Roman" w:cs="Times New Roman"/>
          <w:b w:val="0"/>
          <w:sz w:val="24"/>
          <w:szCs w:val="24"/>
          <w:rtl/>
        </w:rPr>
        <w:t xml:space="preserve"> نقارن كل محافظة بالمحافظات التي في حجمها؛ النوع "غائب" إذا كان موجودًا في 50% أو أكثر منها وليس في المحافظة أي كيان منه. وسيط الأنواع 5 من 10 وطنيًا مقابل 3 في محافظات الأولوية. أكثرها غيابًا </w:t>
      </w:r>
      <w:r>
        <w:rPr>
          <w:rFonts w:ascii="Times New Roman" w:hAnsi="Times New Roman" w:cs="Times New Roman"/>
          <w:b/>
          <w:bCs/>
          <w:sz w:val="24"/>
          <w:szCs w:val="24"/>
          <w:rtl/>
        </w:rPr>
        <w:t>البيئة</w:t>
      </w:r>
      <w:r>
        <w:rPr>
          <w:rFonts w:ascii="Times New Roman" w:hAnsi="Times New Roman" w:cs="Times New Roman"/>
          <w:b w:val="0"/>
          <w:sz w:val="24"/>
          <w:szCs w:val="24"/>
          <w:rtl/>
        </w:rPr>
        <w:t xml:space="preserve"> (8 من 17)، ثم الخدمات الاجتماعية والتنمية والإسكان والصحة والتعليم والروابط المهنية والتأييد (4 لكل منها). و</w:t>
      </w:r>
      <w:r>
        <w:rPr>
          <w:rFonts w:ascii="Times New Roman" w:hAnsi="Times New Roman" w:cs="Times New Roman"/>
          <w:b/>
          <w:bCs/>
          <w:sz w:val="24"/>
          <w:szCs w:val="24"/>
          <w:rtl/>
        </w:rPr>
        <w:t>الصحة غائبة في أربع محافظات صناعية بالشرقية</w:t>
      </w:r>
      <w:r>
        <w:rPr>
          <w:rFonts w:ascii="Times New Roman" w:hAnsi="Times New Roman" w:cs="Times New Roman"/>
          <w:b w:val="0"/>
          <w:sz w:val="24"/>
          <w:szCs w:val="24"/>
          <w:rtl/>
        </w:rPr>
        <w:t>: الجبيل وبقيق ورأس تنورة والنعيرية.</w:t>
      </w:r>
    </w:p>
    <w:p>
      <w:pPr>
        <w:keepNext/>
        <w:pBdr>
          <w:bottom w:val="single" w:sz="6" w:space="1" w:color="0284C7"/>
        </w:pBdr>
        <w:bidi/>
        <w:spacing w:after="60" w:before="160" w:line="240" w:lineRule="auto"/>
      </w:pPr>
      <w:r>
        <w:rPr>
          <w:rFonts w:ascii="Times New Roman" w:hAnsi="Times New Roman" w:cs="Times New Roman"/>
          <w:b/>
          <w:bCs/>
          <w:color w:val="0B1E3A"/>
          <w:sz w:val="36"/>
          <w:szCs w:val="36"/>
          <w:rtl/>
        </w:rPr>
        <w:t>5. الداشبورد التفاعلية «بوصلة العطاء»</w:t>
      </w:r>
    </w:p>
    <w:p>
      <w:pPr>
        <w:bidi/>
        <w:spacing w:after="60" w:before="0" w:line="276" w:lineRule="auto"/>
      </w:pPr>
      <w:r>
        <w:rPr>
          <w:rFonts w:ascii="Times New Roman" w:hAnsi="Times New Roman" w:cs="Times New Roman"/>
          <w:b w:val="0"/>
          <w:sz w:val="24"/>
          <w:szCs w:val="24"/>
          <w:rtl/>
        </w:rPr>
        <w:t>ملف HTML واحد (outputs/dashboard.html) يولّده الدفتر من نفس النتائج ويعمل بدون إنترنت، بخمس صفحات: الرئيسية، والخريطة، والإسطرلاب، وملف المحافظة، والمنهجية.</w:t>
      </w:r>
    </w:p>
    <w:p>
      <w:pPr>
        <w:bidi/>
        <w:spacing w:after="80" w:before="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  <w:rtl/>
        </w:rPr>
        <w:t>رابط الداشبورد:</w:t>
      </w:r>
      <w:r>
        <w:rPr>
          <w:rFonts w:ascii="Times New Roman" w:hAnsi="Times New Roman" w:cs="Times New Roman"/>
          <w:b w:val="0"/>
          <w:sz w:val="24"/>
          <w:szCs w:val="24"/>
          <w:rtl/>
        </w:rPr>
        <w:t xml:space="preserve"> </w:t>
      </w:r>
      <w:hyperlink r:id="rId13">
        <w:r>
          <w:rPr>
            <w:rFonts w:ascii="Times New Roman" w:hAnsi="Times New Roman" w:cs="Times New Roman"/>
            <w:color w:val="0284C7"/>
            <w:sz w:val="24"/>
            <w:szCs w:val="24"/>
            <w:u w:val="single"/>
          </w:rPr>
          <w:t xml:space="preserve">hayasaleh97.github.io/npo-governorate-gap-analysis/outputs/dashboard.html</w:t>
        </w:r>
      </w:hyperlink>
    </w:p>
    <w:p>
      <w:pPr>
        <w:keepNext/>
        <w:bidi/>
        <w:spacing w:after="20" w:before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100" w:before="0" w:line="276" w:lineRule="auto"/>
        <w:jc w:val="center"/>
      </w:pPr>
      <w:r>
        <w:rPr>
          <w:rFonts w:ascii="Times New Roman" w:hAnsi="Times New Roman" w:cs="Times New Roman"/>
          <w:b w:val="0"/>
          <w:color w:val="556070"/>
          <w:sz w:val="20"/>
          <w:szCs w:val="20"/>
          <w:rtl/>
        </w:rPr>
        <w:t>شكل 4: الرئيسية: المؤشرات وأهم النتائج والمناطق.</w:t>
      </w:r>
    </w:p>
    <w:p>
      <w:pPr>
        <w:keepNext/>
        <w:bidi/>
        <w:spacing w:after="20" w:before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100" w:before="0" w:line="276" w:lineRule="auto"/>
        <w:jc w:val="center"/>
      </w:pPr>
      <w:r>
        <w:rPr>
          <w:rFonts w:ascii="Times New Roman" w:hAnsi="Times New Roman" w:cs="Times New Roman"/>
          <w:b w:val="0"/>
          <w:color w:val="556070"/>
          <w:sz w:val="20"/>
          <w:szCs w:val="20"/>
          <w:rtl/>
        </w:rPr>
        <w:t>شكل 5: الخريطة: حالة كل محافظة وقائمة الأولويات.</w:t>
      </w:r>
    </w:p>
    <w:p>
      <w:pPr>
        <w:keepNext/>
        <w:bidi/>
        <w:spacing w:after="20" w:before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trolab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100" w:before="0" w:line="276" w:lineRule="auto"/>
        <w:jc w:val="center"/>
      </w:pPr>
      <w:r>
        <w:rPr>
          <w:rFonts w:ascii="Times New Roman" w:hAnsi="Times New Roman" w:cs="Times New Roman"/>
          <w:b w:val="0"/>
          <w:color w:val="556070"/>
          <w:sz w:val="20"/>
          <w:szCs w:val="20"/>
          <w:rtl/>
        </w:rPr>
        <w:t>شكل 6: الإسطرلاب: ثلاث حلقات تدور من المنطقة إلى المحافظة إلى نوع الكيان (مثال: النعيرية).</w:t>
      </w:r>
    </w:p>
    <w:p>
      <w:pPr>
        <w:keepNext/>
        <w:pBdr>
          <w:bottom w:val="single" w:sz="6" w:space="1" w:color="0284C7"/>
        </w:pBdr>
        <w:bidi/>
        <w:spacing w:after="60" w:before="160" w:line="240" w:lineRule="auto"/>
      </w:pPr>
      <w:r>
        <w:rPr>
          <w:rFonts w:ascii="Times New Roman" w:hAnsi="Times New Roman" w:cs="Times New Roman"/>
          <w:b/>
          <w:bCs/>
          <w:color w:val="0B1E3A"/>
          <w:sz w:val="36"/>
          <w:szCs w:val="36"/>
          <w:rtl/>
        </w:rPr>
        <w:t>6. التوصيات وحدود التحليل</w:t>
      </w:r>
    </w:p>
    <w:p>
      <w:pPr>
        <w:bidi/>
        <w:spacing w:after="20" w:before="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  <w:rtl/>
        </w:rPr>
        <w:t>التوصيات:</w:t>
      </w:r>
    </w:p>
    <w:p>
      <w:pPr>
        <w:pStyle w:val="ListBullet"/>
        <w:bidi/>
        <w:spacing w:after="30" w:before="0" w:line="264" w:lineRule="auto"/>
      </w:pPr>
      <w:r>
        <w:rPr>
          <w:rFonts w:ascii="Times New Roman" w:hAnsi="Times New Roman" w:cs="Times New Roman"/>
          <w:b w:val="0"/>
          <w:sz w:val="23"/>
          <w:szCs w:val="23"/>
          <w:rtl/>
        </w:rPr>
        <w:t>البدء بدراسة احتياج ميدانية في المحافظات الأربع ذات الأولوية العالية جدًا: النعيرية، رأس تنورة، العديد، طبرجل.</w:t>
      </w:r>
    </w:p>
    <w:p>
      <w:pPr>
        <w:pStyle w:val="ListBullet"/>
        <w:bidi/>
        <w:spacing w:after="30" w:before="0" w:line="264" w:lineRule="auto"/>
      </w:pPr>
      <w:r>
        <w:rPr>
          <w:rFonts w:ascii="Times New Roman" w:hAnsi="Times New Roman" w:cs="Times New Roman"/>
          <w:b w:val="0"/>
          <w:sz w:val="23"/>
          <w:szCs w:val="23"/>
          <w:rtl/>
        </w:rPr>
        <w:t>التعامل مع الفجوة في المنطقة الشرقية وجازان (10 من 17 محافظة) كفجوة إقليمية، ببرامج على مستوى المنطقة لا محافظة واحدة.</w:t>
      </w:r>
    </w:p>
    <w:p>
      <w:pPr>
        <w:pStyle w:val="ListBullet"/>
        <w:bidi/>
        <w:spacing w:after="30" w:before="0" w:line="264" w:lineRule="auto"/>
      </w:pPr>
      <w:r>
        <w:rPr>
          <w:rFonts w:ascii="Times New Roman" w:hAnsi="Times New Roman" w:cs="Times New Roman"/>
          <w:b w:val="0"/>
          <w:sz w:val="23"/>
          <w:szCs w:val="23"/>
          <w:rtl/>
        </w:rPr>
        <w:t>توجيه دراسة الاحتياج نحو الأنواع الغائبة أولًا: البيئة، والصحة في المحافظات الصناعية بالشرقية، والخدمات الاجتماعية والتنمية في المحافظات الصغيرة.</w:t>
      </w:r>
    </w:p>
    <w:p>
      <w:pPr>
        <w:pStyle w:val="ListBullet"/>
        <w:bidi/>
        <w:spacing w:after="30" w:before="0" w:line="264" w:lineRule="auto"/>
      </w:pPr>
      <w:r>
        <w:rPr>
          <w:rFonts w:ascii="Times New Roman" w:hAnsi="Times New Roman" w:cs="Times New Roman"/>
          <w:b w:val="0"/>
          <w:sz w:val="23"/>
          <w:szCs w:val="23"/>
          <w:rtl/>
        </w:rPr>
        <w:t>في المحافظات المستحدثة الخمس في القائمة، مراجعة الجمعيات المسجلة في المحافظة الأم قبل القرار.</w:t>
      </w:r>
    </w:p>
    <w:p>
      <w:pPr>
        <w:bidi/>
        <w:spacing w:after="20" w:before="6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  <w:rtl/>
        </w:rPr>
        <w:t>حدود التحليل:</w:t>
      </w:r>
    </w:p>
    <w:p>
      <w:pPr>
        <w:pStyle w:val="ListBullet"/>
        <w:bidi/>
        <w:spacing w:after="30" w:before="0" w:line="264" w:lineRule="auto"/>
      </w:pPr>
      <w:r>
        <w:rPr>
          <w:rFonts w:ascii="Times New Roman" w:hAnsi="Times New Roman" w:cs="Times New Roman"/>
          <w:b w:val="0"/>
          <w:sz w:val="23"/>
          <w:szCs w:val="23"/>
          <w:rtl/>
        </w:rPr>
        <w:t xml:space="preserve">النموذج يقيس </w:t>
      </w:r>
      <w:r>
        <w:rPr>
          <w:rFonts w:ascii="Times New Roman" w:hAnsi="Times New Roman" w:cs="Times New Roman"/>
          <w:b/>
          <w:bCs/>
          <w:sz w:val="23"/>
          <w:szCs w:val="23"/>
          <w:rtl/>
        </w:rPr>
        <w:t>التغطية</w:t>
      </w:r>
      <w:r>
        <w:rPr>
          <w:rFonts w:ascii="Times New Roman" w:hAnsi="Times New Roman" w:cs="Times New Roman"/>
          <w:b w:val="0"/>
          <w:sz w:val="23"/>
          <w:szCs w:val="23"/>
          <w:rtl/>
        </w:rPr>
        <w:t xml:space="preserve"> مقارنة بالسكان، لا الفقر ولا الاحتياج؛ لذلك التوصية دراسة الاحتياج وليست الحكم بأن المحافظة الأكثر احتياجًا.</w:t>
      </w:r>
    </w:p>
    <w:p>
      <w:pPr>
        <w:pStyle w:val="ListBullet"/>
        <w:bidi/>
        <w:spacing w:after="30" w:before="0" w:line="264" w:lineRule="auto"/>
      </w:pPr>
      <w:r>
        <w:rPr>
          <w:rFonts w:ascii="Times New Roman" w:hAnsi="Times New Roman" w:cs="Times New Roman"/>
          <w:b w:val="0"/>
          <w:sz w:val="23"/>
          <w:szCs w:val="23"/>
          <w:rtl/>
        </w:rPr>
        <w:t>المحافظة المسجلة قد تكون المقر الإداري لا مكان الخدمة؛ صحّحنا فقط ما يذكره اسم الكيان (56 كيانًا).</w:t>
      </w:r>
    </w:p>
    <w:p>
      <w:pPr>
        <w:pStyle w:val="ListBullet"/>
        <w:bidi/>
        <w:spacing w:after="30" w:before="0" w:line="264" w:lineRule="auto"/>
      </w:pPr>
      <w:r>
        <w:rPr>
          <w:rFonts w:ascii="Times New Roman" w:hAnsi="Times New Roman" w:cs="Times New Roman"/>
          <w:b w:val="0"/>
          <w:sz w:val="23"/>
          <w:szCs w:val="23"/>
          <w:rtl/>
        </w:rPr>
        <w:t>97 كيانًا بدون محافظة لم تدخل في العدّ، والسكان من تعداد 2022 بينما السجل محدّث في 2025–2026.</w:t>
      </w:r>
    </w:p>
    <w:p>
      <w:pPr>
        <w:pStyle w:val="ListBullet"/>
        <w:bidi/>
        <w:spacing w:after="30" w:before="0" w:line="264" w:lineRule="auto"/>
      </w:pPr>
      <w:r>
        <w:rPr>
          <w:rFonts w:ascii="Times New Roman" w:hAnsi="Times New Roman" w:cs="Times New Roman"/>
          <w:b w:val="0"/>
          <w:sz w:val="23"/>
          <w:szCs w:val="23"/>
          <w:rtl/>
        </w:rPr>
        <w:t>تركّز الشرقية في القائمة قد يعود لنسبة غير السعوديين أو لبرامج الشركات أو لتسجيل الجمعيات في الدمام والخبر؛ فرضية لم نختبرها.</w:t>
      </w:r>
    </w:p>
    <w:p>
      <w:pPr>
        <w:keepNext/>
        <w:pBdr>
          <w:bottom w:val="single" w:sz="6" w:space="1" w:color="0284C7"/>
        </w:pBdr>
        <w:bidi/>
        <w:spacing w:after="60" w:before="160" w:line="240" w:lineRule="auto"/>
      </w:pPr>
      <w:r>
        <w:rPr>
          <w:rFonts w:ascii="Times New Roman" w:hAnsi="Times New Roman" w:cs="Times New Roman"/>
          <w:b/>
          <w:bCs/>
          <w:color w:val="0B1E3A"/>
          <w:sz w:val="36"/>
          <w:szCs w:val="36"/>
          <w:rtl/>
        </w:rPr>
        <w:t>7. المراجع</w:t>
      </w:r>
    </w:p>
    <w:p>
      <w:pPr>
        <w:bidi/>
        <w:spacing w:after="30" w:before="0" w:line="264" w:lineRule="auto"/>
      </w:pPr>
      <w:r>
        <w:rPr>
          <w:rFonts w:ascii="Times New Roman" w:hAnsi="Times New Roman" w:cs="Times New Roman"/>
          <w:b w:val="0"/>
          <w:sz w:val="22"/>
          <w:szCs w:val="22"/>
          <w:rtl/>
        </w:rPr>
        <w:t xml:space="preserve">1. المركز الوطني لتنمية القطاع غير الربحي، سجل الكيانات غير الربحية (13 ملفًا حسب المنطقة)، منصة البيانات المفتوحة الوطنية. روابط الملفات في README. </w:t>
      </w:r>
      <w:hyperlink r:id="rId17">
        <w:r>
          <w:rPr>
            <w:rFonts w:ascii="Times New Roman" w:hAnsi="Times New Roman" w:cs="Times New Roman"/>
            <w:color w:val="0284C7"/>
            <w:sz w:val="20"/>
            <w:szCs w:val="20"/>
            <w:u w:val="single"/>
          </w:rPr>
          <w:t xml:space="preserve">https://open.data.gov.sa</w:t>
        </w:r>
      </w:hyperlink>
    </w:p>
    <w:p>
      <w:pPr>
        <w:bidi/>
        <w:spacing w:after="30" w:before="0" w:line="264" w:lineRule="auto"/>
      </w:pPr>
      <w:r>
        <w:rPr>
          <w:rFonts w:ascii="Times New Roman" w:hAnsi="Times New Roman" w:cs="Times New Roman"/>
          <w:b w:val="0"/>
          <w:sz w:val="22"/>
          <w:szCs w:val="22"/>
          <w:rtl/>
        </w:rPr>
        <w:t xml:space="preserve">2. الهيئة العامة للإحصاء، تعداد السكان 2022، عبر City Population: Saudi Arabia, Administrative Division. </w:t>
      </w:r>
      <w:hyperlink r:id="rId18">
        <w:r>
          <w:rPr>
            <w:rFonts w:ascii="Times New Roman" w:hAnsi="Times New Roman" w:cs="Times New Roman"/>
            <w:color w:val="0284C7"/>
            <w:sz w:val="20"/>
            <w:szCs w:val="20"/>
            <w:u w:val="single"/>
          </w:rPr>
          <w:t xml:space="preserve">https://www.citypopulation.de/en/saudiarabia/admin/</w:t>
        </w:r>
      </w:hyperlink>
    </w:p>
    <w:p>
      <w:pPr>
        <w:bidi/>
        <w:spacing w:after="30" w:before="0" w:line="264" w:lineRule="auto"/>
      </w:pPr>
      <w:r>
        <w:rPr>
          <w:rFonts w:ascii="Times New Roman" w:hAnsi="Times New Roman" w:cs="Times New Roman"/>
          <w:b w:val="0"/>
          <w:sz w:val="22"/>
          <w:szCs w:val="22"/>
          <w:rtl/>
        </w:rPr>
        <w:t xml:space="preserve">3. geoBoundaries: حدود SAU ADM2 وADM1 (OpenStreetMap)، الترخيص CC BY-SA 2.0 وODbL. </w:t>
      </w:r>
      <w:hyperlink r:id="rId19">
        <w:r>
          <w:rPr>
            <w:rFonts w:ascii="Times New Roman" w:hAnsi="Times New Roman" w:cs="Times New Roman"/>
            <w:color w:val="0284C7"/>
            <w:sz w:val="20"/>
            <w:szCs w:val="20"/>
            <w:u w:val="single"/>
          </w:rPr>
          <w:t xml:space="preserve">https://www.geoboundaries.org/</w:t>
        </w:r>
      </w:hyperlink>
    </w:p>
    <w:sectPr w:rsidR="00FC693F" w:rsidRPr="0006063C" w:rsidSect="00034616">
      <w:footerReference w:type="default" r:id="rId20"/>
      <w:pgSz w:w="11906" w:h="16838"/>
      <w:pgMar w:top="907" w:right="1077" w:bottom="850" w:left="107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Times New Roman" w:hAnsi="Times New Roman" w:cs="Times New Roman"/>
        <w:b w:val="0"/>
        <w:color w:val="556070"/>
        <w:sz w:val="19"/>
        <w:szCs w:val="19"/>
        <w:rtl/>
      </w:rPr>
      <w:t xml:space="preserve">تحليل فجوة الكيانات غير الربحية · هيا صالح الحارثي · </w:t>
    </w:r>
    <w:r>
      <w:rPr>
        <w:rFonts w:ascii="Times New Roman" w:hAnsi="Times New Roman" w:cs="Times New Roman"/>
        <w:b w:val="0"/>
        <w:color w:val="556070"/>
        <w:sz w:val="19"/>
        <w:szCs w:val="19"/>
        <w:rtl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bidi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HayaSaleh97/npo-governorate-gap-analysi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hayasaleh97.github.io/npo-governorate-gap-analysis/outputs/dashboard.html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open.data.gov.sa" TargetMode="External"/><Relationship Id="rId18" Type="http://schemas.openxmlformats.org/officeDocument/2006/relationships/hyperlink" Target="https://www.citypopulation.de/en/saudiarabia/admin/" TargetMode="External"/><Relationship Id="rId19" Type="http://schemas.openxmlformats.org/officeDocument/2006/relationships/hyperlink" Target="https://www.geoboundaries.org/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