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put one electron in each box before pairing?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B</w:t>
            </w:r>
            <w:r>
              <w:rPr>
                <w:rFonts w:ascii="ShullHand" w:hAnsi="ShullHand"/>
                <w:color w:val="16609A"/>
                <w:sz w:val="20"/>
              </w:rPr>
              <w:t xml:space="preserve">  Hund, one in each before pairing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carbon's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one in each box, same direction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10" w:color="9F1D2C"/>
                    <w:left w:val="single" w:sz="10" w:color="9F1D2C"/>
                    <w:bottom w:val="single" w:sz="10" w:color="9F1D2C"/>
                    <w:right w:val="single" w:sz="10" w:color="9F1D2C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4p?</w:t>
            </w:r>
            <w:r>
              <w:rPr>
                <w:rFonts w:ascii="ShullHand" w:hAnsi="ShullHand"/>
                <w:color w:val="4A2466"/>
                <w:sz w:val="26"/>
                <w:bdr w:val="single" w:sz="8" w:space="1" w:color="9F1D2C"/>
              </w:rPr>
              <w:t xml:space="preserve">   D</w:t>
            </w:r>
            <w:r>
              <w:rPr>
                <w:rFonts w:ascii="ShullHand" w:hAnsi="ShullHand"/>
                <w:color w:val="16609A"/>
                <w:sz w:val="20"/>
              </w:rPr>
              <w:t xml:space="preserve">  </w:t>
            </w:r>
            <w:r>
              <w:rPr>
                <w:rFonts w:ascii="Patrick Hand" w:hAnsi="Patrick Hand"/>
                <w:color w:val="16609A"/>
                <w:sz w:val="20"/>
              </w:rPr>
              <w:t>4</w:t>
            </w:r>
            <w:r>
              <w:rPr>
                <w:rFonts w:ascii="ShullHand" w:hAnsi="ShullHand"/>
                <w:color w:val="16609A"/>
                <w:sz w:val="20"/>
              </w:rPr>
              <w:t xml:space="preserve">p, then </w:t>
            </w: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4f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4p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5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274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1s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6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3s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3p</w:t>
            </w:r>
            <w:r>
              <w:rPr>
                <w:rFonts w:ascii="Patrick Hand" w:hAnsi="Patrick Hand"/>
                <w:color w:val="4A2466"/>
                <w:sz w:val="24"/>
                <w:vertAlign w:val="superscript"/>
                <w:bdr w:val="single" w:sz="8" w:space="1" w:color="9F1D2C"/>
              </w:rPr>
              <w:t>4</w:t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17"/>
              <w:gridCol w:w="274"/>
              <w:gridCol w:w="317"/>
              <w:gridCol w:w="274"/>
              <w:gridCol w:w="317"/>
              <w:gridCol w:w="274"/>
              <w:gridCol w:w="274"/>
              <w:gridCol w:w="274"/>
              <w:gridCol w:w="317"/>
              <w:gridCol w:w="274"/>
              <w:gridCol w:w="317"/>
              <w:gridCol w:w="274"/>
              <w:gridCol w:w="274"/>
              <w:gridCol w:w="274"/>
            </w:tblGrid>
            <w:tr>
              <w:trPr>
                <w:cantSplit/>
                <w:trHeight w:val="432" w:hRule="atLeast"/>
              </w:trPr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17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274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[Ar]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3d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5</w:t>
            </w: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[Kr]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5s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2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4d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10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 xml:space="preserve"> </w:t>
            </w:r>
            <w:r>
              <w:rPr>
                <w:rFonts w:ascii="Patrick Hand" w:hAnsi="Patrick Hand"/>
                <w:color w:val="4A2466"/>
                <w:sz w:val="22"/>
                <w:bdr w:val="single" w:sz="8" w:space="1" w:color="9F1D2C"/>
              </w:rPr>
              <w:t>5p</w:t>
            </w:r>
            <w:r>
              <w:rPr>
                <w:rFonts w:ascii="Patrick Hand" w:hAnsi="Patrick Hand"/>
                <w:color w:val="4A2466"/>
                <w:sz w:val="22"/>
                <w:vertAlign w:val="superscript"/>
                <w:bdr w:val="single" w:sz="8" w:space="1" w:color="9F1D2C"/>
              </w:rPr>
              <w:t>4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3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/>
                <w:color w:val="9F1D2C"/>
                <w:sz w:val="21"/>
                <w:u w:val="none"/>
              </w:rPr>
              <w:t>anion</w:t>
            </w:r>
          </w:p>
          <w:p>
            <w:pPr>
              <w:spacing w:after="0"/>
            </w:pPr>
            <w:r>
              <w:rPr>
                <w:rFonts w:ascii="Patrick Hand" w:hAnsi="Patrick Hand"/>
                <w:color w:val="16609A"/>
                <w:sz w:val="20"/>
              </w:rPr>
              <w:t>5</w:t>
            </w:r>
            <w:r>
              <w:rPr>
                <w:rFonts w:ascii="ShullHand" w:hAnsi="ShullHand"/>
                <w:color w:val="16609A"/>
                <w:sz w:val="20"/>
              </w:rPr>
              <w:t xml:space="preserve"> val. e-, gains </w:t>
            </w:r>
            <w:r>
              <w:rPr>
                <w:rFonts w:ascii="Patrick Hand" w:hAnsi="Patrick Hand"/>
                <w:color w:val="16609A"/>
                <w:sz w:val="20"/>
              </w:rPr>
              <w:t>3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