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Layout w:type="fixed"/>
      </w:tblPr>
      <w:tblGrid>
        <w:gridCol w:w="14400"/>
      </w:tblGrid>
      <w:tr>
        <w:tc>
          <w:tcPr>
            <w:tcW w:type="dxa" w:w="14400"/>
            <w:tcBorders>
              <w:bottom w:val="single" w:sz="18" w:color="A3E635"/>
            </w:tcBorders>
          </w:tcPr>
          <w:p>
            <w:pPr>
              <w:spacing w:after="40" w:before="0"/>
            </w:pPr>
            <w:r>
              <w:rPr>
                <w:rFonts w:ascii="Trade Gothic Next" w:hAnsi="Trade Gothic Next"/>
                <w:b/>
                <w:color w:val="4D730E"/>
                <w:sz w:val="14"/>
                <w:spacing w:val="26"/>
              </w:rPr>
              <w:t>SHULL SCIENCE  ·  JAMES A. GARFIELD LOCAL SCHOOLS</w:t>
            </w:r>
          </w:p>
          <w:p>
            <w:pPr>
              <w:spacing w:after="40" w:before="0"/>
            </w:pPr>
            <w:r>
              <w:rPr>
                <w:rFonts w:ascii="Trade Gothic Next" w:hAnsi="Trade Gothic Next"/>
                <w:b/>
                <w:color w:val="14161B"/>
                <w:sz w:val="26"/>
              </w:rPr>
              <w:t>ION FORMATION</w:t>
            </w:r>
          </w:p>
          <w:p>
            <w:pPr>
              <w:spacing w:after="40" w:before="0"/>
            </w:pPr>
            <w:r>
              <w:rPr>
                <w:rFonts w:ascii="Trade Gothic Next" w:hAnsi="Trade Gothic Next"/>
                <w:b w:val="0"/>
                <w:color w:val="55604F"/>
                <w:sz w:val="14"/>
                <w:spacing w:val="26"/>
              </w:rPr>
              <w:t>PRACTICE  ·  ION FORMATION</w:t>
            </w:r>
          </w:p>
        </w:tc>
      </w:tr>
    </w:tbl>
    <w:tbl>
      <w:tblPr>
        <w:tblW w:type="auto" w:w="0"/>
        <w:tblLayout w:type="fixed"/>
        <w:tblLook w:firstColumn="1" w:firstRow="1" w:lastColumn="0" w:lastRow="0" w:noHBand="0" w:noVBand="1" w:val="04A0"/>
        <w:tblLayout w:type="fixed"/>
      </w:tblPr>
      <w:tblGrid>
        <w:gridCol w:w="4752"/>
        <w:gridCol w:w="2160"/>
        <w:gridCol w:w="1728"/>
        <w:gridCol w:w="5760"/>
      </w:tblGrid>
      <w:tr>
        <w:trPr>
          <w:cantSplit/>
          <w:trHeight w:val="662" w:hRule="atLeast"/>
        </w:trPr>
        <w:tc>
          <w:tcPr>
            <w:tcW w:type="dxa" w:w="4752"/>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NAME</w:t>
            </w:r>
          </w:p>
        </w:tc>
        <w:tc>
          <w:tcPr>
            <w:tcW w:type="dxa" w:w="2160"/>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DATE</w:t>
            </w:r>
          </w:p>
        </w:tc>
        <w:tc>
          <w:tcPr>
            <w:tcW w:type="dxa" w:w="1728"/>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PERIOD</w:t>
            </w:r>
          </w:p>
        </w:tc>
        <w:tc>
          <w:tcPr>
            <w:tcW w:type="dxa" w:w="5760"/>
            <w:vAlign w:val="top"/>
            <w:tcMar>
              <w:top w:w="20" w:type="dxa"/>
              <w:left w:w="0" w:type="dxa"/>
              <w:bottom w:w="0" w:type="dxa"/>
              <w:right w:w="120" w:type="dxa"/>
            </w:tcMar>
            <w:tcBorders>
              <w:bottom w:val="single" w:sz="8" w:color="C8CDC2"/>
            </w:tcBorders>
          </w:tcPr>
          <w:p>
            <w:pPr>
              <w:spacing w:after="0"/>
            </w:pPr>
            <w:r>
              <w:rPr>
                <w:rFonts w:ascii="Trade Gothic Next" w:hAnsi="Trade Gothic Next"/>
                <w:b/>
                <w:color w:val="55604F"/>
                <w:sz w:val="15"/>
                <w:u w:val="none"/>
              </w:rPr>
              <w:t>SCORE  / 5</w:t>
            </w:r>
          </w:p>
        </w:tc>
      </w:tr>
    </w:tbl>
    <w:p>
      <w:pPr>
        <w:spacing w:before="0" w:after="0" w:line="60" w:lineRule="exact"/>
      </w:pPr>
      <w:r>
        <w:rPr>
          <w:rFonts w:ascii="Trade Gothic Next" w:hAnsi="Trade Gothic Next"/>
          <w:sz w:val="2"/>
        </w:rPr>
      </w:r>
    </w:p>
    <w:tbl>
      <w:tblPr>
        <w:tblW w:type="auto" w:w="0"/>
        <w:jc w:val="left"/>
        <w:tblLayout w:type="fixed"/>
        <w:tblLook w:firstColumn="1" w:firstRow="1" w:lastColumn="0" w:lastRow="0" w:noHBand="0" w:noVBand="1" w:val="04A0"/>
        <w:tblLayout w:type="fixed"/>
      </w:tblPr>
      <w:tblGrid>
        <w:gridCol w:w="14400"/>
      </w:tblGrid>
      <w:tr>
        <w:tc>
          <w:tcPr>
            <w:tcW w:type="dxa" w:w="14400"/>
            <w:tcBorders>
              <w:left w:val="single" w:sz="18" w:color="A3E635"/>
            </w:tcBorders>
          </w:tcPr>
          <w:p>
            <w:pPr>
              <w:spacing w:after="40"/>
            </w:pPr>
            <w:r>
              <w:rPr>
                <w:rFonts w:ascii="Trade Gothic Next" w:hAnsi="Trade Gothic Next"/>
                <w:b w:val="0"/>
                <w:color w:val="14161B"/>
                <w:sz w:val="19"/>
                <w:u w:val="none"/>
              </w:rPr>
              <w:t>An ion is an atom that has gained or lost electrons so that it has the same electron arrangement as a noble gas. Lose electrons and the atom has more protons than electrons, so its charge is positive. Gain electrons and it has more electrons than protons, so its charge is negative. Metals lose electrons until they match the noble gas before them on the periodic table. Nonmetals gain electrons until they match the noble gas after them.</w:t>
            </w:r>
          </w:p>
          <w:p>
            <w:pPr>
              <w:spacing w:after="0"/>
            </w:pPr>
            <w:r>
              <w:rPr>
                <w:rFonts w:ascii="Trade Gothic Next" w:hAnsi="Trade Gothic Next"/>
                <w:b w:val="0"/>
                <w:color w:val="55604F"/>
                <w:sz w:val="17"/>
                <w:u w:val="none"/>
              </w:rPr>
              <w:t>Scored on effort, work shown and reasoning (5 points). Use your periodic table.</w:t>
            </w:r>
          </w:p>
        </w:tc>
      </w:tr>
    </w:tbl>
    <w:p>
      <w:pPr>
        <w:spacing w:before="0" w:after="0" w:line="80" w:lineRule="exact"/>
      </w:pPr>
      <w:r>
        <w:rPr>
          <w:rFonts w:ascii="Trade Gothic Next" w:hAnsi="Trade Gothic Next"/>
          <w:sz w:val="4"/>
        </w:rPr>
      </w:r>
    </w:p>
    <w:tbl>
      <w:tblPr>
        <w:tblW w:type="auto" w:w="0"/>
        <w:tblLayout w:type="fixed"/>
        <w:tblLook w:firstColumn="1" w:firstRow="1" w:lastColumn="0" w:lastRow="0" w:noHBand="0" w:noVBand="1" w:val="04A0"/>
        <w:tblLayout w:type="fixed"/>
      </w:tblPr>
      <w:tblGrid>
        <w:gridCol w:w="1440"/>
        <w:gridCol w:w="1296"/>
        <w:gridCol w:w="1368"/>
        <w:gridCol w:w="1440"/>
        <w:gridCol w:w="1800"/>
        <w:gridCol w:w="2088"/>
        <w:gridCol w:w="2160"/>
        <w:gridCol w:w="1296"/>
        <w:gridCol w:w="1512"/>
      </w:tblGrid>
      <w:tr>
        <w:tc>
          <w:tcPr>
            <w:tcW w:type="dxa" w:w="144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ATOM</w:t>
            </w:r>
          </w:p>
        </w:tc>
        <w:tc>
          <w:tcPr>
            <w:tcW w:type="dxa" w:w="1296"/>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PROTONS</w:t>
            </w:r>
          </w:p>
        </w:tc>
        <w:tc>
          <w:tcPr>
            <w:tcW w:type="dxa" w:w="1368"/>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ELECTRONS</w:t>
            </w:r>
          </w:p>
        </w:tc>
        <w:tc>
          <w:tcPr>
            <w:tcW w:type="dxa" w:w="144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VALENCE e</w:t>
            </w:r>
            <w:r>
              <w:rPr>
                <w:rFonts w:ascii="Trade Gothic Next" w:hAnsi="Trade Gothic Next"/>
                <w:b/>
                <w:color w:val="4D730E"/>
                <w:sz w:val="16"/>
                <w:u w:val="none"/>
                <w:vertAlign w:val="superscript"/>
              </w:rPr>
              <w:t>−</w:t>
            </w:r>
          </w:p>
        </w:tc>
        <w:tc>
          <w:tcPr>
            <w:tcW w:type="dxa" w:w="180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METAL OR NONMETAL</w:t>
            </w:r>
          </w:p>
        </w:tc>
        <w:tc>
          <w:tcPr>
            <w:tcW w:type="dxa" w:w="2088"/>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NOBLE GAS IT WILL MATCH</w:t>
            </w:r>
          </w:p>
        </w:tc>
        <w:tc>
          <w:tcPr>
            <w:tcW w:type="dxa" w:w="2160"/>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ELECTRONS GAINED OR LOST</w:t>
            </w:r>
          </w:p>
        </w:tc>
        <w:tc>
          <w:tcPr>
            <w:tcW w:type="dxa" w:w="1296"/>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CHARGE</w:t>
            </w:r>
          </w:p>
        </w:tc>
        <w:tc>
          <w:tcPr>
            <w:tcW w:type="dxa" w:w="1512"/>
            <w:tcBorders>
              <w:bottom w:val="single" w:sz="12" w:color="A3E635"/>
            </w:tcBorders>
            <w:vAlign w:val="center"/>
            <w:tcMar>
              <w:top w:w="30" w:type="dxa"/>
              <w:left w:w="60" w:type="dxa"/>
              <w:bottom w:w="30" w:type="dxa"/>
              <w:right w:w="40" w:type="dxa"/>
            </w:tcMar>
          </w:tcPr>
          <w:p>
            <w:pPr>
              <w:spacing w:after="0"/>
              <w:jc w:val="left"/>
            </w:pPr>
            <w:r>
              <w:rPr>
                <w:rFonts w:ascii="Trade Gothic Next" w:hAnsi="Trade Gothic Next"/>
                <w:b/>
                <w:color w:val="4D730E"/>
                <w:sz w:val="16"/>
                <w:u w:val="none"/>
              </w:rPr>
              <w:t>ION</w:t>
            </w: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55604F"/>
                <w:sz w:val="16"/>
                <w:u w:val="none"/>
              </w:rPr>
              <w:t xml:space="preserve">Example  </w:t>
            </w:r>
            <w:r>
              <w:rPr>
                <w:rFonts w:ascii="Trade Gothic Next" w:hAnsi="Trade Gothic Next"/>
                <w:b/>
                <w:color w:val="14161B"/>
                <w:sz w:val="22"/>
                <w:u w:val="none"/>
              </w:rPr>
              <w:t>Na</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11</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11</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Ne</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lose 1</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1+</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val="0"/>
                <w:color w:val="14161B"/>
                <w:sz w:val="20"/>
                <w:u w:val="none"/>
              </w:rPr>
              <w:t>Na</w:t>
            </w:r>
            <w:r>
              <w:rPr>
                <w:rFonts w:ascii="Trade Gothic Next" w:hAnsi="Trade Gothic Next"/>
                <w:b w:val="0"/>
                <w:color w:val="14161B"/>
                <w:sz w:val="20"/>
                <w:u w:val="none"/>
                <w:vertAlign w:val="superscript"/>
              </w:rPr>
              <w:t>+</w:t>
            </w: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color w:val="55604F"/>
                <w:sz w:val="16"/>
                <w:u w:val="none"/>
              </w:rPr>
              <w:t xml:space="preserve">Example  </w:t>
            </w:r>
            <w:r>
              <w:rPr>
                <w:rFonts w:ascii="Trade Gothic Next" w:hAnsi="Trade Gothic Next"/>
                <w:b/>
                <w:color w:val="14161B"/>
                <w:sz w:val="22"/>
                <w:u w:val="none"/>
              </w:rPr>
              <w:t>S</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16</w:t>
            </w: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16</w:t>
            </w: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6</w:t>
            </w: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nonmetal</w:t>
            </w: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Ar</w:t>
            </w: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gain 2</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2−</w:t>
            </w: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Borders>
              <w:bottom w:val="single" w:sz="12" w:color="A3E635"/>
            </w:tcBorders>
          </w:tcPr>
          <w:p>
            <w:pPr>
              <w:spacing w:after="0"/>
              <w:jc w:val="left"/>
            </w:pPr>
            <w:r>
              <w:rPr>
                <w:rFonts w:ascii="Trade Gothic Next" w:hAnsi="Trade Gothic Next"/>
                <w:b w:val="0"/>
                <w:color w:val="14161B"/>
                <w:sz w:val="20"/>
                <w:u w:val="none"/>
              </w:rPr>
              <w:t>S</w:t>
            </w:r>
            <w:r>
              <w:rPr>
                <w:rFonts w:ascii="Trade Gothic Next" w:hAnsi="Trade Gothic Next"/>
                <w:b w:val="0"/>
                <w:color w:val="14161B"/>
                <w:sz w:val="20"/>
                <w:u w:val="none"/>
                <w:vertAlign w:val="superscript"/>
              </w:rPr>
              <w:t>2−</w:t>
            </w: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Mg</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Na</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Cl</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O</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Be</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B</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N</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C</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Sc</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r>
        <w:trPr>
          <w:cantSplit/>
          <w:trHeight w:val="576" w:hRule="atLeast"/>
        </w:trPr>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r>
              <w:rPr>
                <w:rFonts w:ascii="Trade Gothic Next" w:hAnsi="Trade Gothic Next"/>
                <w:b/>
                <w:color w:val="14161B"/>
                <w:sz w:val="22"/>
                <w:u w:val="none"/>
              </w:rPr>
              <w:t>Al</w:t>
            </w: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36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44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80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088"/>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2160"/>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296"/>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c>
          <w:tcPr>
            <w:tcW w:type="dxa" w:w="1512"/>
            <w:tcBorders>
              <w:top w:val="single" w:sz="4" w:color="C8CDC2"/>
              <w:left w:val="single" w:sz="4" w:color="C8CDC2"/>
              <w:bottom w:val="single" w:sz="4" w:color="C8CDC2"/>
              <w:right w:val="single" w:sz="4" w:color="C8CDC2"/>
            </w:tcBorders>
            <w:vAlign w:val="center"/>
            <w:tcMar>
              <w:top w:w="10" w:type="dxa"/>
              <w:left w:w="60" w:type="dxa"/>
              <w:bottom w:w="10" w:type="dxa"/>
              <w:right w:w="40" w:type="dxa"/>
            </w:tcMar>
          </w:tcPr>
          <w:p>
            <w:pPr>
              <w:spacing w:after="0"/>
              <w:jc w:val="left"/>
            </w:pPr>
          </w:p>
        </w:tc>
      </w:tr>
    </w:tbl>
    <w:p>
      <w:pPr>
        <w:spacing w:before="0" w:after="0" w:line="20" w:lineRule="exact"/>
        <w:rPr>
          <w:sz w:val="2"/>
          <w:szCs w:val="2"/>
        </w:rPr>
      </w:pPr>
    </w:p>
    <w:sectPr w:rsidR="00FC693F" w:rsidRPr="0006063C" w:rsidSect="00034616">
      <w:footerReference w:type="default" r:id="rId9"/>
      <w:pgSz w:w="15840" w:h="12240" w:orient="landscape"/>
      <w:pgMar w:top="634" w:right="720" w:bottom="63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rade Gothic Next" w:hAnsi="Trade Gothic Next"/>
        <w:color w:val="61675B"/>
        <w:sz w:val="14"/>
      </w:rPr>
      <w:t>SHULL SCIENCE          U02 · S02.4</w:t>
    </w:r>
    <w:r>
      <w:rPr>
        <w:rFonts w:ascii="Trade Gothic Next" w:hAnsi="Trade Gothic Next"/>
        <w:color w:val="61675B"/>
        <w:sz w:val="14"/>
      </w:rPr>
      <w:t xml:space="preserve">          PAGE </w:t>
    </w:r>
    <w:r>
      <w:rPr>
        <w:rFonts w:ascii="Trade Gothic Next" w:hAnsi="Trade Gothic Next"/>
        <w:color w:val="61675B"/>
        <w:sz w:val="14"/>
      </w:rPr>
      <w:fldChar w:fldCharType="begin"/>
      <w:instrText xml:space="preserve"> PAGE </w:instrText>
      <w:fldChar w:fldCharType="end"/>
    </w:r>
    <w:r>
      <w:rPr>
        <w:rFonts w:ascii="Trade Gothic Next" w:hAnsi="Trade Gothic Next"/>
        <w:color w:val="61675B"/>
        <w:sz w:val="14"/>
      </w:rPr>
      <w:t xml:space="preserve"> OF </w:t>
    </w:r>
    <w:r>
      <w:rPr>
        <w:rFonts w:ascii="Trade Gothic Next" w:hAnsi="Trade Gothic Next"/>
        <w:color w:val="61675B"/>
        <w:sz w:val="14"/>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e Gothic Next" w:hAnsi="Trade Gothic Next" w:eastAsia="Trade Gothic Nex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