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C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You may use your periodic table. Draw an arrow for every electron in the orbital diagrams.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LONGHAND CONFIGURATION AND ORBITAL DIAGRAM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Bromine, Br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360"/>
              <w:gridCol w:w="360"/>
              <w:gridCol w:w="432"/>
              <w:gridCol w:w="360"/>
              <w:gridCol w:w="360"/>
              <w:gridCol w:w="360"/>
            </w:tblGrid>
            <w:tr>
              <w:trPr>
                <w:cantSplit/>
                <w:trHeight w:val="432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</w:pPr>
            <w:r>
              <w:rPr>
                <w:rFonts w:ascii="ShullHand" w:hAnsi="ShullHand"/>
                <w:color w:val="16609A"/>
                <w:sz w:val="22"/>
              </w:rPr>
              <w:t xml:space="preserve">→ Hund rule, one arrow in each box before pairing. </w:t>
            </w:r>
            <w:r>
              <w:rPr>
                <w:rFonts w:ascii="Patrick Hand" w:hAnsi="Patrick Hand"/>
                <w:color w:val="16609A"/>
                <w:sz w:val="22"/>
              </w:rPr>
              <w:t>1</w:t>
            </w:r>
            <w:r>
              <w:rPr>
                <w:rFonts w:ascii="ShullHand" w:hAnsi="ShullHand"/>
                <w:color w:val="16609A"/>
                <w:sz w:val="22"/>
              </w:rPr>
              <w:t xml:space="preserve"> unpaired.</w:t>
            </w:r>
            <w:r>
              <w:rPr>
                <w:rFonts w:ascii="ShullHand" w:hAnsi="ShullHand"/>
                <w:color w:val="5A6068"/>
                <w:sz w:val="20"/>
              </w:rPr>
              <w:t xml:space="preserve">  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configuration,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diagram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</w:tblGrid>
            <w:tr>
              <w:trPr>
                <w:cantSplit/>
                <w:trHeight w:val="432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</w:pPr>
            <w:r>
              <w:rPr>
                <w:rFonts w:ascii="ShullHand" w:hAnsi="ShullHand"/>
                <w:color w:val="16609A"/>
                <w:sz w:val="22"/>
              </w:rPr>
              <w:t xml:space="preserve">→ Hund rule, one arrow in each box before pairing. </w:t>
            </w:r>
            <w:r>
              <w:rPr>
                <w:rFonts w:ascii="Patrick Hand" w:hAnsi="Patrick Hand"/>
                <w:color w:val="16609A"/>
                <w:sz w:val="22"/>
              </w:rPr>
              <w:t>2</w:t>
            </w:r>
            <w:r>
              <w:rPr>
                <w:rFonts w:ascii="ShullHand" w:hAnsi="ShullHand"/>
                <w:color w:val="16609A"/>
                <w:sz w:val="22"/>
              </w:rPr>
              <w:t xml:space="preserve"> unpaired.</w:t>
            </w:r>
            <w:r>
              <w:rPr>
                <w:rFonts w:ascii="ShullHand" w:hAnsi="ShullHand"/>
                <w:color w:val="5A6068"/>
                <w:sz w:val="20"/>
              </w:rPr>
              <w:t xml:space="preserve">  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configuration,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diagram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NOBLE-GAS SHORTHAND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Manganese, Mn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Tellurium, Te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5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5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4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CHARGE OF THE ION EACH ATOM FORMS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Strontium, Sr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Iodine, 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</w:tr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Lithium, Li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loses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Selenium, Se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6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gains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C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