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
        <w:jc w:val="center"/>
      </w:pPr>
      <w:r>
        <w:rPr>
          <w:rFonts w:ascii="Arial" w:cs="Arial" w:eastAsia="Arial" w:hAnsi="Arial"/>
          <w:b/>
          <w:bCs/>
          <w:color w:val="1F3864"/>
          <w:sz w:val="32"/>
          <w:szCs w:val="32"/>
        </w:rPr>
        <w:t xml:space="preserve">Three-Level Inverter Topology Selection</w:t>
      </w:r>
    </w:p>
    <w:p>
      <w:pPr>
        <w:spacing w:after="200" w:before="0"/>
        <w:jc w:val="center"/>
      </w:pPr>
      <w:r>
        <w:rPr>
          <w:rFonts w:ascii="Arial" w:cs="Arial" w:eastAsia="Arial" w:hAnsi="Arial"/>
          <w:color w:val="666666"/>
          <w:sz w:val="20"/>
          <w:szCs w:val="20"/>
        </w:rPr>
        <w:t xml:space="preserve">800V EV Traction &amp; Integrated DC Charging  |  Project 1 — IEEE Conference Paper Preparation Aid</w:t>
      </w:r>
    </w:p>
    <w:p>
      <w:pPr>
        <w:spacing w:after="120" w:before="300"/>
      </w:pPr>
      <w:r>
        <w:rPr>
          <w:rFonts w:ascii="Arial" w:cs="Arial" w:eastAsia="Arial" w:hAnsi="Arial"/>
          <w:b/>
          <w:bCs/>
          <w:color w:val="1F3864"/>
          <w:sz w:val="28"/>
          <w:szCs w:val="28"/>
        </w:rPr>
        <w:t xml:space="preserve">1. Known System Parameters</w:t>
      </w:r>
    </w:p>
    <w:p>
      <w:pPr>
        <w:spacing w:after="80" w:before="60"/>
      </w:pPr>
      <w:r>
        <w:rPr>
          <w:rFonts w:ascii="Arial" w:cs="Arial" w:eastAsia="Arial" w:hAnsi="Arial"/>
          <w:i w:val="false"/>
          <w:iCs w:val="false"/>
          <w:sz w:val="20"/>
          <w:szCs w:val="20"/>
        </w:rPr>
        <w:t xml:space="preserve">The following parameters are established prior to topology selection, derived from the assumption of an 800V battery topology and drive cycle simulation.</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10"/>
        <w:gridCol w:w="6016"/>
      </w:tblGrid>
      <w:tr>
        <w:tc>
          <w:tcPr>
            <w:tcW w:type="dxa" w:w="301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Parameter</w:t>
            </w:r>
          </w:p>
        </w:tc>
        <w:tc>
          <w:tcPr>
            <w:tcW w:type="dxa" w:w="601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Value / Derivation</w:t>
            </w:r>
          </w:p>
        </w:tc>
      </w:tr>
      <w:tr>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DC Bus Voltage</w:t>
            </w:r>
          </w:p>
        </w:tc>
        <w:tc>
          <w:tcPr>
            <w:tcW w:type="dxa" w:w="6016"/>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rPr>
                <w:rFonts w:ascii="Arial" w:cs="Arial" w:eastAsia="Arial" w:hAnsi="Arial"/>
                <w:sz w:val="18"/>
                <w:szCs w:val="18"/>
              </w:rPr>
              <w:t xml:space="preserve">800V (assumed)</w:t>
            </w:r>
          </w:p>
        </w:tc>
      </w:tr>
      <w:tr>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Max Output Voltage (line-to-line)</w:t>
            </w:r>
          </w:p>
        </w:tc>
        <w:tc>
          <w:tcPr>
            <w:tcW w:type="dxa" w:w="601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~565V RMS (= 800V / √2)</w:t>
            </w:r>
          </w:p>
        </w:tc>
      </w:tr>
      <w:tr>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Fundamental Frequency Range</w:t>
            </w:r>
          </w:p>
        </w:tc>
        <w:tc>
          <w:tcPr>
            <w:tcW w:type="dxa" w:w="6016"/>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rPr>
                <w:rFonts w:ascii="Arial" w:cs="Arial" w:eastAsia="Arial" w:hAnsi="Arial"/>
                <w:sz w:val="18"/>
                <w:szCs w:val="18"/>
              </w:rPr>
              <w:t xml:space="preserve">~17 Hz – 200 Hz (fe = (P/2) × nmech / 60)</w:t>
            </w:r>
          </w:p>
        </w:tc>
      </w:tr>
      <w:tr>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RL Load</w:t>
            </w:r>
          </w:p>
        </w:tc>
        <w:tc>
          <w:tcPr>
            <w:tcW w:type="dxa" w:w="601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 = 1.3 Ω, L = 2 mH (per project spec)</w:t>
            </w:r>
          </w:p>
        </w:tc>
      </w:tr>
      <w:tr>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Estimated Peak Phase Current</w:t>
            </w:r>
          </w:p>
        </w:tc>
        <w:tc>
          <w:tcPr>
            <w:tcW w:type="dxa" w:w="6016"/>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rPr>
                <w:rFonts w:ascii="Arial" w:cs="Arial" w:eastAsia="Arial" w:hAnsi="Arial"/>
                <w:sz w:val="18"/>
                <w:szCs w:val="18"/>
              </w:rPr>
              <w:t xml:space="preserve">~250A (worst case at low frequency)</w:t>
            </w:r>
          </w:p>
        </w:tc>
      </w:tr>
      <w:tr>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Switching Frequency</w:t>
            </w:r>
          </w:p>
        </w:tc>
        <w:tc>
          <w:tcPr>
            <w:tcW w:type="dxa" w:w="601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Scheduled: 5–10 kHz (urban) → up to 20 kHz (highway)</w:t>
            </w:r>
          </w:p>
        </w:tc>
      </w:tr>
    </w:tbl>
    <w:p>
      <w:pPr>
        <w:spacing w:after="80" w:before="0"/>
      </w:pPr>
      <w:r>
        <w:t xml:space="preserve"/>
      </w:r>
    </w:p>
    <w:p>
      <w:pPr>
        <w:spacing w:after="120" w:before="300"/>
      </w:pPr>
      <w:r>
        <w:rPr>
          <w:rFonts w:ascii="Arial" w:cs="Arial" w:eastAsia="Arial" w:hAnsi="Arial"/>
          <w:b/>
          <w:bCs/>
          <w:color w:val="1F3864"/>
          <w:sz w:val="28"/>
          <w:szCs w:val="28"/>
        </w:rPr>
        <w:t xml:space="preserve">2. Topology Comparison</w:t>
      </w:r>
    </w:p>
    <w:p>
      <w:pPr>
        <w:spacing w:after="80" w:before="60"/>
      </w:pPr>
      <w:r>
        <w:rPr>
          <w:rFonts w:ascii="Arial" w:cs="Arial" w:eastAsia="Arial" w:hAnsi="Arial"/>
          <w:i w:val="false"/>
          <w:iCs w:val="false"/>
          <w:sz w:val="20"/>
          <w:szCs w:val="20"/>
        </w:rPr>
        <w:t xml:space="preserve">Three standard multilevel topologies were considered: Neutral Point Clamped (NPC), Flying Capacitor (FC), and Cascaded H-Bridge (CHB).</w:t>
      </w:r>
    </w:p>
    <w:p>
      <w:pPr>
        <w:spacing w:after="100" w:before="240"/>
      </w:pPr>
      <w:r>
        <w:rPr>
          <w:rFonts w:ascii="Arial" w:cs="Arial" w:eastAsia="Arial" w:hAnsi="Arial"/>
          <w:b/>
          <w:bCs/>
          <w:color w:val="2E5FAA"/>
          <w:sz w:val="22"/>
          <w:szCs w:val="22"/>
        </w:rPr>
        <w:t xml:space="preserve">2.1 Cascaded H-Bridge (CHB) — Eliminated</w:t>
      </w:r>
    </w:p>
    <w:p>
      <w:pPr>
        <w:spacing w:after="80" w:before="60"/>
      </w:pPr>
      <w:r>
        <w:rPr>
          <w:rFonts w:ascii="Arial" w:cs="Arial" w:eastAsia="Arial" w:hAnsi="Arial"/>
          <w:i w:val="false"/>
          <w:iCs w:val="false"/>
          <w:sz w:val="20"/>
          <w:szCs w:val="20"/>
        </w:rPr>
        <w:t xml:space="preserve">CHB requires multiple isolated DC supplies not available from a single EV battery pack without additional DC-DC conversion stages. CHB is excellent in grid-tied or multi-battery applications but is architecturally unsuitable for single-source traction.</w:t>
      </w:r>
    </w:p>
    <w:p>
      <w:pPr>
        <w:spacing w:after="100" w:before="240"/>
      </w:pPr>
      <w:r>
        <w:rPr>
          <w:rFonts w:ascii="Arial" w:cs="Arial" w:eastAsia="Arial" w:hAnsi="Arial"/>
          <w:b/>
          <w:bCs/>
          <w:color w:val="2E5FAA"/>
          <w:sz w:val="22"/>
          <w:szCs w:val="22"/>
        </w:rPr>
        <w:t xml:space="preserve">2.2 Neutral Point Clamped (NPC)</w:t>
      </w:r>
    </w:p>
    <w:p>
      <w:pPr>
        <w:spacing w:after="80" w:before="60"/>
      </w:pPr>
      <w:r>
        <w:rPr>
          <w:rFonts w:ascii="Arial" w:cs="Arial" w:eastAsia="Arial" w:hAnsi="Arial"/>
          <w:i w:val="false"/>
          <w:iCs w:val="false"/>
          <w:sz w:val="20"/>
          <w:szCs w:val="20"/>
        </w:rPr>
        <w:t xml:space="preserve">NPC uses clamping diodes tied to a DC bus midpoint, with each switch blocking 400V. Two key weaknesses exist for this application:</w:t>
      </w:r>
    </w:p>
    <w:p>
      <w:pPr>
        <w:pStyle w:val="ListParagraph"/>
        <w:numPr>
          <w:ilvl w:val="0"/>
          <w:numId w:val="2"/>
        </w:numPr>
        <w:spacing w:after="40" w:before="40"/>
      </w:pPr>
      <w:r>
        <w:rPr>
          <w:rFonts w:ascii="Arial" w:cs="Arial" w:eastAsia="Arial" w:hAnsi="Arial"/>
          <w:sz w:val="20"/>
          <w:szCs w:val="20"/>
        </w:rPr>
        <w:t xml:space="preserve">Neutral point voltage imbalance requires persistent active control effort, exacerbated during asymmetric loading (DC charging mode).</w:t>
      </w:r>
    </w:p>
    <w:p>
      <w:pPr>
        <w:pStyle w:val="ListParagraph"/>
        <w:numPr>
          <w:ilvl w:val="0"/>
          <w:numId w:val="2"/>
        </w:numPr>
        <w:spacing w:after="40" w:before="40"/>
      </w:pPr>
      <w:r>
        <w:rPr>
          <w:rFonts w:ascii="Arial" w:cs="Arial" w:eastAsia="Arial" w:hAnsi="Arial"/>
          <w:sz w:val="20"/>
          <w:szCs w:val="20"/>
        </w:rPr>
        <w:t xml:space="preserve">Clamping diodes are unidirectional — bidirectional current flow required in charging mode creates asymmetric loss distribution.</w:t>
      </w:r>
    </w:p>
    <w:p>
      <w:pPr>
        <w:spacing w:after="100" w:before="240"/>
      </w:pPr>
      <w:r>
        <w:rPr>
          <w:rFonts w:ascii="Arial" w:cs="Arial" w:eastAsia="Arial" w:hAnsi="Arial"/>
          <w:b/>
          <w:bCs/>
          <w:color w:val="2E5FAA"/>
          <w:sz w:val="22"/>
          <w:szCs w:val="22"/>
        </w:rPr>
        <w:t xml:space="preserve">2.3 Flying Capacitor (FC) — Selected</w:t>
      </w:r>
    </w:p>
    <w:p>
      <w:pPr>
        <w:spacing w:after="80" w:before="60"/>
      </w:pPr>
      <w:r>
        <w:rPr>
          <w:rFonts w:ascii="Arial" w:cs="Arial" w:eastAsia="Arial" w:hAnsi="Arial"/>
          <w:i w:val="false"/>
          <w:iCs w:val="false"/>
          <w:sz w:val="20"/>
          <w:szCs w:val="20"/>
        </w:rPr>
        <w:t xml:space="preserve">FC replaces clamping diodes with a floating capacitor storing Vdc/2 = 400V, enabling greater control flexibility, better bidirectional symmetry, and natural balancing properties under appropriate modulation.</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6"/>
        <w:gridCol w:w="2106"/>
        <w:gridCol w:w="2106"/>
        <w:gridCol w:w="2108"/>
      </w:tblGrid>
      <w:tr>
        <w:tc>
          <w:tcPr>
            <w:tcW w:type="dxa" w:w="270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Criterion</w:t>
            </w:r>
          </w:p>
        </w:tc>
        <w:tc>
          <w:tcPr>
            <w:tcW w:type="dxa" w:w="210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NPC</w:t>
            </w:r>
          </w:p>
        </w:tc>
        <w:tc>
          <w:tcPr>
            <w:tcW w:type="dxa" w:w="210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Flying Capacitor</w:t>
            </w:r>
          </w:p>
        </w:tc>
        <w:tc>
          <w:tcPr>
            <w:tcW w:type="dxa" w:w="2108"/>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Cascaded H-Bridge</w:t>
            </w:r>
          </w:p>
        </w:tc>
      </w:tr>
      <w:tr>
        <w:tc>
          <w:tcPr>
            <w:tcW w:type="dxa" w:w="27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Single DC source</w:t>
            </w:r>
          </w:p>
        </w:tc>
        <w:tc>
          <w:tcPr>
            <w:tcW w:type="dxa" w:w="2106"/>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rPr>
                <w:rFonts w:ascii="Arial" w:cs="Arial" w:eastAsia="Arial" w:hAnsi="Arial"/>
                <w:sz w:val="18"/>
                <w:szCs w:val="18"/>
              </w:rPr>
              <w:t xml:space="preserve">✅ Natural fit</w:t>
            </w:r>
          </w:p>
        </w:tc>
        <w:tc>
          <w:tcPr>
            <w:tcW w:type="dxa" w:w="2106"/>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rPr>
                <w:rFonts w:ascii="Arial" w:cs="Arial" w:eastAsia="Arial" w:hAnsi="Arial"/>
                <w:sz w:val="18"/>
                <w:szCs w:val="18"/>
              </w:rPr>
              <w:t xml:space="preserve">✅ Natural fit</w:t>
            </w:r>
          </w:p>
        </w:tc>
        <w:tc>
          <w:tcPr>
            <w:tcW w:type="dxa" w:w="2108"/>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rPr>
                <w:rFonts w:ascii="Arial" w:cs="Arial" w:eastAsia="Arial" w:hAnsi="Arial"/>
                <w:sz w:val="18"/>
                <w:szCs w:val="18"/>
              </w:rPr>
              <w:t xml:space="preserve">❌ Needs isolated sources</w:t>
            </w:r>
          </w:p>
        </w:tc>
      </w:tr>
      <w:tr>
        <w:tc>
          <w:tcPr>
            <w:tcW w:type="dxa" w:w="27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Device voltage stress</w:t>
            </w:r>
          </w:p>
        </w:tc>
        <w:tc>
          <w:tcPr>
            <w:tcW w:type="dxa" w:w="21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400V (Vdc/2)</w:t>
            </w:r>
          </w:p>
        </w:tc>
        <w:tc>
          <w:tcPr>
            <w:tcW w:type="dxa" w:w="21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400V (Vdc/2)</w:t>
            </w:r>
          </w:p>
        </w:tc>
        <w:tc>
          <w:tcPr>
            <w:tcW w:type="dxa" w:w="21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400V per cell</w:t>
            </w:r>
          </w:p>
        </w:tc>
      </w:tr>
      <w:tr>
        <w:tc>
          <w:tcPr>
            <w:tcW w:type="dxa" w:w="27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Clamping elements</w:t>
            </w:r>
          </w:p>
        </w:tc>
        <w:tc>
          <w:tcPr>
            <w:tcW w:type="dxa" w:w="2106"/>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rPr>
                <w:rFonts w:ascii="Arial" w:cs="Arial" w:eastAsia="Arial" w:hAnsi="Arial"/>
                <w:sz w:val="18"/>
                <w:szCs w:val="18"/>
              </w:rPr>
              <w:t xml:space="preserve">Diodes (passive)</w:t>
            </w:r>
          </w:p>
        </w:tc>
        <w:tc>
          <w:tcPr>
            <w:tcW w:type="dxa" w:w="2106"/>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rPr>
                <w:rFonts w:ascii="Arial" w:cs="Arial" w:eastAsia="Arial" w:hAnsi="Arial"/>
                <w:sz w:val="18"/>
                <w:szCs w:val="18"/>
              </w:rPr>
              <w:t xml:space="preserve">Floating capacitors (active)</w:t>
            </w:r>
          </w:p>
        </w:tc>
        <w:tc>
          <w:tcPr>
            <w:tcW w:type="dxa" w:w="2108"/>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rPr>
                <w:rFonts w:ascii="Arial" w:cs="Arial" w:eastAsia="Arial" w:hAnsi="Arial"/>
                <w:sz w:val="18"/>
                <w:szCs w:val="18"/>
              </w:rPr>
              <w:t xml:space="preserve">None</w:t>
            </w:r>
          </w:p>
        </w:tc>
      </w:tr>
      <w:tr>
        <w:tc>
          <w:tcPr>
            <w:tcW w:type="dxa" w:w="27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Neutral point balancing</w:t>
            </w:r>
          </w:p>
        </w:tc>
        <w:tc>
          <w:tcPr>
            <w:tcW w:type="dxa" w:w="21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Required (active)</w:t>
            </w:r>
          </w:p>
        </w:tc>
        <w:tc>
          <w:tcPr>
            <w:tcW w:type="dxa" w:w="21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Self-balancing under PS-PWM</w:t>
            </w:r>
          </w:p>
        </w:tc>
        <w:tc>
          <w:tcPr>
            <w:tcW w:type="dxa" w:w="21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N/A</w:t>
            </w:r>
          </w:p>
        </w:tc>
      </w:tr>
      <w:tr>
        <w:tc>
          <w:tcPr>
            <w:tcW w:type="dxa" w:w="27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Bidirectional symmetry</w:t>
            </w:r>
          </w:p>
        </w:tc>
        <w:tc>
          <w:tcPr>
            <w:tcW w:type="dxa" w:w="2106"/>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rPr>
                <w:rFonts w:ascii="Arial" w:cs="Arial" w:eastAsia="Arial" w:hAnsi="Arial"/>
                <w:sz w:val="18"/>
                <w:szCs w:val="18"/>
              </w:rPr>
              <w:t xml:space="preserve">Asymmetric (diode-limited)</w:t>
            </w:r>
          </w:p>
        </w:tc>
        <w:tc>
          <w:tcPr>
            <w:tcW w:type="dxa" w:w="2106"/>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rPr>
                <w:rFonts w:ascii="Arial" w:cs="Arial" w:eastAsia="Arial" w:hAnsi="Arial"/>
                <w:sz w:val="18"/>
                <w:szCs w:val="18"/>
              </w:rPr>
              <w:t xml:space="preserve">Symmetric</w:t>
            </w:r>
          </w:p>
        </w:tc>
        <w:tc>
          <w:tcPr>
            <w:tcW w:type="dxa" w:w="2108"/>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rPr>
                <w:rFonts w:ascii="Arial" w:cs="Arial" w:eastAsia="Arial" w:hAnsi="Arial"/>
                <w:sz w:val="18"/>
                <w:szCs w:val="18"/>
              </w:rPr>
              <w:t xml:space="preserve">Symmetric per cell</w:t>
            </w:r>
          </w:p>
        </w:tc>
      </w:tr>
      <w:tr>
        <w:tc>
          <w:tcPr>
            <w:tcW w:type="dxa" w:w="27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Fault tolerance</w:t>
            </w:r>
          </w:p>
        </w:tc>
        <w:tc>
          <w:tcPr>
            <w:tcW w:type="dxa" w:w="21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Lower</w:t>
            </w:r>
          </w:p>
        </w:tc>
        <w:tc>
          <w:tcPr>
            <w:tcW w:type="dxa" w:w="21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Higher (cap in series)</w:t>
            </w:r>
          </w:p>
        </w:tc>
        <w:tc>
          <w:tcPr>
            <w:tcW w:type="dxa" w:w="21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Moderate</w:t>
            </w:r>
          </w:p>
        </w:tc>
      </w:tr>
      <w:tr>
        <w:tc>
          <w:tcPr>
            <w:tcW w:type="dxa" w:w="27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Integrated charging suitability</w:t>
            </w:r>
          </w:p>
        </w:tc>
        <w:tc>
          <w:tcPr>
            <w:tcW w:type="dxa" w:w="2106"/>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rPr>
                <w:rFonts w:ascii="Arial" w:cs="Arial" w:eastAsia="Arial" w:hAnsi="Arial"/>
                <w:sz w:val="18"/>
                <w:szCs w:val="18"/>
              </w:rPr>
              <w:t xml:space="preserve">⚠️ Moderate</w:t>
            </w:r>
          </w:p>
        </w:tc>
        <w:tc>
          <w:tcPr>
            <w:tcW w:type="dxa" w:w="2106"/>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rPr>
                <w:rFonts w:ascii="Arial" w:cs="Arial" w:eastAsia="Arial" w:hAnsi="Arial"/>
                <w:sz w:val="18"/>
                <w:szCs w:val="18"/>
              </w:rPr>
              <w:t xml:space="preserve">✅ Strong</w:t>
            </w:r>
          </w:p>
        </w:tc>
        <w:tc>
          <w:tcPr>
            <w:tcW w:type="dxa" w:w="2108"/>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rPr>
                <w:rFonts w:ascii="Arial" w:cs="Arial" w:eastAsia="Arial" w:hAnsi="Arial"/>
                <w:sz w:val="18"/>
                <w:szCs w:val="18"/>
              </w:rPr>
              <w:t xml:space="preserve">❌ Poor</w:t>
            </w:r>
          </w:p>
        </w:tc>
      </w:tr>
      <w:tr>
        <w:tc>
          <w:tcPr>
            <w:tcW w:type="dxa" w:w="27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Literature maturity</w:t>
            </w:r>
          </w:p>
        </w:tc>
        <w:tc>
          <w:tcPr>
            <w:tcW w:type="dxa" w:w="21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Very high</w:t>
            </w:r>
          </w:p>
        </w:tc>
        <w:tc>
          <w:tcPr>
            <w:tcW w:type="dxa" w:w="21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High</w:t>
            </w:r>
          </w:p>
        </w:tc>
        <w:tc>
          <w:tcPr>
            <w:tcW w:type="dxa" w:w="21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High (diff. applications)</w:t>
            </w:r>
          </w:p>
        </w:tc>
      </w:tr>
    </w:tbl>
    <w:p>
      <w:pPr>
        <w:spacing w:after="80" w:before="0"/>
      </w:pPr>
      <w:r>
        <w:t xml:space="preserve"/>
      </w:r>
    </w:p>
    <w:p>
      <w:pPr>
        <w:spacing w:after="120" w:before="300"/>
      </w:pPr>
      <w:r>
        <w:rPr>
          <w:rFonts w:ascii="Arial" w:cs="Arial" w:eastAsia="Arial" w:hAnsi="Arial"/>
          <w:b/>
          <w:bCs/>
          <w:color w:val="1F3864"/>
          <w:sz w:val="28"/>
          <w:szCs w:val="28"/>
        </w:rPr>
        <w:t xml:space="preserve">3. Flying Capacitor Justification with IEEE Literature</w:t>
      </w:r>
    </w:p>
    <w:p>
      <w:pPr>
        <w:spacing w:after="100" w:before="240"/>
      </w:pPr>
      <w:r>
        <w:rPr>
          <w:rFonts w:ascii="Arial" w:cs="Arial" w:eastAsia="Arial" w:hAnsi="Arial"/>
          <w:b/>
          <w:bCs/>
          <w:color w:val="2E5FAA"/>
          <w:sz w:val="22"/>
          <w:szCs w:val="22"/>
        </w:rPr>
        <w:t xml:space="preserve">3.1 Reduced Device Voltage Stress at 800V</w:t>
      </w:r>
    </w:p>
    <w:p>
      <w:pPr>
        <w:spacing w:after="80" w:before="60"/>
      </w:pPr>
      <w:r>
        <w:rPr>
          <w:rFonts w:ascii="Arial" w:cs="Arial" w:eastAsia="Arial" w:hAnsi="Arial"/>
          <w:i w:val="false"/>
          <w:iCs w:val="false"/>
          <w:sz w:val="20"/>
          <w:szCs w:val="20"/>
        </w:rPr>
        <w:t xml:space="preserve">At 800V, the three-level FC topology limits each device to only 400V (Vdc/2), enabling 650V-rated SiC MOSFETs rather than 1200V+ devices.</w:t>
      </w:r>
    </w:p>
    <w:p>
      <w:pPr>
        <w:spacing w:after="80" w:before="60"/>
        <w:ind w:left="360"/>
      </w:pPr>
      <w:r>
        <w:rPr>
          <w:rFonts w:ascii="Arial" w:cs="Arial" w:eastAsia="Arial" w:hAnsi="Arial"/>
          <w:i/>
          <w:iCs/>
          <w:color w:val="555555"/>
          <w:sz w:val="18"/>
          <w:szCs w:val="18"/>
        </w:rPr>
        <w:t xml:space="preserve">Cite: Avinash et al., APEC 2024 — as reported in Power Electronics News, Nov. 2024</w:t>
      </w:r>
    </w:p>
    <w:p>
      <w:pPr>
        <w:spacing w:after="100" w:before="240"/>
      </w:pPr>
      <w:r>
        <w:rPr>
          <w:rFonts w:ascii="Arial" w:cs="Arial" w:eastAsia="Arial" w:hAnsi="Arial"/>
          <w:b/>
          <w:bCs/>
          <w:color w:val="2E5FAA"/>
          <w:sz w:val="22"/>
          <w:szCs w:val="22"/>
        </w:rPr>
        <w:t xml:space="preserve">3.2 Natural Capacitor Voltage Balancing (Advantage over NPC)</w:t>
      </w:r>
    </w:p>
    <w:p>
      <w:pPr>
        <w:spacing w:after="80" w:before="60"/>
      </w:pPr>
      <w:r>
        <w:rPr>
          <w:rFonts w:ascii="Arial" w:cs="Arial" w:eastAsia="Arial" w:hAnsi="Arial"/>
          <w:i w:val="false"/>
          <w:iCs w:val="false"/>
          <w:sz w:val="20"/>
          <w:szCs w:val="20"/>
        </w:rPr>
        <w:t xml:space="preserve">Flying capacitor multilevel converters naturally balance capacitor voltages through phase-shifted PWM (PS-PWM). For even-level converters (such as this three-level design), immunity to source impedance is significantly better than for odd-level topologies. In practice, active balancing may still be required depending on source impedance conditions.</w:t>
      </w:r>
    </w:p>
    <w:p>
      <w:pPr>
        <w:spacing w:after="80" w:before="60"/>
        <w:ind w:left="360"/>
      </w:pPr>
      <w:r>
        <w:rPr>
          <w:rFonts w:ascii="Arial" w:cs="Arial" w:eastAsia="Arial" w:hAnsi="Arial"/>
          <w:i/>
          <w:iCs/>
          <w:color w:val="555555"/>
          <w:sz w:val="18"/>
          <w:szCs w:val="18"/>
        </w:rPr>
        <w:t xml:space="preserve">Cite: Pilawa-Podgurski et al., IEEE COMPEL 2017 — DOI: 10.1109/COMPEL.2017.8013368</w:t>
      </w:r>
    </w:p>
    <w:p>
      <w:pPr>
        <w:spacing w:after="80" w:before="60"/>
      </w:pPr>
      <w:r>
        <w:rPr>
          <w:rFonts w:ascii="Arial" w:cs="Arial" w:eastAsia="Arial" w:hAnsi="Arial"/>
          <w:i w:val="false"/>
          <w:iCs w:val="false"/>
          <w:sz w:val="20"/>
          <w:szCs w:val="20"/>
        </w:rPr>
        <w:t xml:space="preserve">Phase Disposition (PD) PWM is recommended as modulation strategy, offering superior balancing characteristics by placing more spectral energy into differential-mode sideband harmonics.</w:t>
      </w:r>
    </w:p>
    <w:p>
      <w:pPr>
        <w:spacing w:after="80" w:before="60"/>
        <w:ind w:left="360"/>
      </w:pPr>
      <w:r>
        <w:rPr>
          <w:rFonts w:ascii="Arial" w:cs="Arial" w:eastAsia="Arial" w:hAnsi="Arial"/>
          <w:i/>
          <w:iCs/>
          <w:color w:val="555555"/>
          <w:sz w:val="18"/>
          <w:szCs w:val="18"/>
        </w:rPr>
        <w:t xml:space="preserve">Cite: McGrath &amp; Holmes, IEEE Trans. Power Electron., vol. 26, Jul. 2011 — DOI: 10.1109/TPEL.2010.2097279</w:t>
      </w:r>
    </w:p>
    <w:p>
      <w:pPr>
        <w:spacing w:after="100" w:before="240"/>
      </w:pPr>
      <w:r>
        <w:rPr>
          <w:rFonts w:ascii="Arial" w:cs="Arial" w:eastAsia="Arial" w:hAnsi="Arial"/>
          <w:b/>
          <w:bCs/>
          <w:color w:val="2E5FAA"/>
          <w:sz w:val="22"/>
          <w:szCs w:val="22"/>
        </w:rPr>
        <w:t xml:space="preserve">3.3 Fault Tolerance and Bidirectional Symmetry for Integrated Charging</w:t>
      </w:r>
    </w:p>
    <w:p>
      <w:pPr>
        <w:spacing w:after="80" w:before="60"/>
      </w:pPr>
      <w:r>
        <w:rPr>
          <w:rFonts w:ascii="Arial" w:cs="Arial" w:eastAsia="Arial" w:hAnsi="Arial"/>
          <w:i w:val="false"/>
          <w:iCs w:val="false"/>
          <w:sz w:val="20"/>
          <w:szCs w:val="20"/>
        </w:rPr>
        <w:t xml:space="preserve">The FC topology has higher fault tolerance than NPC, with the capacitor providing short-circuit protection during zero-volt switching states. FC handles bidirectional current naturally and symmetrically — critical for integrated DC charging where current flows in the reverse direction through the inverter and motor windings (analogous to the Hyundai Ioniq and Lucid Air architecture).</w:t>
      </w:r>
    </w:p>
    <w:p>
      <w:pPr>
        <w:spacing w:after="80" w:before="60"/>
        <w:ind w:left="360"/>
      </w:pPr>
      <w:r>
        <w:rPr>
          <w:rFonts w:ascii="Arial" w:cs="Arial" w:eastAsia="Arial" w:hAnsi="Arial"/>
          <w:i/>
          <w:iCs/>
          <w:color w:val="555555"/>
          <w:sz w:val="18"/>
          <w:szCs w:val="18"/>
        </w:rPr>
        <w:t xml:space="preserve">Cite: Fernandez et al., IEEE APEC 2022 — DOI: 10.1109/APEC43599.2022.9773520</w:t>
      </w:r>
    </w:p>
    <w:p>
      <w:pPr>
        <w:spacing w:after="100" w:before="240"/>
      </w:pPr>
      <w:r>
        <w:rPr>
          <w:rFonts w:ascii="Arial" w:cs="Arial" w:eastAsia="Arial" w:hAnsi="Arial"/>
          <w:b/>
          <w:bCs/>
          <w:color w:val="2E5FAA"/>
          <w:sz w:val="22"/>
          <w:szCs w:val="22"/>
        </w:rPr>
        <w:t xml:space="preserve">3.4 Superior Output Waveform Quality (Lower THD, Lower dV/dt)</w:t>
      </w:r>
    </w:p>
    <w:p>
      <w:pPr>
        <w:spacing w:after="80" w:before="60"/>
      </w:pPr>
      <w:r>
        <w:rPr>
          <w:rFonts w:ascii="Arial" w:cs="Arial" w:eastAsia="Arial" w:hAnsi="Arial"/>
          <w:i w:val="false"/>
          <w:iCs w:val="false"/>
          <w:sz w:val="20"/>
          <w:szCs w:val="20"/>
        </w:rPr>
        <w:t xml:space="preserve">The FC topology achieves significantly lower THD than two-level inverters, with reduced voltage stress and improved EMI behavior across the full drive cycle frequency range.</w:t>
      </w:r>
    </w:p>
    <w:p>
      <w:pPr>
        <w:spacing w:after="80" w:before="60"/>
        <w:ind w:left="360"/>
      </w:pPr>
      <w:r>
        <w:rPr>
          <w:rFonts w:ascii="Arial" w:cs="Arial" w:eastAsia="Arial" w:hAnsi="Arial"/>
          <w:i/>
          <w:iCs/>
          <w:color w:val="555555"/>
          <w:sz w:val="18"/>
          <w:szCs w:val="18"/>
        </w:rPr>
        <w:t xml:space="preserve">Cite: Teichmann &amp; Bernet, 2005; ScienceDirect Topics: Flying-Capacitor Inverter</w:t>
      </w:r>
    </w:p>
    <w:p>
      <w:pPr>
        <w:spacing w:after="100" w:before="240"/>
      </w:pPr>
      <w:r>
        <w:rPr>
          <w:rFonts w:ascii="Arial" w:cs="Arial" w:eastAsia="Arial" w:hAnsi="Arial"/>
          <w:b/>
          <w:bCs/>
          <w:color w:val="2E5FAA"/>
          <w:sz w:val="22"/>
          <w:szCs w:val="22"/>
        </w:rPr>
        <w:t xml:space="preserve">3.5 High Power Density Validated in EV Charging Applications</w:t>
      </w:r>
    </w:p>
    <w:p>
      <w:pPr>
        <w:spacing w:after="80" w:before="60"/>
      </w:pPr>
      <w:r>
        <w:rPr>
          <w:rFonts w:ascii="Arial" w:cs="Arial" w:eastAsia="Arial" w:hAnsi="Arial"/>
          <w:i w:val="false"/>
          <w:iCs w:val="false"/>
          <w:sz w:val="20"/>
          <w:szCs w:val="20"/>
        </w:rPr>
        <w:t xml:space="preserve">A single-phase bidirectional on-board charger based on the FC multilevel topology has demonstrated a peak efficiency of 99.01% at 6.6 kW, validating the topology's viability in the dual traction/charging role targeted by this project.</w:t>
      </w:r>
    </w:p>
    <w:p>
      <w:pPr>
        <w:spacing w:after="80" w:before="60"/>
        <w:ind w:left="360"/>
      </w:pPr>
      <w:r>
        <w:rPr>
          <w:rFonts w:ascii="Arial" w:cs="Arial" w:eastAsia="Arial" w:hAnsi="Arial"/>
          <w:i/>
          <w:iCs/>
          <w:color w:val="555555"/>
          <w:sz w:val="18"/>
          <w:szCs w:val="18"/>
        </w:rPr>
        <w:t xml:space="preserve">Cite: Pilawa-Podgurski research group — IEEE APEC (ResearchGate, DOI: 10.1109/APEL.2017.7811253)</w:t>
      </w:r>
    </w:p>
    <w:p>
      <w:pPr>
        <w:spacing w:after="120" w:before="300"/>
      </w:pPr>
      <w:r>
        <w:rPr>
          <w:rFonts w:ascii="Arial" w:cs="Arial" w:eastAsia="Arial" w:hAnsi="Arial"/>
          <w:b/>
          <w:bCs/>
          <w:color w:val="1F3864"/>
          <w:sz w:val="28"/>
          <w:szCs w:val="28"/>
        </w:rPr>
        <w:t xml:space="preserve">4. Alternative Consideration: Dual-Battery CHB (Cybertruck Architecture)</w:t>
      </w:r>
    </w:p>
    <w:p>
      <w:pPr>
        <w:spacing w:after="80" w:before="60"/>
      </w:pPr>
      <w:r>
        <w:rPr>
          <w:rFonts w:ascii="Arial" w:cs="Arial" w:eastAsia="Arial" w:hAnsi="Arial"/>
          <w:i w:val="false"/>
          <w:iCs w:val="false"/>
          <w:sz w:val="20"/>
          <w:szCs w:val="20"/>
        </w:rPr>
        <w:t xml:space="preserve">An important alternative arises when the vehicle uses two separate battery packs, as in the Tesla Cybertruck (front and rear 400V packs). This rehabilitates the CHB topology eliminated in Section 2.</w:t>
      </w:r>
    </w:p>
    <w:p>
      <w:pPr>
        <w:spacing w:after="100" w:before="240"/>
      </w:pPr>
      <w:r>
        <w:rPr>
          <w:rFonts w:ascii="Arial" w:cs="Arial" w:eastAsia="Arial" w:hAnsi="Arial"/>
          <w:b/>
          <w:bCs/>
          <w:color w:val="2E5FAA"/>
          <w:sz w:val="22"/>
          <w:szCs w:val="22"/>
        </w:rPr>
        <w:t xml:space="preserve">4.1 How Dual-Battery CHB Works</w:t>
      </w:r>
    </w:p>
    <w:p>
      <w:pPr>
        <w:spacing w:after="80" w:before="60"/>
      </w:pPr>
      <w:r>
        <w:rPr>
          <w:rFonts w:ascii="Arial" w:cs="Arial" w:eastAsia="Arial" w:hAnsi="Arial"/>
          <w:i w:val="false"/>
          <w:iCs w:val="false"/>
          <w:sz w:val="20"/>
          <w:szCs w:val="20"/>
        </w:rPr>
        <w:t xml:space="preserve">Each 400V battery feeds its own H-bridge module; the two are series-connected to produce a natural five-level output (−800V, −400V, 0, +400V, +800V), providing lower THD than the three-level FC output.</w:t>
      </w:r>
    </w:p>
    <w:p>
      <w:pPr>
        <w:spacing w:after="100" w:before="240"/>
      </w:pPr>
      <w:r>
        <w:rPr>
          <w:rFonts w:ascii="Arial" w:cs="Arial" w:eastAsia="Arial" w:hAnsi="Arial"/>
          <w:b/>
          <w:bCs/>
          <w:color w:val="2E5FAA"/>
          <w:sz w:val="22"/>
          <w:szCs w:val="22"/>
        </w:rPr>
        <w:t xml:space="preserve">4.2 Traction Advantages of Dual-Battery CHB</w:t>
      </w:r>
    </w:p>
    <w:p>
      <w:pPr>
        <w:pStyle w:val="ListParagraph"/>
        <w:numPr>
          <w:ilvl w:val="0"/>
          <w:numId w:val="2"/>
        </w:numPr>
        <w:spacing w:after="40" w:before="40"/>
      </w:pPr>
      <w:r>
        <w:rPr>
          <w:rFonts w:ascii="Arial" w:cs="Arial" w:eastAsia="Arial" w:hAnsi="Arial"/>
          <w:sz w:val="20"/>
          <w:szCs w:val="20"/>
        </w:rPr>
        <w:t xml:space="preserve">Five output voltage levels vs. three for FC/NPC — lower THD inherently.</w:t>
      </w:r>
    </w:p>
    <w:p>
      <w:pPr>
        <w:pStyle w:val="ListParagraph"/>
        <w:numPr>
          <w:ilvl w:val="0"/>
          <w:numId w:val="2"/>
        </w:numPr>
        <w:spacing w:after="40" w:before="40"/>
      </w:pPr>
      <w:r>
        <w:rPr>
          <w:rFonts w:ascii="Arial" w:cs="Arial" w:eastAsia="Arial" w:hAnsi="Arial"/>
          <w:sz w:val="20"/>
          <w:szCs w:val="20"/>
        </w:rPr>
        <w:t xml:space="preserve">Independent pack energy management with real-time power balance control.</w:t>
      </w:r>
    </w:p>
    <w:p>
      <w:pPr>
        <w:pStyle w:val="ListParagraph"/>
        <w:numPr>
          <w:ilvl w:val="0"/>
          <w:numId w:val="2"/>
        </w:numPr>
        <w:spacing w:after="40" w:before="40"/>
      </w:pPr>
      <w:r>
        <w:rPr>
          <w:rFonts w:ascii="Arial" w:cs="Arial" w:eastAsia="Arial" w:hAnsi="Arial"/>
          <w:sz w:val="20"/>
          <w:szCs w:val="20"/>
        </w:rPr>
        <w:t xml:space="preserve">No flying capacitors or clamping diodes required.</w:t>
      </w:r>
    </w:p>
    <w:p>
      <w:pPr>
        <w:pStyle w:val="ListParagraph"/>
        <w:numPr>
          <w:ilvl w:val="0"/>
          <w:numId w:val="2"/>
        </w:numPr>
        <w:spacing w:after="40" w:before="40"/>
      </w:pPr>
      <w:r>
        <w:rPr>
          <w:rFonts w:ascii="Arial" w:cs="Arial" w:eastAsia="Arial" w:hAnsi="Arial"/>
          <w:sz w:val="20"/>
          <w:szCs w:val="20"/>
        </w:rPr>
        <w:t xml:space="preserve">Same 400V device blocking voltage — 650V SiC MOSFETs remain appropriate.</w:t>
      </w:r>
    </w:p>
    <w:p>
      <w:pPr>
        <w:spacing w:after="100" w:before="240"/>
      </w:pPr>
      <w:r>
        <w:rPr>
          <w:rFonts w:ascii="Arial" w:cs="Arial" w:eastAsia="Arial" w:hAnsi="Arial"/>
          <w:b/>
          <w:bCs/>
          <w:color w:val="2E5FAA"/>
          <w:sz w:val="22"/>
          <w:szCs w:val="22"/>
        </w:rPr>
        <w:t xml:space="preserve">4.3 Charging Disadvantage</w:t>
      </w:r>
    </w:p>
    <w:p>
      <w:pPr>
        <w:spacing w:after="80" w:before="60"/>
      </w:pPr>
      <w:r>
        <w:rPr>
          <w:rFonts w:ascii="Arial" w:cs="Arial" w:eastAsia="Arial" w:hAnsi="Arial"/>
          <w:i w:val="false"/>
          <w:iCs w:val="false"/>
          <w:sz w:val="20"/>
          <w:szCs w:val="20"/>
        </w:rPr>
        <w:t xml:space="preserve">In integrated charging mode, each H-bridge must charge its own battery independently. For DC fast charging, pack reconfiguration (series for 800V traction vs. parallel for 400V charging) requires contactor switching hardware, increasing cost and reducing reliability. This is the Cybertruck’s practical solution.</w:t>
      </w:r>
    </w:p>
    <w:p>
      <w:pPr>
        <w:spacing w:after="100" w:before="240"/>
      </w:pPr>
      <w:r>
        <w:rPr>
          <w:rFonts w:ascii="Arial" w:cs="Arial" w:eastAsia="Arial" w:hAnsi="Arial"/>
          <w:b/>
          <w:bCs/>
          <w:color w:val="2E5FAA"/>
          <w:sz w:val="22"/>
          <w:szCs w:val="22"/>
        </w:rPr>
        <w:t xml:space="preserve">4.4 Comparative Summary</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6"/>
        <w:gridCol w:w="3260"/>
        <w:gridCol w:w="3260"/>
      </w:tblGrid>
      <w:tr>
        <w:tc>
          <w:tcPr>
            <w:tcW w:type="dxa" w:w="250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Criterion</w:t>
            </w:r>
          </w:p>
        </w:tc>
        <w:tc>
          <w:tcPr>
            <w:tcW w:type="dxa" w:w="32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Single-Pack FC (This Project)</w:t>
            </w:r>
          </w:p>
        </w:tc>
        <w:tc>
          <w:tcPr>
            <w:tcW w:type="dxa" w:w="32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Dual-Pack CHB (Cybertruck-style)</w:t>
            </w:r>
          </w:p>
        </w:tc>
      </w:tr>
      <w:tr>
        <w:tc>
          <w:tcPr>
            <w:tcW w:type="dxa" w:w="25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Output voltage levels</w:t>
            </w:r>
          </w:p>
        </w:tc>
        <w:tc>
          <w:tcPr>
            <w:tcW w:type="dxa" w:w="326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rPr>
                <w:rFonts w:ascii="Arial" w:cs="Arial" w:eastAsia="Arial" w:hAnsi="Arial"/>
                <w:sz w:val="18"/>
                <w:szCs w:val="18"/>
              </w:rPr>
              <w:t xml:space="preserve">3</w:t>
            </w:r>
          </w:p>
        </w:tc>
        <w:tc>
          <w:tcPr>
            <w:tcW w:type="dxa" w:w="326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rPr>
                <w:rFonts w:ascii="Arial" w:cs="Arial" w:eastAsia="Arial" w:hAnsi="Arial"/>
                <w:sz w:val="18"/>
                <w:szCs w:val="18"/>
              </w:rPr>
              <w:t xml:space="preserve">5</w:t>
            </w:r>
          </w:p>
        </w:tc>
      </w:tr>
      <w:tr>
        <w:tc>
          <w:tcPr>
            <w:tcW w:type="dxa" w:w="25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THD performance</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Good</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Better</w:t>
            </w:r>
          </w:p>
        </w:tc>
      </w:tr>
      <w:tr>
        <w:tc>
          <w:tcPr>
            <w:tcW w:type="dxa" w:w="25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Independent pack balancing</w:t>
            </w:r>
          </w:p>
        </w:tc>
        <w:tc>
          <w:tcPr>
            <w:tcW w:type="dxa" w:w="326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rPr>
                <w:rFonts w:ascii="Arial" w:cs="Arial" w:eastAsia="Arial" w:hAnsi="Arial"/>
                <w:sz w:val="18"/>
                <w:szCs w:val="18"/>
              </w:rPr>
              <w:t xml:space="preserve">❌ Not possible</w:t>
            </w:r>
          </w:p>
        </w:tc>
        <w:tc>
          <w:tcPr>
            <w:tcW w:type="dxa" w:w="326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rPr>
                <w:rFonts w:ascii="Arial" w:cs="Arial" w:eastAsia="Arial" w:hAnsi="Arial"/>
                <w:sz w:val="18"/>
                <w:szCs w:val="18"/>
              </w:rPr>
              <w:t xml:space="preserve">✅ Active balancing possible</w:t>
            </w:r>
          </w:p>
        </w:tc>
      </w:tr>
      <w:tr>
        <w:tc>
          <w:tcPr>
            <w:tcW w:type="dxa" w:w="25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DC fast charging</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Direct, simple</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Requires pack reconfiguration</w:t>
            </w:r>
          </w:p>
        </w:tc>
      </w:tr>
      <w:tr>
        <w:tc>
          <w:tcPr>
            <w:tcW w:type="dxa" w:w="25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AC integrated charging</w:t>
            </w:r>
          </w:p>
        </w:tc>
        <w:tc>
          <w:tcPr>
            <w:tcW w:type="dxa" w:w="326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rPr>
                <w:rFonts w:ascii="Arial" w:cs="Arial" w:eastAsia="Arial" w:hAnsi="Arial"/>
                <w:sz w:val="18"/>
                <w:szCs w:val="18"/>
              </w:rPr>
              <w:t xml:space="preserve">✅ Clean (Hyundai/Lucid style)</w:t>
            </w:r>
          </w:p>
        </w:tc>
        <w:tc>
          <w:tcPr>
            <w:tcW w:type="dxa" w:w="326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rPr>
                <w:rFonts w:ascii="Arial" w:cs="Arial" w:eastAsia="Arial" w:hAnsi="Arial"/>
                <w:sz w:val="18"/>
                <w:szCs w:val="18"/>
              </w:rPr>
              <w:t xml:space="preserve">⚠️ Complex dual-controller coordination</w:t>
            </w:r>
          </w:p>
        </w:tc>
      </w:tr>
      <w:tr>
        <w:tc>
          <w:tcPr>
            <w:tcW w:type="dxa" w:w="25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Hardware reconfiguration</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Not required</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Contactors needed (series ⇔ parallel)</w:t>
            </w:r>
          </w:p>
        </w:tc>
      </w:tr>
      <w:tr>
        <w:tc>
          <w:tcPr>
            <w:tcW w:type="dxa" w:w="25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Control complexity</w:t>
            </w:r>
          </w:p>
        </w:tc>
        <w:tc>
          <w:tcPr>
            <w:tcW w:type="dxa" w:w="326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rPr>
                <w:rFonts w:ascii="Arial" w:cs="Arial" w:eastAsia="Arial" w:hAnsi="Arial"/>
                <w:sz w:val="18"/>
                <w:szCs w:val="18"/>
              </w:rPr>
              <w:t xml:space="preserve">Moderate</w:t>
            </w:r>
          </w:p>
        </w:tc>
        <w:tc>
          <w:tcPr>
            <w:tcW w:type="dxa" w:w="326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rPr>
                <w:rFonts w:ascii="Arial" w:cs="Arial" w:eastAsia="Arial" w:hAnsi="Arial"/>
                <w:sz w:val="18"/>
                <w:szCs w:val="18"/>
              </w:rPr>
              <w:t xml:space="preserve">Higher</w:t>
            </w:r>
          </w:p>
        </w:tc>
      </w:tr>
      <w:tr>
        <w:tc>
          <w:tcPr>
            <w:tcW w:type="dxa" w:w="25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Best suited for</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Traction + integrated charging</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High-performance traction, separate charging</w:t>
            </w:r>
          </w:p>
        </w:tc>
      </w:tr>
    </w:tbl>
    <w:p>
      <w:pPr>
        <w:spacing w:after="80" w:before="0"/>
      </w:pPr>
      <w:r>
        <w:t xml:space="preserve"/>
      </w:r>
    </w:p>
    <w:p>
      <w:pPr>
        <w:spacing w:after="100" w:before="240"/>
      </w:pPr>
      <w:r>
        <w:rPr>
          <w:rFonts w:ascii="Arial" w:cs="Arial" w:eastAsia="Arial" w:hAnsi="Arial"/>
          <w:b/>
          <w:bCs/>
          <w:color w:val="2E5FAA"/>
          <w:sz w:val="22"/>
          <w:szCs w:val="22"/>
        </w:rPr>
        <w:t xml:space="preserve">4.5 Scope Statement for IEEE Paper</w:t>
      </w:r>
    </w:p>
    <w:p>
      <w:pPr>
        <w:spacing w:after="80" w:before="60"/>
      </w:pPr>
      <w:r>
        <w:rPr>
          <w:rFonts w:ascii="Arial" w:cs="Arial" w:eastAsia="Arial" w:hAnsi="Arial"/>
          <w:i w:val="false"/>
          <w:iCs w:val="false"/>
          <w:sz w:val="20"/>
          <w:szCs w:val="20"/>
        </w:rPr>
        <w:t xml:space="preserve">The dual-battery CHB architecture presents genuine traction performance advantages. However, the increased charging complexity places it outside the scope of this work, which targets an integrated traction and DC charging solution from a single 800V source. The FC topology is therefore retained.</w:t>
      </w:r>
    </w:p>
    <w:p>
      <w:pPr>
        <w:spacing w:after="120" w:before="300"/>
      </w:pPr>
      <w:r>
        <w:rPr>
          <w:rFonts w:ascii="Arial" w:cs="Arial" w:eastAsia="Arial" w:hAnsi="Arial"/>
          <w:b/>
          <w:bCs/>
          <w:color w:val="1F3864"/>
          <w:sz w:val="28"/>
          <w:szCs w:val="28"/>
        </w:rPr>
        <w:t xml:space="preserve">5. Final Selection Summary</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10"/>
        <w:gridCol w:w="5516"/>
      </w:tblGrid>
      <w:tr>
        <w:tc>
          <w:tcPr>
            <w:tcW w:type="dxa" w:w="351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Parameter</w:t>
            </w:r>
          </w:p>
        </w:tc>
        <w:tc>
          <w:tcPr>
            <w:tcW w:type="dxa" w:w="551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Selected Value / Choice</w:t>
            </w:r>
          </w:p>
        </w:tc>
      </w:tr>
      <w:tr>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Topology</w:t>
            </w:r>
          </w:p>
        </w:tc>
        <w:tc>
          <w:tcPr>
            <w:tcW w:type="dxa" w:w="5516"/>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rPr>
                <w:rFonts w:ascii="Arial" w:cs="Arial" w:eastAsia="Arial" w:hAnsi="Arial"/>
                <w:sz w:val="18"/>
                <w:szCs w:val="18"/>
              </w:rPr>
              <w:t xml:space="preserve">Three-Level Flying Capacitor (FC)</w:t>
            </w:r>
          </w:p>
        </w:tc>
      </w:tr>
      <w:tr>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DC Bus Voltage</w:t>
            </w:r>
          </w:p>
        </w:tc>
        <w:tc>
          <w:tcPr>
            <w:tcW w:type="dxa" w:w="551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800V</w:t>
            </w:r>
          </w:p>
        </w:tc>
      </w:tr>
      <w:tr>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Max Device Blocking Voltage</w:t>
            </w:r>
          </w:p>
        </w:tc>
        <w:tc>
          <w:tcPr>
            <w:tcW w:type="dxa" w:w="5516"/>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rPr>
                <w:rFonts w:ascii="Arial" w:cs="Arial" w:eastAsia="Arial" w:hAnsi="Arial"/>
                <w:sz w:val="18"/>
                <w:szCs w:val="18"/>
              </w:rPr>
              <w:t xml:space="preserve">400V (Vdc/2)</w:t>
            </w:r>
          </w:p>
        </w:tc>
      </w:tr>
      <w:tr>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Device Voltage Rating</w:t>
            </w:r>
          </w:p>
        </w:tc>
        <w:tc>
          <w:tcPr>
            <w:tcW w:type="dxa" w:w="551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650V (with derating factor ~1.5×)</w:t>
            </w:r>
          </w:p>
        </w:tc>
      </w:tr>
      <w:tr>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Device Technology</w:t>
            </w:r>
          </w:p>
        </w:tc>
        <w:tc>
          <w:tcPr>
            <w:tcW w:type="dxa" w:w="5516"/>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rPr>
                <w:rFonts w:ascii="Arial" w:cs="Arial" w:eastAsia="Arial" w:hAnsi="Arial"/>
                <w:sz w:val="18"/>
                <w:szCs w:val="18"/>
              </w:rPr>
              <w:t xml:space="preserve">SiC MOSFET (preferred for 800V EV)</w:t>
            </w:r>
          </w:p>
        </w:tc>
      </w:tr>
      <w:tr>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Estimated Peak Phase Current</w:t>
            </w:r>
          </w:p>
        </w:tc>
        <w:tc>
          <w:tcPr>
            <w:tcW w:type="dxa" w:w="551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~250A (from RL load at low fundamental frequency)</w:t>
            </w:r>
          </w:p>
        </w:tc>
      </w:tr>
      <w:tr>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Device Current Rating</w:t>
            </w:r>
          </w:p>
        </w:tc>
        <w:tc>
          <w:tcPr>
            <w:tcW w:type="dxa" w:w="5516"/>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rPr>
                <w:rFonts w:ascii="Arial" w:cs="Arial" w:eastAsia="Arial" w:hAnsi="Arial"/>
                <w:sz w:val="18"/>
                <w:szCs w:val="18"/>
              </w:rPr>
              <w:t xml:space="preserve">300–600A (derated)</w:t>
            </w:r>
          </w:p>
        </w:tc>
      </w:tr>
      <w:tr>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Fundamental Frequency Range</w:t>
            </w:r>
          </w:p>
        </w:tc>
        <w:tc>
          <w:tcPr>
            <w:tcW w:type="dxa" w:w="551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~17 Hz – 200 Hz (drive cycle)</w:t>
            </w:r>
          </w:p>
        </w:tc>
      </w:tr>
      <w:tr>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Switching Frequency</w:t>
            </w:r>
          </w:p>
        </w:tc>
        <w:tc>
          <w:tcPr>
            <w:tcW w:type="dxa" w:w="5516"/>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rPr>
                <w:rFonts w:ascii="Arial" w:cs="Arial" w:eastAsia="Arial" w:hAnsi="Arial"/>
                <w:sz w:val="18"/>
                <w:szCs w:val="18"/>
              </w:rPr>
              <w:t xml:space="preserve">5 kHz (urban) → 20 kHz (highway)</w:t>
            </w:r>
          </w:p>
        </w:tc>
      </w:tr>
      <w:tr>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Modulation Strategy</w:t>
            </w:r>
          </w:p>
        </w:tc>
        <w:tc>
          <w:tcPr>
            <w:tcW w:type="dxa" w:w="551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Phase Disposition PWM (PD-PWM)</w:t>
            </w:r>
          </w:p>
        </w:tc>
      </w:tr>
      <w:tr>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Clamping Elements</w:t>
            </w:r>
          </w:p>
        </w:tc>
        <w:tc>
          <w:tcPr>
            <w:tcW w:type="dxa" w:w="5516"/>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rPr>
                <w:rFonts w:ascii="Arial" w:cs="Arial" w:eastAsia="Arial" w:hAnsi="Arial"/>
                <w:sz w:val="18"/>
                <w:szCs w:val="18"/>
              </w:rPr>
              <w:t xml:space="preserve">Flying capacitors (Vc = Vdc/2 = 400V)</w:t>
            </w:r>
          </w:p>
        </w:tc>
      </w:tr>
      <w:tr>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Charging Mode Compatibility</w:t>
            </w:r>
          </w:p>
        </w:tc>
        <w:tc>
          <w:tcPr>
            <w:tcW w:type="dxa" w:w="551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Bidirectional — FC acts as integrated OBC</w:t>
            </w:r>
          </w:p>
        </w:tc>
      </w:tr>
    </w:tbl>
    <w:p>
      <w:pPr>
        <w:spacing w:after="80" w:before="0"/>
      </w:pPr>
      <w:r>
        <w:t xml:space="preserve"/>
      </w:r>
    </w:p>
    <w:p>
      <w:pPr>
        <w:spacing w:after="120" w:before="300"/>
      </w:pPr>
      <w:r>
        <w:rPr>
          <w:rFonts w:ascii="Arial" w:cs="Arial" w:eastAsia="Arial" w:hAnsi="Arial"/>
          <w:b/>
          <w:bCs/>
          <w:color w:val="1F3864"/>
          <w:sz w:val="28"/>
          <w:szCs w:val="28"/>
        </w:rPr>
        <w:t xml:space="preserve">6. Flying Capacitor Sizing and Component Selection</w:t>
      </w:r>
    </w:p>
    <w:p>
      <w:pPr>
        <w:spacing w:after="80" w:before="60"/>
      </w:pPr>
      <w:r>
        <w:rPr>
          <w:rFonts w:ascii="Arial" w:cs="Arial" w:eastAsia="Arial" w:hAnsi="Arial"/>
          <w:i w:val="false"/>
          <w:iCs w:val="false"/>
          <w:sz w:val="20"/>
          <w:szCs w:val="20"/>
        </w:rPr>
        <w:t xml:space="preserve">The flying capacitor is the defining passive component of the FC topology. Unlike NPC clamping diodes, it participates in switching state transitions and must maintain Vdc/2 = 400V within a defined ripple budget. Correct sizing ensures both voltage balancing integrity and acceptable ripple current stress.</w:t>
      </w:r>
    </w:p>
    <w:p>
      <w:pPr>
        <w:spacing w:after="100" w:before="240"/>
      </w:pPr>
      <w:r>
        <w:rPr>
          <w:rFonts w:ascii="Arial" w:cs="Arial" w:eastAsia="Arial" w:hAnsi="Arial"/>
          <w:b/>
          <w:bCs/>
          <w:color w:val="2E5FAA"/>
          <w:sz w:val="22"/>
          <w:szCs w:val="22"/>
        </w:rPr>
        <w:t xml:space="preserve">6.1 Design Methodology</w:t>
      </w:r>
    </w:p>
    <w:p>
      <w:pPr>
        <w:spacing w:after="80" w:before="60"/>
      </w:pPr>
      <w:r>
        <w:rPr>
          <w:rFonts w:ascii="Arial" w:cs="Arial" w:eastAsia="Arial" w:hAnsi="Arial"/>
          <w:i w:val="false"/>
          <w:iCs w:val="false"/>
          <w:sz w:val="20"/>
          <w:szCs w:val="20"/>
        </w:rPr>
        <w:t xml:space="preserve">The capacitor must absorb the net charge imbalance during each switching period. The peak-to-peak voltage ripple is given by:</w:t>
      </w:r>
    </w:p>
    <w:p>
      <w:pPr>
        <w:spacing w:after="80" w:before="80"/>
        <w:jc w:val="center"/>
      </w:pPr>
      <w:r>
        <w:rPr>
          <w:rFonts w:ascii="Courier New" w:cs="Courier New" w:eastAsia="Courier New" w:hAnsi="Courier New"/>
          <w:b/>
          <w:bCs/>
          <w:sz w:val="22"/>
          <w:szCs w:val="22"/>
        </w:rPr>
        <w:t xml:space="preserve">ΔVc = (Iph × ΔD) / (2 × fsw × C)</w:t>
      </w:r>
    </w:p>
    <w:p>
      <w:pPr>
        <w:spacing w:after="80" w:before="60"/>
      </w:pPr>
      <w:r>
        <w:rPr>
          <w:rFonts w:ascii="Arial" w:cs="Arial" w:eastAsia="Arial" w:hAnsi="Arial"/>
          <w:i w:val="false"/>
          <w:iCs w:val="false"/>
          <w:sz w:val="20"/>
          <w:szCs w:val="20"/>
        </w:rPr>
        <w:t xml:space="preserve">Rearranging for the minimum required capacitance:</w:t>
      </w:r>
    </w:p>
    <w:p>
      <w:pPr>
        <w:spacing w:after="80" w:before="80"/>
        <w:jc w:val="center"/>
      </w:pPr>
      <w:r>
        <w:rPr>
          <w:rFonts w:ascii="Courier New" w:cs="Courier New" w:eastAsia="Courier New" w:hAnsi="Courier New"/>
          <w:b/>
          <w:bCs/>
          <w:sz w:val="22"/>
          <w:szCs w:val="22"/>
        </w:rPr>
        <w:t xml:space="preserve">C ≥ (Iph × ΔD) / (2 × fsw × ΔVc)</w:t>
      </w:r>
    </w:p>
    <w:p>
      <w:pPr>
        <w:spacing w:after="80" w:before="60"/>
      </w:pPr>
      <w:r>
        <w:rPr>
          <w:rFonts w:ascii="Arial" w:cs="Arial" w:eastAsia="Arial" w:hAnsi="Arial"/>
          <w:i w:val="false"/>
          <w:iCs w:val="false"/>
          <w:sz w:val="20"/>
          <w:szCs w:val="20"/>
        </w:rPr>
        <w:t xml:space="preserve">Sizing is performed at the worst-case operating point: maximum current (250A peak) at the lowest scheduled switching frequency (5 kHz, urban operation).</w:t>
      </w:r>
    </w:p>
    <w:p>
      <w:pPr>
        <w:spacing w:after="100" w:before="240"/>
      </w:pPr>
      <w:r>
        <w:rPr>
          <w:rFonts w:ascii="Arial" w:cs="Arial" w:eastAsia="Arial" w:hAnsi="Arial"/>
          <w:b/>
          <w:bCs/>
          <w:color w:val="2E5FAA"/>
          <w:sz w:val="22"/>
          <w:szCs w:val="22"/>
        </w:rPr>
        <w:t xml:space="preserve">6.2 Design Parameters and Calculated Values</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6"/>
        <w:gridCol w:w="1560"/>
        <w:gridCol w:w="1760"/>
        <w:gridCol w:w="1700"/>
        <w:gridCol w:w="1500"/>
      </w:tblGrid>
      <w:tr>
        <w:tc>
          <w:tcPr>
            <w:tcW w:type="dxa" w:w="250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Parameter</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Symbol</w:t>
            </w:r>
          </w:p>
        </w:tc>
        <w:tc>
          <w:tcPr>
            <w:tcW w:type="dxa" w:w="1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Value</w:t>
            </w:r>
          </w:p>
        </w:tc>
        <w:tc>
          <w:tcPr>
            <w:tcW w:type="dxa" w:w="1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Equation</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5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Flying cap nominal voltage</w:t>
            </w:r>
          </w:p>
        </w:tc>
        <w:tc>
          <w:tcPr>
            <w:tcW w:type="dxa" w:w="156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rPr>
                <w:rFonts w:ascii="Arial" w:cs="Arial" w:eastAsia="Arial" w:hAnsi="Arial"/>
                <w:sz w:val="18"/>
                <w:szCs w:val="18"/>
              </w:rPr>
              <w:t xml:space="preserve">Vc</w:t>
            </w:r>
          </w:p>
        </w:tc>
        <w:tc>
          <w:tcPr>
            <w:tcW w:type="dxa" w:w="176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rPr>
                <w:rFonts w:ascii="Arial" w:cs="Arial" w:eastAsia="Arial" w:hAnsi="Arial"/>
                <w:sz w:val="18"/>
                <w:szCs w:val="18"/>
              </w:rPr>
              <w:t xml:space="preserve">400V</w:t>
            </w:r>
          </w:p>
        </w:tc>
        <w:tc>
          <w:tcPr>
            <w:tcW w:type="dxa" w:w="17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rPr>
                <w:rFonts w:ascii="Arial" w:cs="Arial" w:eastAsia="Arial" w:hAnsi="Arial"/>
                <w:sz w:val="18"/>
                <w:szCs w:val="18"/>
              </w:rPr>
              <w:t xml:space="preserve">= Vdc/2</w:t>
            </w:r>
          </w:p>
        </w:tc>
        <w:tc>
          <w:tcPr>
            <w:tcW w:type="dxa" w:w="15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rPr>
                <w:rFonts w:ascii="Arial" w:cs="Arial" w:eastAsia="Arial" w:hAnsi="Arial"/>
                <w:sz w:val="18"/>
                <w:szCs w:val="18"/>
              </w:rPr>
              <w:t xml:space="preserve">Fixed by topology</w:t>
            </w:r>
          </w:p>
        </w:tc>
      </w:tr>
      <w:tr>
        <w:tc>
          <w:tcPr>
            <w:tcW w:type="dxa" w:w="25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Peak phase current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Iph</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250A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From drive cycle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Urban worst case</w:t>
            </w:r>
          </w:p>
        </w:tc>
      </w:tr>
      <w:tr>
        <w:tc>
          <w:tcPr>
            <w:tcW w:type="dxa" w:w="25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Max duty imbalance</w:t>
            </w:r>
          </w:p>
        </w:tc>
        <w:tc>
          <w:tcPr>
            <w:tcW w:type="dxa" w:w="156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rPr>
                <w:rFonts w:ascii="Arial" w:cs="Arial" w:eastAsia="Arial" w:hAnsi="Arial"/>
                <w:sz w:val="18"/>
                <w:szCs w:val="18"/>
              </w:rPr>
              <w:t xml:space="preserve">ΔD</w:t>
            </w:r>
          </w:p>
        </w:tc>
        <w:tc>
          <w:tcPr>
            <w:tcW w:type="dxa" w:w="176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rPr>
                <w:rFonts w:ascii="Arial" w:cs="Arial" w:eastAsia="Arial" w:hAnsi="Arial"/>
                <w:sz w:val="18"/>
                <w:szCs w:val="18"/>
              </w:rPr>
              <w:t xml:space="preserve">0.5</w:t>
            </w:r>
          </w:p>
        </w:tc>
        <w:tc>
          <w:tcPr>
            <w:tcW w:type="dxa" w:w="17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rPr>
                <w:rFonts w:ascii="Arial" w:cs="Arial" w:eastAsia="Arial" w:hAnsi="Arial"/>
                <w:sz w:val="18"/>
                <w:szCs w:val="18"/>
              </w:rPr>
              <w:t xml:space="preserve">Conservative max</w:t>
            </w:r>
          </w:p>
        </w:tc>
        <w:tc>
          <w:tcPr>
            <w:tcW w:type="dxa" w:w="15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rPr>
                <w:rFonts w:ascii="Arial" w:cs="Arial" w:eastAsia="Arial" w:hAnsi="Arial"/>
                <w:sz w:val="18"/>
                <w:szCs w:val="18"/>
              </w:rPr>
              <w:t xml:space="preserve">Charge/discharge balance</w:t>
            </w:r>
          </w:p>
        </w:tc>
      </w:tr>
      <w:tr>
        <w:tc>
          <w:tcPr>
            <w:tcW w:type="dxa" w:w="25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Minimum switching freq.</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fsw_min</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5 kHz</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Urban (scheduled)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Drives cap sizing</w:t>
            </w:r>
          </w:p>
        </w:tc>
      </w:tr>
      <w:tr>
        <w:tc>
          <w:tcPr>
            <w:tcW w:type="dxa" w:w="25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Target ripple voltage</w:t>
            </w:r>
          </w:p>
        </w:tc>
        <w:tc>
          <w:tcPr>
            <w:tcW w:type="dxa" w:w="156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rPr>
                <w:rFonts w:ascii="Arial" w:cs="Arial" w:eastAsia="Arial" w:hAnsi="Arial"/>
                <w:sz w:val="18"/>
                <w:szCs w:val="18"/>
              </w:rPr>
              <w:t xml:space="preserve">ΔVc</w:t>
            </w:r>
          </w:p>
        </w:tc>
        <w:tc>
          <w:tcPr>
            <w:tcW w:type="dxa" w:w="176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rPr>
                <w:rFonts w:ascii="Arial" w:cs="Arial" w:eastAsia="Arial" w:hAnsi="Arial"/>
                <w:sz w:val="18"/>
                <w:szCs w:val="18"/>
              </w:rPr>
              <w:t xml:space="preserve">10V pk-pk</w:t>
            </w:r>
          </w:p>
        </w:tc>
        <w:tc>
          <w:tcPr>
            <w:tcW w:type="dxa" w:w="17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rPr>
                <w:rFonts w:ascii="Arial" w:cs="Arial" w:eastAsia="Arial" w:hAnsi="Arial"/>
                <w:sz w:val="18"/>
                <w:szCs w:val="18"/>
              </w:rPr>
              <w:t xml:space="preserve">2.5% of 400V</w:t>
            </w:r>
          </w:p>
        </w:tc>
        <w:tc>
          <w:tcPr>
            <w:tcW w:type="dxa" w:w="15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rPr>
                <w:rFonts w:ascii="Arial" w:cs="Arial" w:eastAsia="Arial" w:hAnsi="Arial"/>
                <w:sz w:val="18"/>
                <w:szCs w:val="18"/>
              </w:rPr>
              <w:t xml:space="preserve">Design target</w:t>
            </w:r>
          </w:p>
        </w:tc>
      </w:tr>
      <w:tr>
        <w:tc>
          <w:tcPr>
            <w:tcW w:type="dxa" w:w="25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Required capacitance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1.25 mF</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Iph×ΔD / (2×fsw×ΔVc)</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Design minimum</w:t>
            </w:r>
          </w:p>
        </w:tc>
      </w:tr>
      <w:tr>
        <w:tc>
          <w:tcPr>
            <w:tcW w:type="dxa" w:w="25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Recommended capacitance (+20% margin)</w:t>
            </w:r>
          </w:p>
        </w:tc>
        <w:tc>
          <w:tcPr>
            <w:tcW w:type="dxa" w:w="156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rPr>
                <w:rFonts w:ascii="Arial" w:cs="Arial" w:eastAsia="Arial" w:hAnsi="Arial"/>
                <w:sz w:val="18"/>
                <w:szCs w:val="18"/>
              </w:rPr>
              <w:t xml:space="preserve">C_sel</w:t>
            </w:r>
          </w:p>
        </w:tc>
        <w:tc>
          <w:tcPr>
            <w:tcW w:type="dxa" w:w="176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rPr>
                <w:rFonts w:ascii="Arial" w:cs="Arial" w:eastAsia="Arial" w:hAnsi="Arial"/>
                <w:sz w:val="18"/>
                <w:szCs w:val="18"/>
              </w:rPr>
              <w:t xml:space="preserve">1.5 mF</w:t>
            </w:r>
          </w:p>
        </w:tc>
        <w:tc>
          <w:tcPr>
            <w:tcW w:type="dxa" w:w="17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rPr>
                <w:rFonts w:ascii="Arial" w:cs="Arial" w:eastAsia="Arial" w:hAnsi="Arial"/>
                <w:sz w:val="18"/>
                <w:szCs w:val="18"/>
              </w:rPr>
              <w:t xml:space="preserve">Includes tolerance margin</w:t>
            </w:r>
          </w:p>
        </w:tc>
        <w:tc>
          <w:tcPr>
            <w:tcW w:type="dxa" w:w="15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rPr>
                <w:rFonts w:ascii="Arial" w:cs="Arial" w:eastAsia="Arial" w:hAnsi="Arial"/>
                <w:sz w:val="18"/>
                <w:szCs w:val="18"/>
              </w:rPr>
              <w:t xml:space="preserve">Per phase</w:t>
            </w:r>
          </w:p>
        </w:tc>
      </w:tr>
      <w:tr>
        <w:tc>
          <w:tcPr>
            <w:tcW w:type="dxa" w:w="25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RMS ripple current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Ic_rms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~88A RMS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Iph×√(D×(1−D)) / √2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Worst case D=0.5</w:t>
            </w:r>
          </w:p>
        </w:tc>
      </w:tr>
      <w:tr>
        <w:tc>
          <w:tcPr>
            <w:tcW w:type="dxa" w:w="25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Required voltage rating</w:t>
            </w:r>
          </w:p>
        </w:tc>
        <w:tc>
          <w:tcPr>
            <w:tcW w:type="dxa" w:w="156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rPr>
                <w:rFonts w:ascii="Arial" w:cs="Arial" w:eastAsia="Arial" w:hAnsi="Arial"/>
                <w:sz w:val="18"/>
                <w:szCs w:val="18"/>
              </w:rPr>
              <w:t xml:space="preserve">Vrated</w:t>
            </w:r>
          </w:p>
        </w:tc>
        <w:tc>
          <w:tcPr>
            <w:tcW w:type="dxa" w:w="176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rPr>
                <w:rFonts w:ascii="Arial" w:cs="Arial" w:eastAsia="Arial" w:hAnsi="Arial"/>
                <w:sz w:val="18"/>
                <w:szCs w:val="18"/>
              </w:rPr>
              <w:t xml:space="preserve">≥ 630V DC</w:t>
            </w:r>
          </w:p>
        </w:tc>
        <w:tc>
          <w:tcPr>
            <w:tcW w:type="dxa" w:w="17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rPr>
                <w:rFonts w:ascii="Arial" w:cs="Arial" w:eastAsia="Arial" w:hAnsi="Arial"/>
                <w:sz w:val="18"/>
                <w:szCs w:val="18"/>
              </w:rPr>
              <w:t xml:space="preserve">1.6× derating</w:t>
            </w:r>
          </w:p>
        </w:tc>
        <w:tc>
          <w:tcPr>
            <w:tcW w:type="dxa" w:w="15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rPr>
                <w:rFonts w:ascii="Arial" w:cs="Arial" w:eastAsia="Arial" w:hAnsi="Arial"/>
                <w:sz w:val="18"/>
                <w:szCs w:val="18"/>
              </w:rPr>
              <w:t xml:space="preserve">700V std part used</w:t>
            </w:r>
          </w:p>
        </w:tc>
      </w:tr>
      <w:tr>
        <w:tc>
          <w:tcPr>
            <w:tcW w:type="dxa" w:w="25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Capacitor type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MKP film</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Self-healing PP</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Bidirectional OK</w:t>
            </w:r>
          </w:p>
        </w:tc>
      </w:tr>
    </w:tbl>
    <w:p>
      <w:pPr>
        <w:spacing w:after="80" w:before="0"/>
      </w:pPr>
      <w:r>
        <w:t xml:space="preserve"/>
      </w:r>
    </w:p>
    <w:p>
      <w:pPr>
        <w:spacing w:after="80" w:before="60"/>
      </w:pPr>
      <w:r>
        <w:rPr>
          <w:rFonts w:ascii="Arial" w:cs="Arial" w:eastAsia="Arial" w:hAnsi="Arial"/>
          <w:i w:val="false"/>
          <w:iCs w:val="false"/>
          <w:sz w:val="20"/>
          <w:szCs w:val="20"/>
        </w:rPr>
        <w:t xml:space="preserve">At the worst-case condition (250A, 5 kHz, ΔD = 0.5, ΔVc = 10V):</w:t>
      </w:r>
    </w:p>
    <w:p>
      <w:pPr>
        <w:spacing w:after="80" w:before="60"/>
        <w:ind w:left="360"/>
      </w:pPr>
      <w:r>
        <w:rPr>
          <w:rFonts w:ascii="Courier New" w:cs="Courier New" w:eastAsia="Courier New" w:hAnsi="Courier New"/>
          <w:b/>
          <w:bCs/>
          <w:sz w:val="20"/>
          <w:szCs w:val="20"/>
        </w:rPr>
        <w:t xml:space="preserve">C ≥ (250 × 0.5) / (2 × 5000 × 10) = 1.25 mF per phase</w:t>
      </w:r>
    </w:p>
    <w:p>
      <w:pPr>
        <w:spacing w:after="80" w:before="60"/>
      </w:pPr>
      <w:r>
        <w:rPr>
          <w:rFonts w:ascii="Arial" w:cs="Arial" w:eastAsia="Arial" w:hAnsi="Arial"/>
          <w:i w:val="false"/>
          <w:iCs w:val="false"/>
          <w:sz w:val="20"/>
          <w:szCs w:val="20"/>
        </w:rPr>
        <w:t xml:space="preserve">A 20% design margin is applied to account for capacitance tolerance (±5%) and end-of-life degradation, yielding a practical target of 1.5 mF per phase. The RMS ripple current requirement of ~88A RMS per phase is typically the binding constraint requiring multiple capacitor units in parallel.</w:t>
      </w:r>
    </w:p>
    <w:p>
      <w:pPr>
        <w:spacing w:after="100" w:before="240"/>
      </w:pPr>
      <w:r>
        <w:rPr>
          <w:rFonts w:ascii="Arial" w:cs="Arial" w:eastAsia="Arial" w:hAnsi="Arial"/>
          <w:b/>
          <w:bCs/>
          <w:color w:val="2E5FAA"/>
          <w:sz w:val="22"/>
          <w:szCs w:val="22"/>
        </w:rPr>
        <w:t xml:space="preserve">6.3 Effect of Switching Frequency Scheduling</w:t>
      </w:r>
    </w:p>
    <w:p>
      <w:pPr>
        <w:spacing w:after="80" w:before="60"/>
      </w:pPr>
      <w:r>
        <w:rPr>
          <w:rFonts w:ascii="Arial" w:cs="Arial" w:eastAsia="Arial" w:hAnsi="Arial"/>
          <w:i w:val="false"/>
          <w:iCs w:val="false"/>
          <w:sz w:val="20"/>
          <w:szCs w:val="20"/>
        </w:rPr>
        <w:t xml:space="preserve">As fsw increases from 5 kHz (urban) to 20 kHz (highway), required capacitance for the same ripple decreases proportionally. Since the capacitor is sized for the urban worst case, actual ripple at highway speeds is significantly lower — providing free margin where thermal constraints on the semiconductor devices are more critical.</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400"/>
        <w:gridCol w:w="1400"/>
        <w:gridCol w:w="1826"/>
        <w:gridCol w:w="140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Condition</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fsw</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Required C</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Units @ 10µF</w:t>
            </w:r>
          </w:p>
        </w:tc>
        <w:tc>
          <w:tcPr>
            <w:tcW w:type="dxa" w:w="18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IRMS per unit</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Note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Urban worst case</w:t>
            </w:r>
          </w:p>
        </w:tc>
        <w:tc>
          <w:tcPr>
            <w:tcW w:type="dxa" w:w="12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rPr>
                <w:rFonts w:ascii="Arial" w:cs="Arial" w:eastAsia="Arial" w:hAnsi="Arial"/>
                <w:sz w:val="18"/>
                <w:szCs w:val="18"/>
              </w:rPr>
              <w:t xml:space="preserve">5 kHz</w:t>
            </w:r>
          </w:p>
        </w:tc>
        <w:tc>
          <w:tcPr>
            <w:tcW w:type="dxa" w:w="14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rPr>
                <w:rFonts w:ascii="Arial" w:cs="Arial" w:eastAsia="Arial" w:hAnsi="Arial"/>
                <w:sz w:val="18"/>
                <w:szCs w:val="18"/>
              </w:rPr>
              <w:t xml:space="preserve">1.25 mF</w:t>
            </w:r>
          </w:p>
        </w:tc>
        <w:tc>
          <w:tcPr>
            <w:tcW w:type="dxa" w:w="14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rPr>
                <w:rFonts w:ascii="Arial" w:cs="Arial" w:eastAsia="Arial" w:hAnsi="Arial"/>
                <w:sz w:val="18"/>
                <w:szCs w:val="18"/>
              </w:rPr>
              <w:t xml:space="preserve">125 units</w:t>
            </w:r>
          </w:p>
        </w:tc>
        <w:tc>
          <w:tcPr>
            <w:tcW w:type="dxa" w:w="1826"/>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rPr>
                <w:rFonts w:ascii="Arial" w:cs="Arial" w:eastAsia="Arial" w:hAnsi="Arial"/>
                <w:sz w:val="18"/>
                <w:szCs w:val="18"/>
              </w:rPr>
              <w:t xml:space="preserve">~88/√N RMS ea.</w:t>
            </w:r>
          </w:p>
        </w:tc>
        <w:tc>
          <w:tcPr>
            <w:tcW w:type="dxa" w:w="14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rPr>
                <w:rFonts w:ascii="Arial" w:cs="Arial" w:eastAsia="Arial" w:hAnsi="Arial"/>
                <w:sz w:val="18"/>
                <w:szCs w:val="18"/>
              </w:rPr>
              <w:t xml:space="preserve">Size for this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Highway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20 kHz</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0.31 mF</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32 units</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Reduced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Over-capacitance OK</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Recommended build</w:t>
            </w:r>
          </w:p>
        </w:tc>
        <w:tc>
          <w:tcPr>
            <w:tcW w:type="dxa" w:w="12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rPr>
                <w:rFonts w:ascii="Arial" w:cs="Arial" w:eastAsia="Arial" w:hAnsi="Arial"/>
                <w:sz w:val="18"/>
                <w:szCs w:val="18"/>
              </w:rPr>
              <w:t xml:space="preserve">5–20 kHz</w:t>
            </w:r>
          </w:p>
        </w:tc>
        <w:tc>
          <w:tcPr>
            <w:tcW w:type="dxa" w:w="14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rPr>
                <w:rFonts w:ascii="Arial" w:cs="Arial" w:eastAsia="Arial" w:hAnsi="Arial"/>
                <w:sz w:val="18"/>
                <w:szCs w:val="18"/>
              </w:rPr>
              <w:t xml:space="preserve">1.5 mF</w:t>
            </w:r>
          </w:p>
        </w:tc>
        <w:tc>
          <w:tcPr>
            <w:tcW w:type="dxa" w:w="14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rPr>
                <w:rFonts w:ascii="Arial" w:cs="Arial" w:eastAsia="Arial" w:hAnsi="Arial"/>
                <w:sz w:val="18"/>
                <w:szCs w:val="18"/>
              </w:rPr>
              <w:t xml:space="preserve">150× 10µF in 3 groups</w:t>
            </w:r>
          </w:p>
        </w:tc>
        <w:tc>
          <w:tcPr>
            <w:tcW w:type="dxa" w:w="1826"/>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rPr>
                <w:rFonts w:ascii="Arial" w:cs="Arial" w:eastAsia="Arial" w:hAnsi="Arial"/>
                <w:sz w:val="18"/>
                <w:szCs w:val="18"/>
              </w:rPr>
              <w:t xml:space="preserve">&lt;10A ea. (50 parallel)</w:t>
            </w:r>
          </w:p>
        </w:tc>
        <w:tc>
          <w:tcPr>
            <w:tcW w:type="dxa" w:w="14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rPr>
                <w:rFonts w:ascii="Arial" w:cs="Arial" w:eastAsia="Arial" w:hAnsi="Arial"/>
                <w:sz w:val="18"/>
                <w:szCs w:val="18"/>
              </w:rPr>
              <w:t xml:space="preserve">Per phase</w:t>
            </w:r>
          </w:p>
        </w:tc>
      </w:tr>
    </w:tbl>
    <w:p>
      <w:pPr>
        <w:spacing w:after="80" w:before="0"/>
      </w:pPr>
      <w:r>
        <w:t xml:space="preserve"/>
      </w:r>
    </w:p>
    <w:p>
      <w:pPr>
        <w:spacing w:after="100" w:before="240"/>
      </w:pPr>
      <w:r>
        <w:rPr>
          <w:rFonts w:ascii="Arial" w:cs="Arial" w:eastAsia="Arial" w:hAnsi="Arial"/>
          <w:b/>
          <w:bCs/>
          <w:color w:val="2E5FAA"/>
          <w:sz w:val="22"/>
          <w:szCs w:val="22"/>
        </w:rPr>
        <w:t xml:space="preserve">6.4 Component Selection</w:t>
      </w:r>
    </w:p>
    <w:p>
      <w:pPr>
        <w:spacing w:after="80" w:before="60"/>
      </w:pPr>
      <w:r>
        <w:rPr>
          <w:rFonts w:ascii="Arial" w:cs="Arial" w:eastAsia="Arial" w:hAnsi="Arial"/>
          <w:i w:val="false"/>
          <w:iCs w:val="false"/>
          <w:sz w:val="20"/>
          <w:szCs w:val="20"/>
        </w:rPr>
        <w:t xml:space="preserve">Metallised polypropylene (MKP) film capacitors are the standard industrial choice for flying capacitor applications. They offer self-healing breakdown behaviour, low ESR, bidirectional current capability, and high ripple current ratings. Electrolytic capacitors are not suitable due to polarity constraints and inferior ripple current performance above ~1 kHz.</w:t>
      </w:r>
    </w:p>
    <w:p>
      <w:pPr>
        <w:spacing w:after="80" w:before="60"/>
      </w:pPr>
      <w:r>
        <w:rPr>
          <w:rFonts w:ascii="Arial" w:cs="Arial" w:eastAsia="Arial" w:hAnsi="Arial"/>
          <w:i w:val="false"/>
          <w:iCs w:val="false"/>
          <w:sz w:val="20"/>
          <w:szCs w:val="20"/>
        </w:rPr>
        <w:t xml:space="preserve">Voltage rating must be selected with appropriate derating. The capacitor operates at 400V nominal. A minimum rated voltage of 630–700V DC is recommended, corresponding to a derating factor of approximately 1.6× to 1.75×, consistent with automotive-grade (AEC-Q200) reliability practice.</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2200"/>
        <w:gridCol w:w="680"/>
        <w:gridCol w:w="780"/>
        <w:gridCol w:w="700"/>
        <w:gridCol w:w="680"/>
        <w:gridCol w:w="680"/>
        <w:gridCol w:w="2006"/>
      </w:tblGrid>
      <w:tr>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Mfr</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Part Number</w:t>
            </w:r>
          </w:p>
        </w:tc>
        <w:tc>
          <w:tcPr>
            <w:tcW w:type="dxa" w:w="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Cap (µF)</w:t>
            </w:r>
          </w:p>
        </w:tc>
        <w:tc>
          <w:tcPr>
            <w:tcW w:type="dxa" w:w="7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Vrated (VDC)</w:t>
            </w:r>
          </w:p>
        </w:tc>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IRMS (A)</w:t>
            </w:r>
          </w:p>
        </w:tc>
        <w:tc>
          <w:tcPr>
            <w:tcW w:type="dxa" w:w="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ESR (mΩ)</w:t>
            </w:r>
          </w:p>
        </w:tc>
        <w:tc>
          <w:tcPr>
            <w:tcW w:type="dxa" w:w="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Tmax (°C)</w:t>
            </w:r>
          </w:p>
        </w:tc>
        <w:tc>
          <w:tcPr>
            <w:tcW w:type="dxa" w:w="200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3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rPr>
                <w:rFonts w:ascii="Arial" w:cs="Arial" w:eastAsia="Arial" w:hAnsi="Arial"/>
                <w:b/>
                <w:bCs/>
                <w:sz w:val="18"/>
                <w:szCs w:val="18"/>
              </w:rPr>
              <w:t xml:space="preserve">Vishay</w:t>
            </w:r>
          </w:p>
        </w:tc>
        <w:tc>
          <w:tcPr>
            <w:tcW w:type="dxa" w:w="22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rPr>
                <w:rFonts w:ascii="Arial" w:cs="Arial" w:eastAsia="Arial" w:hAnsi="Arial"/>
                <w:sz w:val="18"/>
                <w:szCs w:val="18"/>
              </w:rPr>
              <w:t xml:space="preserve">MKP1848610704Y4</w:t>
            </w:r>
          </w:p>
        </w:tc>
        <w:tc>
          <w:tcPr>
            <w:tcW w:type="dxa" w:w="68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rPr>
                <w:rFonts w:ascii="Arial" w:cs="Arial" w:eastAsia="Arial" w:hAnsi="Arial"/>
                <w:sz w:val="18"/>
                <w:szCs w:val="18"/>
              </w:rPr>
              <w:t xml:space="preserve">10</w:t>
            </w:r>
          </w:p>
        </w:tc>
        <w:tc>
          <w:tcPr>
            <w:tcW w:type="dxa" w:w="78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rPr>
                <w:rFonts w:ascii="Arial" w:cs="Arial" w:eastAsia="Arial" w:hAnsi="Arial"/>
                <w:sz w:val="18"/>
                <w:szCs w:val="18"/>
              </w:rPr>
              <w:t xml:space="preserve">700</w:t>
            </w:r>
          </w:p>
        </w:tc>
        <w:tc>
          <w:tcPr>
            <w:tcW w:type="dxa" w:w="7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rPr>
                <w:rFonts w:ascii="Arial" w:cs="Arial" w:eastAsia="Arial" w:hAnsi="Arial"/>
                <w:sz w:val="18"/>
                <w:szCs w:val="18"/>
              </w:rPr>
              <w:t xml:space="preserve">15.5</w:t>
            </w:r>
          </w:p>
        </w:tc>
        <w:tc>
          <w:tcPr>
            <w:tcW w:type="dxa" w:w="68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rPr>
                <w:rFonts w:ascii="Arial" w:cs="Arial" w:eastAsia="Arial" w:hAnsi="Arial"/>
                <w:sz w:val="18"/>
                <w:szCs w:val="18"/>
              </w:rPr>
              <w:t xml:space="preserve">5</w:t>
            </w:r>
          </w:p>
        </w:tc>
        <w:tc>
          <w:tcPr>
            <w:tcW w:type="dxa" w:w="68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rPr>
                <w:rFonts w:ascii="Arial" w:cs="Arial" w:eastAsia="Arial" w:hAnsi="Arial"/>
                <w:sz w:val="18"/>
                <w:szCs w:val="18"/>
              </w:rPr>
              <w:t xml:space="preserve">85</w:t>
            </w:r>
          </w:p>
        </w:tc>
        <w:tc>
          <w:tcPr>
            <w:tcW w:type="dxa" w:w="2006"/>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rPr>
                <w:rFonts w:ascii="Arial" w:cs="Arial" w:eastAsia="Arial" w:hAnsi="Arial"/>
                <w:sz w:val="18"/>
                <w:szCs w:val="18"/>
              </w:rPr>
              <w:t xml:space="preserve">AEC-Q200; HEV/EV listed. RECOMMENDED.</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Vishay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MKP1848615704Y4</w:t>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15</w:t>
            </w:r>
          </w:p>
        </w:tc>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700</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~19</w:t>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~4</w:t>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85</w:t>
            </w:r>
          </w:p>
        </w:tc>
        <w:tc>
          <w:tcPr>
            <w:tcW w:type="dxa" w:w="20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Larger unit; fewer needed per phase</w:t>
            </w:r>
          </w:p>
        </w:tc>
      </w:tr>
      <w:tr>
        <w:tc>
          <w:tcPr>
            <w:tcW w:type="dxa" w:w="13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rPr>
                <w:rFonts w:ascii="Arial" w:cs="Arial" w:eastAsia="Arial" w:hAnsi="Arial"/>
                <w:b/>
                <w:bCs/>
                <w:sz w:val="18"/>
                <w:szCs w:val="18"/>
              </w:rPr>
              <w:t xml:space="preserve">Vishay</w:t>
            </w:r>
          </w:p>
        </w:tc>
        <w:tc>
          <w:tcPr>
            <w:tcW w:type="dxa" w:w="22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rPr>
                <w:rFonts w:ascii="Arial" w:cs="Arial" w:eastAsia="Arial" w:hAnsi="Arial"/>
                <w:sz w:val="18"/>
                <w:szCs w:val="18"/>
              </w:rPr>
              <w:t xml:space="preserve">MKP1848H62212JY5</w:t>
            </w:r>
          </w:p>
        </w:tc>
        <w:tc>
          <w:tcPr>
            <w:tcW w:type="dxa" w:w="68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rPr>
                <w:rFonts w:ascii="Arial" w:cs="Arial" w:eastAsia="Arial" w:hAnsi="Arial"/>
                <w:sz w:val="18"/>
                <w:szCs w:val="18"/>
              </w:rPr>
              <w:t xml:space="preserve">12</w:t>
            </w:r>
          </w:p>
        </w:tc>
        <w:tc>
          <w:tcPr>
            <w:tcW w:type="dxa" w:w="78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rPr>
                <w:rFonts w:ascii="Arial" w:cs="Arial" w:eastAsia="Arial" w:hAnsi="Arial"/>
                <w:sz w:val="18"/>
                <w:szCs w:val="18"/>
              </w:rPr>
              <w:t xml:space="preserve">620</w:t>
            </w:r>
          </w:p>
        </w:tc>
        <w:tc>
          <w:tcPr>
            <w:tcW w:type="dxa" w:w="7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rPr>
                <w:rFonts w:ascii="Arial" w:cs="Arial" w:eastAsia="Arial" w:hAnsi="Arial"/>
                <w:sz w:val="18"/>
                <w:szCs w:val="18"/>
              </w:rPr>
              <w:t xml:space="preserve">~14</w:t>
            </w:r>
          </w:p>
        </w:tc>
        <w:tc>
          <w:tcPr>
            <w:tcW w:type="dxa" w:w="68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rPr>
                <w:rFonts w:ascii="Arial" w:cs="Arial" w:eastAsia="Arial" w:hAnsi="Arial"/>
                <w:sz w:val="18"/>
                <w:szCs w:val="18"/>
              </w:rPr>
              <w:t xml:space="preserve">~6</w:t>
            </w:r>
          </w:p>
        </w:tc>
        <w:tc>
          <w:tcPr>
            <w:tcW w:type="dxa" w:w="68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rPr>
                <w:rFonts w:ascii="Arial" w:cs="Arial" w:eastAsia="Arial" w:hAnsi="Arial"/>
                <w:sz w:val="18"/>
                <w:szCs w:val="18"/>
              </w:rPr>
              <w:t xml:space="preserve">85</w:t>
            </w:r>
          </w:p>
        </w:tc>
        <w:tc>
          <w:tcPr>
            <w:tcW w:type="dxa" w:w="2006"/>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rPr>
                <w:rFonts w:ascii="Arial" w:cs="Arial" w:eastAsia="Arial" w:hAnsi="Arial"/>
                <w:sz w:val="18"/>
                <w:szCs w:val="18"/>
              </w:rPr>
              <w:t xml:space="preserve">THB automotive grade; 85°C/85%RH</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KEMET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C4AF1BW5100T3FK</w:t>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10</w:t>
            </w:r>
          </w:p>
        </w:tc>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700</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~15</w:t>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~5</w:t>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125</w:t>
            </w:r>
          </w:p>
        </w:tc>
        <w:tc>
          <w:tcPr>
            <w:tcW w:type="dxa" w:w="20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125°C rated; AEC-Q200. High-temp option.</w:t>
            </w:r>
          </w:p>
        </w:tc>
      </w:tr>
      <w:tr>
        <w:tc>
          <w:tcPr>
            <w:tcW w:type="dxa" w:w="13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rPr>
                <w:rFonts w:ascii="Arial" w:cs="Arial" w:eastAsia="Arial" w:hAnsi="Arial"/>
                <w:b/>
                <w:bCs/>
                <w:sz w:val="18"/>
                <w:szCs w:val="18"/>
              </w:rPr>
              <w:t xml:space="preserve">TDK/EPCOS</w:t>
            </w:r>
          </w:p>
        </w:tc>
        <w:tc>
          <w:tcPr>
            <w:tcW w:type="dxa" w:w="22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rPr>
                <w:rFonts w:ascii="Arial" w:cs="Arial" w:eastAsia="Arial" w:hAnsi="Arial"/>
                <w:sz w:val="18"/>
                <w:szCs w:val="18"/>
              </w:rPr>
              <w:t xml:space="preserve">B3271*H* series</w:t>
            </w:r>
          </w:p>
        </w:tc>
        <w:tc>
          <w:tcPr>
            <w:tcW w:type="dxa" w:w="68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rPr>
                <w:rFonts w:ascii="Arial" w:cs="Arial" w:eastAsia="Arial" w:hAnsi="Arial"/>
                <w:sz w:val="18"/>
                <w:szCs w:val="18"/>
              </w:rPr>
              <w:t xml:space="preserve">0.47–170</w:t>
            </w:r>
          </w:p>
        </w:tc>
        <w:tc>
          <w:tcPr>
            <w:tcW w:type="dxa" w:w="78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rPr>
                <w:rFonts w:ascii="Arial" w:cs="Arial" w:eastAsia="Arial" w:hAnsi="Arial"/>
                <w:sz w:val="18"/>
                <w:szCs w:val="18"/>
              </w:rPr>
              <w:t xml:space="preserve">500–1600</w:t>
            </w:r>
          </w:p>
        </w:tc>
        <w:tc>
          <w:tcPr>
            <w:tcW w:type="dxa" w:w="7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rPr>
                <w:rFonts w:ascii="Arial" w:cs="Arial" w:eastAsia="Arial" w:hAnsi="Arial"/>
                <w:sz w:val="18"/>
                <w:szCs w:val="18"/>
              </w:rPr>
              <w:t xml:space="preserve">varies</w:t>
            </w:r>
          </w:p>
        </w:tc>
        <w:tc>
          <w:tcPr>
            <w:tcW w:type="dxa" w:w="68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rPr>
                <w:rFonts w:ascii="Arial" w:cs="Arial" w:eastAsia="Arial" w:hAnsi="Arial"/>
                <w:sz w:val="18"/>
                <w:szCs w:val="18"/>
              </w:rPr>
              <w:t xml:space="preserve">low</w:t>
            </w:r>
          </w:p>
        </w:tc>
        <w:tc>
          <w:tcPr>
            <w:tcW w:type="dxa" w:w="68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rPr>
                <w:rFonts w:ascii="Arial" w:cs="Arial" w:eastAsia="Arial" w:hAnsi="Arial"/>
                <w:sz w:val="18"/>
                <w:szCs w:val="18"/>
              </w:rPr>
              <w:t xml:space="preserve">105</w:t>
            </w:r>
          </w:p>
        </w:tc>
        <w:tc>
          <w:tcPr>
            <w:tcW w:type="dxa" w:w="2006"/>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rPr>
                <w:rFonts w:ascii="Arial" w:cs="Arial" w:eastAsia="Arial" w:hAnsi="Arial"/>
                <w:sz w:val="18"/>
                <w:szCs w:val="18"/>
              </w:rPr>
              <w:t xml:space="preserve">High density; custom config; contact TDK</w:t>
            </w:r>
          </w:p>
        </w:tc>
      </w:tr>
    </w:tbl>
    <w:p>
      <w:pPr>
        <w:spacing w:after="80" w:before="0"/>
      </w:pPr>
      <w:r>
        <w:t xml:space="preserve"/>
      </w:r>
    </w:p>
    <w:p>
      <w:pPr>
        <w:spacing w:after="80" w:before="200"/>
      </w:pPr>
      <w:r>
        <w:rPr>
          <w:rFonts w:ascii="Arial" w:cs="Arial" w:eastAsia="Arial" w:hAnsi="Arial"/>
          <w:b/>
          <w:bCs/>
          <w:i/>
          <w:iCs/>
          <w:color w:val="333333"/>
          <w:sz w:val="20"/>
          <w:szCs w:val="20"/>
        </w:rPr>
        <w:t xml:space="preserve">Recommended Configuration: Vishay MKP1848610704Y4 (10 µF, 700V DC)</w:t>
      </w:r>
    </w:p>
    <w:p>
      <w:pPr>
        <w:spacing w:after="80" w:before="60"/>
      </w:pPr>
      <w:r>
        <w:rPr>
          <w:rFonts w:ascii="Arial" w:cs="Arial" w:eastAsia="Arial" w:hAnsi="Arial"/>
          <w:i w:val="false"/>
          <w:iCs w:val="false"/>
          <w:sz w:val="20"/>
          <w:szCs w:val="20"/>
        </w:rPr>
        <w:t xml:space="preserve">The Vishay MKP1848 series is directly targeted at HEV/EV powertrain and OBC applications, is AEC-Q200 qualified, and offers 700V DC rated at 85°C rising to 800V DC at 70°C — providing headroom at typical EV operating temperatures. For the 1.5 mF per-phase target, 150 units of 10µF in parallel (or three groups of 50) per phase delivers the required capacitance. Each unit carries approximately 88/√150 ≈ 7.2A RMS — well within the 15.5A rated spec. For practical board layout, units are arranged in groups with matched lead lengths to ensure current sharing. Contact Vishay regarding parallel connection derating guidelines (&gt;3 units in parallel).</w:t>
      </w:r>
    </w:p>
    <w:p>
      <w:pPr>
        <w:pStyle w:val="ListParagraph"/>
        <w:numPr>
          <w:ilvl w:val="0"/>
          <w:numId w:val="2"/>
        </w:numPr>
        <w:spacing w:after="40" w:before="40"/>
      </w:pPr>
      <w:r>
        <w:rPr>
          <w:rFonts w:ascii="Arial" w:cs="Arial" w:eastAsia="Arial" w:hAnsi="Arial"/>
          <w:sz w:val="20"/>
          <w:szCs w:val="20"/>
        </w:rPr>
        <w:t xml:space="preserve">Ordering code: MKP1848610704Y4 (10µF, 700V, 4-pin, 52.5mm pitch, ±5% tolerance)</w:t>
      </w:r>
    </w:p>
    <w:p>
      <w:pPr>
        <w:pStyle w:val="ListParagraph"/>
        <w:numPr>
          <w:ilvl w:val="0"/>
          <w:numId w:val="2"/>
        </w:numPr>
        <w:spacing w:after="40" w:before="40"/>
      </w:pPr>
      <w:r>
        <w:rPr>
          <w:rFonts w:ascii="Arial" w:cs="Arial" w:eastAsia="Arial" w:hAnsi="Arial"/>
          <w:sz w:val="20"/>
          <w:szCs w:val="20"/>
        </w:rPr>
        <w:t xml:space="preserve">Rated operating voltage at 70°C: 800V DC (confirms 400V operating point is well within range)</w:t>
      </w:r>
    </w:p>
    <w:p>
      <w:pPr>
        <w:pStyle w:val="ListParagraph"/>
        <w:numPr>
          <w:ilvl w:val="0"/>
          <w:numId w:val="2"/>
        </w:numPr>
        <w:spacing w:after="40" w:before="40"/>
      </w:pPr>
      <w:r>
        <w:rPr>
          <w:rFonts w:ascii="Arial" w:cs="Arial" w:eastAsia="Arial" w:hAnsi="Arial"/>
          <w:sz w:val="20"/>
          <w:szCs w:val="20"/>
        </w:rPr>
        <w:t xml:space="preserve">AEC-Q200 Rev. D qualified; listed applications include HEV/EV powertrain and OBC</w:t>
      </w:r>
    </w:p>
    <w:p>
      <w:pPr>
        <w:pStyle w:val="ListParagraph"/>
        <w:numPr>
          <w:ilvl w:val="0"/>
          <w:numId w:val="2"/>
        </w:numPr>
        <w:spacing w:after="40" w:before="40"/>
      </w:pPr>
      <w:r>
        <w:rPr>
          <w:rFonts w:ascii="Arial" w:cs="Arial" w:eastAsia="Arial" w:hAnsi="Arial"/>
          <w:sz w:val="20"/>
          <w:szCs w:val="20"/>
        </w:rPr>
        <w:t xml:space="preserve">Datasheet: Vishay Doc. No. 28164, Rev. 08-Jan-2024</w:t>
      </w:r>
    </w:p>
    <w:p>
      <w:pPr>
        <w:spacing w:after="80" w:before="200"/>
      </w:pPr>
      <w:r>
        <w:rPr>
          <w:rFonts w:ascii="Arial" w:cs="Arial" w:eastAsia="Arial" w:hAnsi="Arial"/>
          <w:b/>
          <w:bCs/>
          <w:i/>
          <w:iCs/>
          <w:color w:val="333333"/>
          <w:sz w:val="20"/>
          <w:szCs w:val="20"/>
        </w:rPr>
        <w:t xml:space="preserve">Alternative: KEMET C4AF Series (R75H, 125°C Rated)</w:t>
      </w:r>
    </w:p>
    <w:p>
      <w:pPr>
        <w:spacing w:after="80" w:before="60"/>
      </w:pPr>
      <w:r>
        <w:rPr>
          <w:rFonts w:ascii="Arial" w:cs="Arial" w:eastAsia="Arial" w:hAnsi="Arial"/>
          <w:i w:val="false"/>
          <w:iCs w:val="false"/>
          <w:sz w:val="20"/>
          <w:szCs w:val="20"/>
        </w:rPr>
        <w:t xml:space="preserve">For applications requiring extended temperature operation or compliance with higher THB requirements, the KEMET C4AF series offers 125°C rated operation at 700V DC. This is relevant if the flying capacitor is located in a high-ambient-temperature zone of the inverter enclosure. Part reference: C4AF1BW5100T3FK (10µF, 700V DC, AEC-Q200).</w:t>
      </w:r>
    </w:p>
    <w:p>
      <w:pPr>
        <w:spacing w:after="80" w:before="200"/>
      </w:pPr>
      <w:r>
        <w:rPr>
          <w:rFonts w:ascii="Arial" w:cs="Arial" w:eastAsia="Arial" w:hAnsi="Arial"/>
          <w:b/>
          <w:bCs/>
          <w:i/>
          <w:iCs/>
          <w:color w:val="333333"/>
          <w:sz w:val="20"/>
          <w:szCs w:val="20"/>
        </w:rPr>
        <w:t xml:space="preserve">Voltage Rating vs. Temperature — Key Note</w:t>
      </w:r>
    </w:p>
    <w:p>
      <w:pPr>
        <w:spacing w:after="80" w:before="60"/>
      </w:pPr>
      <w:r>
        <w:rPr>
          <w:rFonts w:ascii="Arial" w:cs="Arial" w:eastAsia="Arial" w:hAnsi="Arial"/>
          <w:i w:val="false"/>
          <w:iCs w:val="false"/>
          <w:sz w:val="20"/>
          <w:szCs w:val="20"/>
        </w:rPr>
        <w:t xml:space="preserve">The Vishay MKP1848 datasheet specifies voltage derating with temperature. The 700V-rated unit permits 800V DC operation at 70°C ambient. Since Vdc/2 = 400V is only 57% of the 700V rated voltage, there is no risk of overvoltage under normal operating conditions or during pre-charge transients.</w:t>
      </w:r>
    </w:p>
    <w:p>
      <w:pPr>
        <w:spacing w:after="80" w:before="60"/>
        <w:ind w:left="360"/>
      </w:pPr>
      <w:r>
        <w:rPr>
          <w:rFonts w:ascii="Arial" w:cs="Arial" w:eastAsia="Arial" w:hAnsi="Arial"/>
          <w:i/>
          <w:iCs/>
          <w:color w:val="555555"/>
          <w:sz w:val="18"/>
          <w:szCs w:val="18"/>
        </w:rPr>
        <w:t xml:space="preserve">Cite: Vishay Roederstein MKP1848 DC-Link Film Capacitor Datasheet, Doc. No. 28164, Rev. 08-Jan-2024. https://www.vishay.com/docs/28164/mkp1848dcl.pdf</w:t>
      </w:r>
    </w:p>
    <w:p>
      <w:pPr>
        <w:spacing w:after="100" w:before="240"/>
      </w:pPr>
      <w:r>
        <w:rPr>
          <w:rFonts w:ascii="Arial" w:cs="Arial" w:eastAsia="Arial" w:hAnsi="Arial"/>
          <w:b/>
          <w:bCs/>
          <w:color w:val="2E5FAA"/>
          <w:sz w:val="22"/>
          <w:szCs w:val="22"/>
        </w:rPr>
        <w:t xml:space="preserve">6.5 Pre-Charge Requirement</w:t>
      </w:r>
    </w:p>
    <w:p>
      <w:pPr>
        <w:spacing w:after="80" w:before="60"/>
      </w:pPr>
      <w:r>
        <w:rPr>
          <w:rFonts w:ascii="Arial" w:cs="Arial" w:eastAsia="Arial" w:hAnsi="Arial"/>
          <w:i w:val="false"/>
          <w:iCs w:val="false"/>
          <w:sz w:val="20"/>
          <w:szCs w:val="20"/>
        </w:rPr>
        <w:t xml:space="preserve">A critical practical limitation of the FC topology is the requirement to pre-charge the flying capacitor to Vdc/2 = 400V before normal switching operation commences. Without pre-charge, initial application of full bus voltage to an uncharged capacitor results in extremely high inrush current through the switching devices.</w:t>
      </w:r>
    </w:p>
    <w:p>
      <w:pPr>
        <w:spacing w:after="80" w:before="60"/>
      </w:pPr>
      <w:r>
        <w:rPr>
          <w:rFonts w:ascii="Arial" w:cs="Arial" w:eastAsia="Arial" w:hAnsi="Arial"/>
          <w:i w:val="false"/>
          <w:iCs w:val="false"/>
          <w:sz w:val="20"/>
          <w:szCs w:val="20"/>
        </w:rPr>
        <w:t xml:space="preserve">The recommended pre-charge strategy uses a current-limiting resistor (or active current control) to charge the flying capacitor to 400V at a controlled rate before enabling normal PWM modulation. Normal operation commences once |Vc − 400V| is within a defined tolerance (typically &lt;2%). This pre-charge complexity is an acknowledged limitation of the FC topology relative to NPC.</w:t>
      </w:r>
    </w:p>
    <w:p>
      <w:pPr>
        <w:spacing w:after="80" w:before="60"/>
        <w:ind w:left="360"/>
      </w:pPr>
      <w:r>
        <w:rPr>
          <w:rFonts w:ascii="Arial" w:cs="Arial" w:eastAsia="Arial" w:hAnsi="Arial"/>
          <w:i/>
          <w:iCs/>
          <w:color w:val="555555"/>
          <w:sz w:val="18"/>
          <w:szCs w:val="18"/>
        </w:rPr>
        <w:t xml:space="preserve">Cite: Pilawa-Podgurski et al., IEEE COMPEL 2017. DOI: 10.1109/COMPEL.2017.8013368</w:t>
      </w:r>
    </w:p>
    <w:p>
      <w:pPr>
        <w:spacing w:after="120" w:before="300"/>
      </w:pPr>
      <w:r>
        <w:rPr>
          <w:rFonts w:ascii="Arial" w:cs="Arial" w:eastAsia="Arial" w:hAnsi="Arial"/>
          <w:b/>
          <w:bCs/>
          <w:color w:val="1F3864"/>
          <w:sz w:val="28"/>
          <w:szCs w:val="28"/>
        </w:rPr>
        <w:t xml:space="preserve">7. Report Writing Guidance (IEEE Format)</w:t>
      </w:r>
    </w:p>
    <w:p>
      <w:pPr>
        <w:spacing w:after="80" w:before="60"/>
      </w:pPr>
      <w:r>
        <w:rPr>
          <w:rFonts w:ascii="Arial" w:cs="Arial" w:eastAsia="Arial" w:hAnsi="Arial"/>
          <w:i w:val="false"/>
          <w:iCs w:val="false"/>
          <w:sz w:val="20"/>
          <w:szCs w:val="20"/>
        </w:rPr>
        <w:t xml:space="preserve">When writing the Topology Selection section of the IEEE paper, structure the argument as follows:</w:t>
      </w:r>
    </w:p>
    <w:p>
      <w:pPr>
        <w:pStyle w:val="ListParagraph"/>
        <w:numPr>
          <w:ilvl w:val="0"/>
          <w:numId w:val="2"/>
        </w:numPr>
        <w:spacing w:after="40" w:before="40"/>
      </w:pPr>
      <w:r>
        <w:rPr>
          <w:rFonts w:ascii="Arial" w:cs="Arial" w:eastAsia="Arial" w:hAnsi="Arial"/>
          <w:sz w:val="20"/>
          <w:szCs w:val="20"/>
        </w:rPr>
        <w:t xml:space="preserve">Begin by eliminating CHB on application grounds (single DC source incompatibility) — no citation needed.</w:t>
      </w:r>
    </w:p>
    <w:p>
      <w:pPr>
        <w:pStyle w:val="ListParagraph"/>
        <w:numPr>
          <w:ilvl w:val="0"/>
          <w:numId w:val="2"/>
        </w:numPr>
        <w:spacing w:after="40" w:before="40"/>
      </w:pPr>
      <w:r>
        <w:rPr>
          <w:rFonts w:ascii="Arial" w:cs="Arial" w:eastAsia="Arial" w:hAnsi="Arial"/>
          <w:sz w:val="20"/>
          <w:szCs w:val="20"/>
        </w:rPr>
        <w:t xml:space="preserve">Compare NPC and FC, selecting FC on three grounds: natural balancing under drive cycle loading, bidirectional symmetry for charging, fault tolerance advantage.</w:t>
      </w:r>
    </w:p>
    <w:p>
      <w:pPr>
        <w:pStyle w:val="ListParagraph"/>
        <w:numPr>
          <w:ilvl w:val="0"/>
          <w:numId w:val="2"/>
        </w:numPr>
        <w:spacing w:after="40" w:before="40"/>
      </w:pPr>
      <w:r>
        <w:rPr>
          <w:rFonts w:ascii="Arial" w:cs="Arial" w:eastAsia="Arial" w:hAnsi="Arial"/>
          <w:sz w:val="20"/>
          <w:szCs w:val="20"/>
        </w:rPr>
        <w:t xml:space="preserve">Acknowledge FC limitations honestly (pre-charge complexity, capacitor sizing) — cite Pilawa-Podgurski et al. COMPEL 2017.</w:t>
      </w:r>
    </w:p>
    <w:p>
      <w:pPr>
        <w:pStyle w:val="ListParagraph"/>
        <w:numPr>
          <w:ilvl w:val="0"/>
          <w:numId w:val="2"/>
        </w:numPr>
        <w:spacing w:after="40" w:before="40"/>
      </w:pPr>
      <w:r>
        <w:rPr>
          <w:rFonts w:ascii="Arial" w:cs="Arial" w:eastAsia="Arial" w:hAnsi="Arial"/>
          <w:sz w:val="20"/>
          <w:szCs w:val="20"/>
        </w:rPr>
        <w:t xml:space="preserve">Use passive voice per IEEE standard: e.g., ‘The FC topology was selected based on...’</w:t>
      </w:r>
    </w:p>
    <w:p>
      <w:pPr>
        <w:pStyle w:val="ListParagraph"/>
        <w:numPr>
          <w:ilvl w:val="0"/>
          <w:numId w:val="2"/>
        </w:numPr>
        <w:spacing w:after="40" w:before="40"/>
      </w:pPr>
      <w:r>
        <w:rPr>
          <w:rFonts w:ascii="Arial" w:cs="Arial" w:eastAsia="Arial" w:hAnsi="Arial"/>
          <w:sz w:val="20"/>
          <w:szCs w:val="20"/>
        </w:rPr>
        <w:t xml:space="preserve">All citations follow IEEE numbered format in order of first appearance: [1], [2], etc.</w:t>
      </w:r>
    </w:p>
    <w:p>
      <w:pPr>
        <w:spacing w:after="100" w:before="240"/>
      </w:pPr>
      <w:r>
        <w:rPr>
          <w:rFonts w:ascii="Arial" w:cs="Arial" w:eastAsia="Arial" w:hAnsi="Arial"/>
          <w:b/>
          <w:bCs/>
          <w:color w:val="2E5FAA"/>
          <w:sz w:val="22"/>
          <w:szCs w:val="22"/>
        </w:rPr>
        <w:t xml:space="preserve">Suggested Reference List Order</w:t>
      </w:r>
    </w:p>
    <w:p>
      <w:pPr>
        <w:spacing w:after="80" w:before="60"/>
      </w:pPr>
      <w:r>
        <w:rPr>
          <w:rFonts w:ascii="Arial" w:cs="Arial" w:eastAsia="Arial" w:hAnsi="Arial"/>
          <w:i w:val="false"/>
          <w:iCs w:val="false"/>
          <w:sz w:val="20"/>
          <w:szCs w:val="20"/>
        </w:rPr>
        <w:t xml:space="preserve">[1] Avinash et al., “WBG Multilevel Inverters for 800V EV Traction,” IEEE APEC 2024.</w:t>
      </w:r>
    </w:p>
    <w:p>
      <w:pPr>
        <w:spacing w:after="80" w:before="60"/>
      </w:pPr>
      <w:r>
        <w:rPr>
          <w:rFonts w:ascii="Arial" w:cs="Arial" w:eastAsia="Arial" w:hAnsi="Arial"/>
          <w:i w:val="false"/>
          <w:iCs w:val="false"/>
          <w:sz w:val="20"/>
          <w:szCs w:val="20"/>
        </w:rPr>
        <w:t xml:space="preserve">[2] Fernandez et al., “A Bidirectional Liquid-Cooled GaN-based AC/DC Flying Capacitor Multi-Level Converter with Integrated Startup,” IEEE APEC 2022. DOI: 10.1109/APEC43599.2022.9773520</w:t>
      </w:r>
    </w:p>
    <w:p>
      <w:pPr>
        <w:spacing w:after="80" w:before="60"/>
      </w:pPr>
      <w:r>
        <w:rPr>
          <w:rFonts w:ascii="Arial" w:cs="Arial" w:eastAsia="Arial" w:hAnsi="Arial"/>
          <w:i w:val="false"/>
          <w:iCs w:val="false"/>
          <w:sz w:val="20"/>
          <w:szCs w:val="20"/>
        </w:rPr>
        <w:t xml:space="preserve">[3] Pilawa-Podgurski et al., “Investigation of Capacitor Voltage Balancing in Practical Implementations of Flying Capacitor Multilevel Converters,” IEEE COMPEL 2017. DOI: 10.1109/COMPEL.2017.8013368</w:t>
      </w:r>
    </w:p>
    <w:p>
      <w:pPr>
        <w:spacing w:after="80" w:before="60"/>
      </w:pPr>
      <w:r>
        <w:rPr>
          <w:rFonts w:ascii="Arial" w:cs="Arial" w:eastAsia="Arial" w:hAnsi="Arial"/>
          <w:i w:val="false"/>
          <w:iCs w:val="false"/>
          <w:sz w:val="20"/>
          <w:szCs w:val="20"/>
        </w:rPr>
        <w:t xml:space="preserve">[4] B. McGrath and D. Holmes, “Enhanced Voltage Balancing of a Flying Capacitor Multilevel Converter Using Phase Disposition (PD) Modulation,” IEEE Trans. Power Electron., vol. 26, Jul. 2011. DOI: 10.1109/TPEL.2010.2097279</w:t>
      </w:r>
    </w:p>
    <w:p>
      <w:pPr>
        <w:spacing w:after="80" w:before="60"/>
      </w:pPr>
      <w:r>
        <w:rPr>
          <w:rFonts w:ascii="Arial" w:cs="Arial" w:eastAsia="Arial" w:hAnsi="Arial"/>
          <w:i w:val="false"/>
          <w:iCs w:val="false"/>
          <w:sz w:val="20"/>
          <w:szCs w:val="20"/>
        </w:rPr>
        <w:t xml:space="preserve">[5] Teichmann and Bernet, “A Comparison of Three-Level Converters versus Two-Level Converters,” IEEE Trans. Ind. Appl., 2005.</w:t>
      </w:r>
    </w:p>
    <w:p>
      <w:pPr>
        <w:spacing w:after="80" w:before="60"/>
      </w:pPr>
      <w:r>
        <w:rPr>
          <w:rFonts w:ascii="Arial" w:cs="Arial" w:eastAsia="Arial" w:hAnsi="Arial"/>
          <w:i w:val="false"/>
          <w:iCs w:val="false"/>
          <w:sz w:val="20"/>
          <w:szCs w:val="20"/>
        </w:rPr>
        <w:t xml:space="preserve">[6] Vishay Roederstein, “MKP1848 DC-Link Metallized Polypropylene Film Capacitor — Automotive Grade,” Doc. No. 28164, Rev. 08-Jan-2024. https://www.vishay.com/docs/28164/mkp1848dcl.pdf</w:t>
      </w:r>
    </w:p>
    <w:p>
      <w:pPr>
        <w:spacing w:after="80" w:before="60"/>
      </w:pPr>
      <w:r>
        <w:rPr>
          <w:rFonts w:ascii="Arial" w:cs="Arial" w:eastAsia="Arial" w:hAnsi="Arial"/>
          <w:i w:val="false"/>
          <w:iCs w:val="false"/>
          <w:sz w:val="20"/>
          <w:szCs w:val="20"/>
        </w:rPr>
        <w:t xml:space="preserve">[7] KEMET Electronics, “C4AF Series Film Capacitors (R75H),” Datasheet F3106_R75, Rev. 4/7/2025.</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2026-05-01T16:47:16.301Z</dcterms:created>
  <dcterms:modified xsi:type="dcterms:W3CDTF">2026-05-01T16:47:16.302Z</dcterms:modified>
</cp:coreProperties>
</file>

<file path=docProps/custom.xml><?xml version="1.0" encoding="utf-8"?>
<Properties xmlns="http://schemas.openxmlformats.org/officeDocument/2006/custom-properties" xmlns:vt="http://schemas.openxmlformats.org/officeDocument/2006/docPropsVTypes"/>
</file>