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Times New Roman" w:cs="Times New Roman" w:eastAsia="Times New Roman" w:hAnsi="Times New Roman"/>
          <w:b/>
          <w:bCs/>
          <w:color w:val="000000"/>
          <w:sz w:val="28"/>
          <w:szCs w:val="28"/>
        </w:rPr>
        <w:t xml:space="preserve">Specification and Simulation of a Three-Level Flying Capacitor Inverter for 800 V EV Traction with Integrated DC Charging</w:t>
      </w:r>
    </w:p>
    <w:p>
      <w:pPr>
        <w:spacing w:after="60" w:before="0"/>
        <w:jc w:val="center"/>
      </w:pPr>
      <w:r>
        <w:rPr>
          <w:rFonts w:ascii="Times New Roman" w:cs="Times New Roman" w:eastAsia="Times New Roman" w:hAnsi="Times New Roman"/>
          <w:color w:val="000000"/>
          <w:sz w:val="22"/>
          <w:szCs w:val="22"/>
        </w:rPr>
        <w:t xml:space="preserve">[Author Name(s)]</w:t>
      </w:r>
    </w:p>
    <w:p>
      <w:pPr>
        <w:spacing w:after="200" w:before="0"/>
        <w:jc w:val="center"/>
      </w:pPr>
      <w:r>
        <w:rPr>
          <w:rFonts w:ascii="Times New Roman" w:cs="Times New Roman" w:eastAsia="Times New Roman" w:hAnsi="Times New Roman"/>
          <w:i/>
          <w:iCs/>
          <w:color w:val="666666"/>
          <w:sz w:val="18"/>
          <w:szCs w:val="18"/>
        </w:rPr>
        <w:t xml:space="preserve">[Department, University / Institution, City, Country — email@domain.com]</w:t>
      </w:r>
    </w:p>
    <w:p>
      <w:pPr>
        <w:spacing w:after="60" w:before="60"/>
        <w:jc w:val="center"/>
      </w:pPr>
      <w:r>
        <w:rPr>
          <w:rFonts w:ascii="Times New Roman" w:cs="Times New Roman" w:eastAsia="Times New Roman" w:hAnsi="Times New Roman"/>
          <w:b/>
          <w:bCs/>
          <w:i/>
          <w:iCs/>
          <w:color w:val="000000"/>
          <w:sz w:val="20"/>
          <w:szCs w:val="20"/>
        </w:rPr>
        <w:t xml:space="preserve">Abstract</w:t>
      </w:r>
    </w:p>
    <w:p>
      <w:pPr>
        <w:spacing w:after="80" w:before="0" w:line="240"/>
        <w:ind w:left="360" w:right="360"/>
        <w:jc w:val="both"/>
      </w:pPr>
      <w:r>
        <w:rPr>
          <w:rFonts w:ascii="Times New Roman" w:cs="Times New Roman" w:eastAsia="Times New Roman" w:hAnsi="Times New Roman"/>
          <w:color w:val="000000"/>
          <w:sz w:val="20"/>
          <w:szCs w:val="20"/>
        </w:rPr>
        <w:t xml:space="preserve">This paper presents the specification, component design, and simulation of a three-phase, three-level Flying Capacitor (FC) inverter for 800 V electric vehicle (EV) traction applications with integrated on-board DC charging capability. Three multilevel topologies — Neutral Point Clamped (NPC), Flying Capacitor (FC), and Cascaded H-Bridge (CHB) — are evaluated against the single-source 800 V supply constraint and integrated charging requirement. The FC topology is selected on the basis of natural capacitor voltage balancing under Phase Disposition pulse-width modulation (PD-PWM), bidirectional current symmetry, and inherent fault tolerance. Flying capacitor sizing is derived analytically at worst-case operating conditions. A MATLAB state-space simulation is conducted across a representative urban-to-highway drive cycle, with the inverter switching frequency scheduled between 5 kHz and 20 kHz according to vehicle speed. Simulation results confirm three-level output voltage generation, output current total harmonic distortion (THD) of 3.10% at highway steady-state (within IEEE Std 519 limits), and capacitor voltage self-balancing under PD-PWM. Semiconductor losses and junction temperatures are compared between the scheduled switching frequency strategy and a fixed 20 kHz baseline, demonstrating a 63% reduction in switching losses during urban operation with both strategies maintaining junction temperatures well below the 150°C SiC MOSFET limit.</w:t>
      </w:r>
    </w:p>
    <w:p>
      <w:pPr>
        <w:spacing w:after="100" w:before="60" w:line="240"/>
        <w:ind w:left="360" w:right="360"/>
        <w:jc w:val="both"/>
      </w:pPr>
      <w:r>
        <w:rPr>
          <w:rFonts w:ascii="Times New Roman" w:cs="Times New Roman" w:eastAsia="Times New Roman" w:hAnsi="Times New Roman"/>
          <w:b/>
          <w:bCs/>
          <w:i/>
          <w:iCs/>
          <w:sz w:val="20"/>
          <w:szCs w:val="20"/>
        </w:rPr>
        <w:t xml:space="preserve">Keywords—</w:t>
      </w:r>
      <w:r>
        <w:rPr>
          <w:rFonts w:ascii="Times New Roman" w:cs="Times New Roman" w:eastAsia="Times New Roman" w:hAnsi="Times New Roman"/>
          <w:i/>
          <w:iCs/>
          <w:sz w:val="20"/>
          <w:szCs w:val="20"/>
        </w:rPr>
        <w:t xml:space="preserve">flying capacitor inverter, multilevel converter, EV traction, SiC MOSFET, PD-PWM, integrated charging, thermal management.</w:t>
      </w:r>
    </w:p>
    <w:p>
      <w:pPr>
        <w:pBdr>
          <w:bottom w:val="single" w:color="000000" w:sz="4" w:space="1"/>
        </w:pBdr>
        <w:spacing w:after="80" w:before="0"/>
      </w:pPr>
    </w:p>
    <w:p>
      <w:pPr>
        <w:sectPr>
          <w:headerReference w:type="default" r:id="rId7"/>
          <w:footerReference w:type="default" r:id="rId8"/>
          <w:type w:val="continuous"/>
          <w:pgSz w:w="12240" w:h="15840" w:orient="portrait"/>
          <w:pgMar w:top="1440" w:right="1080" w:bottom="1440" w:left="1080" w:header="708" w:footer="708" w:gutter="0"/>
          <w:pgNumType/>
          <w:docGrid w:linePitch="360"/>
        </w:sectPr>
      </w:pPr>
    </w:p>
    <w:p>
      <w:pPr>
        <w:spacing w:after="80" w:before="160"/>
        <w:jc w:val="center"/>
      </w:pPr>
      <w:r>
        <w:rPr>
          <w:rFonts w:ascii="Times New Roman" w:cs="Times New Roman" w:eastAsia="Times New Roman" w:hAnsi="Times New Roman"/>
          <w:b/>
          <w:bCs/>
          <w:caps/>
          <w:color w:val="000000"/>
          <w:sz w:val="22"/>
          <w:szCs w:val="22"/>
        </w:rPr>
        <w:t xml:space="preserve">I.  Introduction</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The proliferation of 800 V battery architectures in contemporary electric vehicles — exemplified by the Hyundai Ioniq 6, Porsche Taycan, and Kia EV6 — places stringent demands on traction inverter design. Higher DC bus voltages reduce conduction losses and enable faster charging, but require careful management of device voltage stress. A conventional two-level inverter operating from an 800 V bus subjects each semiconductor switch to the full rail voltage, necessitating 1200 V-class devices with correspondingly higher on-state resistance and switching losses [1].</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Multilevel inverter topologies address this limitation by distributing the bus voltage across multiple switching states, reducing per-device stress to a fraction of the full DC rail [5]. For three-level operation from an 800 V source, each device is exposed to only 400 V (V\u2090\u2084/2), enabling the use of 650 V-rated silicon carbide (SiC) MOSFETs — a device class that offers substantially lower switching losses and higher thermal conductivity than silicon IGBTs of equivalent voltage rating [1].</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Among three-level topologies, the Neutral Point Clamped (NPC) converter is the most mature alternative, with extensive deployment in industrial drive and utility applications [5]. However, NPC exhibits persistent neutral point voltage imbalance under asymmetric loading conditions, which is particularly problematic in vehicles employing integrated on-board charging, where the inverter and motor windings serve simultaneously as the AC-DC charging front end — as implemented in the Hyundai Ioniq and Lucid Air architectures [4]. The unidirectional nature of NPC clamping diodes further creates asymmetric loss distribution between inner and outer switches during bidirectional current operation.</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The Flying Capacitor (FC) topology replaces passive clamping diodes with a floating capacitor that stores V\u2090\u2084/2 and participates actively in voltage balancing. Under Phase Disposition pulse-width modulation (PD-PWM), the FC topology exhibits natural self-balancing properties [3], symmetric bidirectional current handling, and superior fault tolerance compared to NPC [2], [4]. These characteristics make it particularly well suited to the dual traction and integrated charging role targeted in this work.</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This paper makes the following contributions: (i) a structured topology selection and component specification for a three-level FC inverter operating from an 800 V single-source EV battery; (ii) analytical flying capacitor sizing at worst-case drive cycle conditions; and (iii) a MATLAB state-space simulation comparing scheduled and fixed switching frequency strategies across a representative urban-to-highway drive cycle, with analysis of output THD, capacitor voltage balancing, and semiconductor thermal performance.</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The remainder of this paper is organised as follows. Section II presents system parameters and topology selection. Section III details the FC inverter modelling and component sizing. Section IV presents simulation results. Section V discusses findings and limitations. Section VI concludes the paper.</w:t>
      </w:r>
    </w:p>
    <w:p>
      <w:pPr>
        <w:spacing w:after="80" w:before="160"/>
        <w:jc w:val="center"/>
      </w:pPr>
      <w:r>
        <w:rPr>
          <w:rFonts w:ascii="Times New Roman" w:cs="Times New Roman" w:eastAsia="Times New Roman" w:hAnsi="Times New Roman"/>
          <w:b/>
          <w:bCs/>
          <w:caps/>
          <w:color w:val="000000"/>
          <w:sz w:val="22"/>
          <w:szCs w:val="22"/>
        </w:rPr>
        <w:t xml:space="preserve">II.  System Parameters and Topology Selection</w:t>
      </w:r>
    </w:p>
    <w:p>
      <w:pPr>
        <w:spacing w:after="60" w:before="120"/>
        <w:jc w:val="left"/>
      </w:pPr>
      <w:r>
        <w:rPr>
          <w:rFonts w:ascii="Times New Roman" w:cs="Times New Roman" w:eastAsia="Times New Roman" w:hAnsi="Times New Roman"/>
          <w:b/>
          <w:bCs/>
          <w:i/>
          <w:iCs/>
          <w:color w:val="000000"/>
          <w:sz w:val="20"/>
          <w:szCs w:val="20"/>
        </w:rPr>
        <w:t xml:space="preserve">A.  Known System Parameters</w:t>
      </w:r>
    </w:p>
    <w:p>
      <w:pPr>
        <w:spacing w:after="100" w:before="0" w:line="240"/>
        <w:jc w:val="both"/>
      </w:pPr>
      <w:r>
        <w:rPr>
          <w:rFonts w:ascii="Times New Roman" w:cs="Times New Roman" w:eastAsia="Times New Roman" w:hAnsi="Times New Roman"/>
          <w:b w:val="false"/>
          <w:bCs w:val="false"/>
          <w:i w:val="false"/>
          <w:iCs w:val="false"/>
          <w:color w:val="000000"/>
          <w:sz w:val="20"/>
          <w:szCs w:val="20"/>
        </w:rPr>
        <w:t xml:space="preserve">The following parameters are established prior to topology selection. The DC bus voltage of 800 V is fixed by the assumed battery architecture. The fundamental frequency range is derived from the motor speed relationship f\u2091 = (P/2) × n\u2098\u2091\u2084\u2095/60, where P = 8 poles and n\u2098\u2091\u2084\u2095 is the motor mechanical speed in rpm. For a direct-drive configuration with appropriate gear ratio, this yields the frequency range shown in Table I.</w:t>
      </w:r>
    </w:p>
    <w:p>
      <w:pPr>
        <w:spacing w:after="80" w:before="0"/>
      </w:pPr>
    </w:p>
    <w:p>
      <w:pPr>
        <w:spacing w:after="40" w:before="80"/>
        <w:jc w:val="center"/>
      </w:pPr>
      <w:r>
        <w:rPr>
          <w:rFonts w:ascii="Arial" w:cs="Arial" w:eastAsia="Arial" w:hAnsi="Arial"/>
          <w:b/>
          <w:bCs/>
          <w:caps/>
          <w:color w:val="000000"/>
          <w:sz w:val="18"/>
          <w:szCs w:val="18"/>
        </w:rPr>
        <w:t xml:space="preserve">TABLE I</w:t>
      </w:r>
      <w:r>
        <w:rPr>
          <w:rFonts w:ascii="Arial" w:cs="Arial" w:eastAsia="Arial" w:hAnsi="Arial"/>
          <w:i/>
          <w:iCs/>
          <w:color w:val="000000"/>
          <w:sz w:val="18"/>
          <w:szCs w:val="18"/>
        </w:rPr>
        <w:t xml:space="preserve">
System Parameters</w:t>
      </w:r>
    </w:p>
    <w:tbl>
      <w:tblPr>
        <w:tblW w:type="dxa" w:w="4680"/>
      </w:tblPr>
      <w:tblGrid>
        <w:gridCol w:w="2400"/>
        <w:gridCol w:w="2280"/>
      </w:tblGrid>
      <w:tr>
        <w:tc>
          <w:tcPr>
            <w:tcW w:type="dxa" w:w="2400"/>
            <w:tcBorders>
              <w:top w:val="single" w:color="999999" w:sz="4"/>
              <w:left w:val="single" w:color="999999" w:sz="4"/>
              <w:bottom w:val="single" w:color="999999" w:sz="4"/>
              <w:right w:val="single" w:color="999999" w:sz="4"/>
            </w:tcBorders>
            <w:shd w:fill="D0D0D0" w:val="clear"/>
            <w:tcMar>
              <w:top w:type="dxa" w:w="40"/>
              <w:left w:type="dxa" w:w="80"/>
              <w:bottom w:type="dxa" w:w="40"/>
              <w:right w:type="dxa" w:w="80"/>
            </w:tcMar>
            <w:vAlign w:val="center"/>
          </w:tcPr>
          <w:p>
            <w:pPr>
              <w:jc w:val="left"/>
            </w:pPr>
            <w:r>
              <w:rPr>
                <w:rFonts w:ascii="Times New Roman" w:cs="Times New Roman" w:eastAsia="Times New Roman" w:hAnsi="Times New Roman"/>
                <w:b/>
                <w:bCs/>
                <w:color w:val="000000"/>
                <w:sz w:val="18"/>
                <w:szCs w:val="18"/>
              </w:rPr>
              <w:t xml:space="preserve">Parameter</w:t>
            </w:r>
          </w:p>
        </w:tc>
        <w:tc>
          <w:tcPr>
            <w:tcW w:type="dxa" w:w="2280"/>
            <w:tcBorders>
              <w:top w:val="single" w:color="999999" w:sz="4"/>
              <w:left w:val="single" w:color="999999" w:sz="4"/>
              <w:bottom w:val="single" w:color="999999" w:sz="4"/>
              <w:right w:val="single" w:color="999999" w:sz="4"/>
            </w:tcBorders>
            <w:shd w:fill="D0D0D0" w:val="clear"/>
            <w:tcMar>
              <w:top w:type="dxa" w:w="40"/>
              <w:left w:type="dxa" w:w="80"/>
              <w:bottom w:type="dxa" w:w="40"/>
              <w:right w:type="dxa" w:w="80"/>
            </w:tcMar>
            <w:vAlign w:val="center"/>
          </w:tcPr>
          <w:p>
            <w:pPr>
              <w:jc w:val="left"/>
            </w:pPr>
            <w:r>
              <w:rPr>
                <w:rFonts w:ascii="Times New Roman" w:cs="Times New Roman" w:eastAsia="Times New Roman" w:hAnsi="Times New Roman"/>
                <w:b/>
                <w:bCs/>
                <w:color w:val="000000"/>
                <w:sz w:val="18"/>
                <w:szCs w:val="18"/>
              </w:rPr>
              <w:t xml:space="preserve">Value / Derivation</w:t>
            </w:r>
          </w:p>
        </w:tc>
      </w:tr>
      <w:tr>
        <w:tc>
          <w:tcPr>
            <w:tcW w:type="dxa" w:w="24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DC Bus Voltage</w:t>
            </w:r>
          </w:p>
        </w:tc>
        <w:tc>
          <w:tcPr>
            <w:tcW w:type="dxa" w:w="228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800 V (assumed)</w:t>
            </w:r>
          </w:p>
        </w:tc>
      </w:tr>
      <w:tr>
        <w:tc>
          <w:tcPr>
            <w:tcW w:type="dxa" w:w="24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Max Output Voltage (L-L)</w:t>
            </w:r>
          </w:p>
        </w:tc>
        <w:tc>
          <w:tcPr>
            <w:tcW w:type="dxa" w:w="228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~565 V RMS (= 800/√2)</w:t>
            </w:r>
          </w:p>
        </w:tc>
      </w:tr>
      <w:tr>
        <w:tc>
          <w:tcPr>
            <w:tcW w:type="dxa" w:w="24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Fundamental Frequency</w:t>
            </w:r>
          </w:p>
        </w:tc>
        <w:tc>
          <w:tcPr>
            <w:tcW w:type="dxa" w:w="228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~17–200 Hz (drive cycle)</w:t>
            </w:r>
          </w:p>
        </w:tc>
      </w:tr>
      <w:tr>
        <w:tc>
          <w:tcPr>
            <w:tcW w:type="dxa" w:w="24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RL Load</w:t>
            </w:r>
          </w:p>
        </w:tc>
        <w:tc>
          <w:tcPr>
            <w:tcW w:type="dxa" w:w="228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R = 1.3 Ω, L = 2 mH</w:t>
            </w:r>
          </w:p>
        </w:tc>
      </w:tr>
      <w:tr>
        <w:tc>
          <w:tcPr>
            <w:tcW w:type="dxa" w:w="24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Peak Phase Current (est.)</w:t>
            </w:r>
          </w:p>
        </w:tc>
        <w:tc>
          <w:tcPr>
            <w:tcW w:type="dxa" w:w="228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~250 A (low-freq. worst case)</w:t>
            </w:r>
          </w:p>
        </w:tc>
      </w:tr>
      <w:tr>
        <w:tc>
          <w:tcPr>
            <w:tcW w:type="dxa" w:w="24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Switching Frequency</w:t>
            </w:r>
          </w:p>
        </w:tc>
        <w:tc>
          <w:tcPr>
            <w:tcW w:type="dxa" w:w="228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5 kHz (urban) → 20 kHz (highway)</w:t>
            </w:r>
          </w:p>
        </w:tc>
      </w:tr>
      <w:tr>
        <w:tc>
          <w:tcPr>
            <w:tcW w:type="dxa" w:w="24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Device Technology</w:t>
            </w:r>
          </w:p>
        </w:tc>
        <w:tc>
          <w:tcPr>
            <w:tcW w:type="dxa" w:w="228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650 V SiC MOSFET, Rₐₛ_ₒₙ = 7 mΩ</w:t>
            </w:r>
          </w:p>
        </w:tc>
      </w:tr>
    </w:tbl>
    <w:p>
      <w:pPr>
        <w:spacing w:after="120" w:before="0"/>
      </w:pPr>
    </w:p>
    <w:p>
      <w:pPr>
        <w:spacing w:after="80" w:before="0" w:line="240"/>
        <w:jc w:val="both"/>
      </w:pPr>
      <w:r>
        <w:rPr>
          <w:rFonts w:ascii="Times New Roman" w:cs="Times New Roman" w:eastAsia="Times New Roman" w:hAnsi="Times New Roman"/>
          <w:i/>
          <w:iCs/>
          <w:color w:val="666666"/>
          <w:sz w:val="18"/>
          <w:szCs w:val="18"/>
        </w:rPr>
        <w:t xml:space="preserve">Note: The 17–200 Hz fundamental frequency range reflects motor mechanical speed after accounting for vehicle gearing and tyre radius. The pole-pair relationship fe = (P/2)×nmech/60 is applied to mechanical shaft speed in rpm, not to road speed directly. Authors should verify the gear ratio and tyre radius assumptions from the drive cycle specification and confirm the fe values used in simulation are consistent with these mechanical parameters.</w:t>
      </w:r>
    </w:p>
    <w:p>
      <w:pPr>
        <w:spacing w:after="120" w:before="0"/>
      </w:pPr>
    </w:p>
    <w:p>
      <w:pPr>
        <w:spacing w:after="60" w:before="120"/>
        <w:jc w:val="left"/>
      </w:pPr>
      <w:r>
        <w:rPr>
          <w:rFonts w:ascii="Times New Roman" w:cs="Times New Roman" w:eastAsia="Times New Roman" w:hAnsi="Times New Roman"/>
          <w:b/>
          <w:bCs/>
          <w:i/>
          <w:iCs/>
          <w:color w:val="000000"/>
          <w:sz w:val="20"/>
          <w:szCs w:val="20"/>
        </w:rPr>
        <w:t xml:space="preserve">B.  Topology Comparison</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Three standard multilevel topologies were evaluated: NPC, FC, and Cascaded H-Bridge (CHB). The CHB topology requires multiple electrically isolated DC sources — one per H-bridge cell — which are unavailable from a single EV battery pack without additional DC-DC conversion stages. CHB is therefore eliminated on application grounds without further analysis.</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NPC employs clamping diodes referenced to a DC bus midpoint. While well established in the literature [5], NPC exhibits two key limitations in this application. First, the midpoint voltage requires persistent active balancing, which becomes more demanding under the asymmetric loading inherent in charging mode. Second, the unidirectional clamping diodes create asymmetric loss distribution between inner and outer devices during bidirectional current operation [2], reducing efficiency in charging mode.</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The FC topology replaces clamping diodes with a floating capacitor pre-charged to V\u2090\u2084/2 = 400 V. This capacitor participates actively in the switching transitions, providing natural voltage balancing under PD-PWM [3], symmetric bidirectional operation suitable for integrated charging [4], and series-capacitor current limiting during zero-volt switching states that improves fault tolerance relative to NPC [2]. The FC topology is therefore selected. Table II summarises the comparison.</w:t>
      </w:r>
    </w:p>
    <w:p>
      <w:pPr>
        <w:spacing w:after="80" w:before="0"/>
      </w:pPr>
    </w:p>
    <w:p>
      <w:pPr>
        <w:spacing w:after="40" w:before="80"/>
        <w:jc w:val="center"/>
      </w:pPr>
      <w:r>
        <w:rPr>
          <w:rFonts w:ascii="Arial" w:cs="Arial" w:eastAsia="Arial" w:hAnsi="Arial"/>
          <w:b/>
          <w:bCs/>
          <w:caps/>
          <w:color w:val="000000"/>
          <w:sz w:val="18"/>
          <w:szCs w:val="18"/>
        </w:rPr>
        <w:t xml:space="preserve">TABLE II</w:t>
      </w:r>
      <w:r>
        <w:rPr>
          <w:rFonts w:ascii="Arial" w:cs="Arial" w:eastAsia="Arial" w:hAnsi="Arial"/>
          <w:i/>
          <w:iCs/>
          <w:color w:val="000000"/>
          <w:sz w:val="18"/>
          <w:szCs w:val="18"/>
        </w:rPr>
        <w:t xml:space="preserve">
Multilevel Topology Comparison</w:t>
      </w:r>
    </w:p>
    <w:tbl>
      <w:tblPr>
        <w:tblW w:type="dxa" w:w="4680"/>
      </w:tblPr>
      <w:tblGrid>
        <w:gridCol w:w="1700"/>
        <w:gridCol w:w="1000"/>
        <w:gridCol w:w="1980"/>
      </w:tblGrid>
      <w:tr>
        <w:tc>
          <w:tcPr>
            <w:tcW w:type="dxa" w:w="1700"/>
            <w:tcBorders>
              <w:top w:val="single" w:color="999999" w:sz="4"/>
              <w:left w:val="single" w:color="999999" w:sz="4"/>
              <w:bottom w:val="single" w:color="999999" w:sz="4"/>
              <w:right w:val="single" w:color="999999" w:sz="4"/>
            </w:tcBorders>
            <w:shd w:fill="D0D0D0" w:val="clear"/>
            <w:tcMar>
              <w:top w:type="dxa" w:w="40"/>
              <w:left w:type="dxa" w:w="80"/>
              <w:bottom w:type="dxa" w:w="40"/>
              <w:right w:type="dxa" w:w="80"/>
            </w:tcMar>
            <w:vAlign w:val="center"/>
          </w:tcPr>
          <w:p>
            <w:pPr>
              <w:jc w:val="left"/>
            </w:pPr>
            <w:r>
              <w:rPr>
                <w:rFonts w:ascii="Times New Roman" w:cs="Times New Roman" w:eastAsia="Times New Roman" w:hAnsi="Times New Roman"/>
                <w:b/>
                <w:bCs/>
                <w:color w:val="000000"/>
                <w:sz w:val="18"/>
                <w:szCs w:val="18"/>
              </w:rPr>
              <w:t xml:space="preserve">Criterion</w:t>
            </w:r>
          </w:p>
        </w:tc>
        <w:tc>
          <w:tcPr>
            <w:tcW w:type="dxa" w:w="1000"/>
            <w:tcBorders>
              <w:top w:val="single" w:color="999999" w:sz="4"/>
              <w:left w:val="single" w:color="999999" w:sz="4"/>
              <w:bottom w:val="single" w:color="999999" w:sz="4"/>
              <w:right w:val="single" w:color="999999" w:sz="4"/>
            </w:tcBorders>
            <w:shd w:fill="D0D0D0" w:val="clear"/>
            <w:tcMar>
              <w:top w:type="dxa" w:w="40"/>
              <w:left w:type="dxa" w:w="80"/>
              <w:bottom w:type="dxa" w:w="40"/>
              <w:right w:type="dxa" w:w="80"/>
            </w:tcMar>
            <w:vAlign w:val="center"/>
          </w:tcPr>
          <w:p>
            <w:pPr>
              <w:jc w:val="left"/>
            </w:pPr>
            <w:r>
              <w:rPr>
                <w:rFonts w:ascii="Times New Roman" w:cs="Times New Roman" w:eastAsia="Times New Roman" w:hAnsi="Times New Roman"/>
                <w:b/>
                <w:bCs/>
                <w:color w:val="000000"/>
                <w:sz w:val="18"/>
                <w:szCs w:val="18"/>
              </w:rPr>
              <w:t xml:space="preserve">NPC</w:t>
            </w:r>
          </w:p>
        </w:tc>
        <w:tc>
          <w:tcPr>
            <w:tcW w:type="dxa" w:w="1980"/>
            <w:tcBorders>
              <w:top w:val="single" w:color="999999" w:sz="4"/>
              <w:left w:val="single" w:color="999999" w:sz="4"/>
              <w:bottom w:val="single" w:color="999999" w:sz="4"/>
              <w:right w:val="single" w:color="999999" w:sz="4"/>
            </w:tcBorders>
            <w:shd w:fill="D0D0D0" w:val="clear"/>
            <w:tcMar>
              <w:top w:type="dxa" w:w="40"/>
              <w:left w:type="dxa" w:w="80"/>
              <w:bottom w:type="dxa" w:w="40"/>
              <w:right w:type="dxa" w:w="80"/>
            </w:tcMar>
            <w:vAlign w:val="center"/>
          </w:tcPr>
          <w:p>
            <w:pPr>
              <w:jc w:val="left"/>
            </w:pPr>
            <w:r>
              <w:rPr>
                <w:rFonts w:ascii="Times New Roman" w:cs="Times New Roman" w:eastAsia="Times New Roman" w:hAnsi="Times New Roman"/>
                <w:b/>
                <w:bCs/>
                <w:color w:val="000000"/>
                <w:sz w:val="18"/>
                <w:szCs w:val="18"/>
              </w:rPr>
              <w:t xml:space="preserve">Flying Capacitor</w:t>
            </w:r>
          </w:p>
        </w:tc>
      </w:tr>
      <w:tr>
        <w:tc>
          <w:tcPr>
            <w:tcW w:type="dxa" w:w="17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Single DC source</w:t>
            </w:r>
          </w:p>
        </w:tc>
        <w:tc>
          <w:tcPr>
            <w:tcW w:type="dxa" w:w="10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 Yes</w:t>
            </w:r>
          </w:p>
        </w:tc>
        <w:tc>
          <w:tcPr>
            <w:tcW w:type="dxa" w:w="198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 Yes</w:t>
            </w:r>
          </w:p>
        </w:tc>
      </w:tr>
      <w:tr>
        <w:tc>
          <w:tcPr>
            <w:tcW w:type="dxa" w:w="17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Device voltage stress</w:t>
            </w:r>
          </w:p>
        </w:tc>
        <w:tc>
          <w:tcPr>
            <w:tcW w:type="dxa" w:w="10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400 V</w:t>
            </w:r>
          </w:p>
        </w:tc>
        <w:tc>
          <w:tcPr>
            <w:tcW w:type="dxa" w:w="198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400 V</w:t>
            </w:r>
          </w:p>
        </w:tc>
      </w:tr>
      <w:tr>
        <w:tc>
          <w:tcPr>
            <w:tcW w:type="dxa" w:w="17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Clamping elements</w:t>
            </w:r>
          </w:p>
        </w:tc>
        <w:tc>
          <w:tcPr>
            <w:tcW w:type="dxa" w:w="10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Diodes</w:t>
            </w:r>
          </w:p>
        </w:tc>
        <w:tc>
          <w:tcPr>
            <w:tcW w:type="dxa" w:w="198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Float. capacitors</w:t>
            </w:r>
          </w:p>
        </w:tc>
      </w:tr>
      <w:tr>
        <w:tc>
          <w:tcPr>
            <w:tcW w:type="dxa" w:w="17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NP balancing req.</w:t>
            </w:r>
          </w:p>
        </w:tc>
        <w:tc>
          <w:tcPr>
            <w:tcW w:type="dxa" w:w="10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Active ctrl.</w:t>
            </w:r>
          </w:p>
        </w:tc>
        <w:tc>
          <w:tcPr>
            <w:tcW w:type="dxa" w:w="198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Self-bal. (PD-PWM)</w:t>
            </w:r>
          </w:p>
        </w:tc>
      </w:tr>
      <w:tr>
        <w:tc>
          <w:tcPr>
            <w:tcW w:type="dxa" w:w="17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Bidirectional symmetry</w:t>
            </w:r>
          </w:p>
        </w:tc>
        <w:tc>
          <w:tcPr>
            <w:tcW w:type="dxa" w:w="10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Asymmetric</w:t>
            </w:r>
          </w:p>
        </w:tc>
        <w:tc>
          <w:tcPr>
            <w:tcW w:type="dxa" w:w="198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Symmetric</w:t>
            </w:r>
          </w:p>
        </w:tc>
      </w:tr>
      <w:tr>
        <w:tc>
          <w:tcPr>
            <w:tcW w:type="dxa" w:w="17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Integrated charging</w:t>
            </w:r>
          </w:p>
        </w:tc>
        <w:tc>
          <w:tcPr>
            <w:tcW w:type="dxa" w:w="10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 Moderate</w:t>
            </w:r>
          </w:p>
        </w:tc>
        <w:tc>
          <w:tcPr>
            <w:tcW w:type="dxa" w:w="198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 Strong</w:t>
            </w:r>
          </w:p>
        </w:tc>
      </w:tr>
      <w:tr>
        <w:tc>
          <w:tcPr>
            <w:tcW w:type="dxa" w:w="17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Fault tolerance</w:t>
            </w:r>
          </w:p>
        </w:tc>
        <w:tc>
          <w:tcPr>
            <w:tcW w:type="dxa" w:w="10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Lower</w:t>
            </w:r>
          </w:p>
        </w:tc>
        <w:tc>
          <w:tcPr>
            <w:tcW w:type="dxa" w:w="198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Higher (cap in series)</w:t>
            </w:r>
          </w:p>
        </w:tc>
      </w:tr>
    </w:tbl>
    <w:p>
      <w:pPr>
        <w:spacing w:after="120" w:before="0"/>
      </w:pPr>
    </w:p>
    <w:p>
      <w:pPr>
        <w:spacing w:after="60" w:before="120"/>
        <w:jc w:val="left"/>
      </w:pPr>
      <w:r>
        <w:rPr>
          <w:rFonts w:ascii="Times New Roman" w:cs="Times New Roman" w:eastAsia="Times New Roman" w:hAnsi="Times New Roman"/>
          <w:b/>
          <w:bCs/>
          <w:i/>
          <w:iCs/>
          <w:color w:val="000000"/>
          <w:sz w:val="20"/>
          <w:szCs w:val="20"/>
        </w:rPr>
        <w:t xml:space="preserve">C.  Modulation Strategy</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Phase Disposition PWM (PD-PWM) is selected as the modulation strategy. In PD-PWM, all carrier waveforms are in phase with one another, concentrating spectral energy into the differential-mode sideband harmonics that drive the flying capacitor voltage-balancing mechanism [3]. This provides superior self-balancing properties compared to phase-shifted carrier PWM. McGrath and Holmes [3] formally demonstrated that PD-PWM produces enhanced voltage balancing through its spectral placement of harmonic energy, making it the preferred strategy for FC converters in variable-load applications.</w:t>
      </w:r>
    </w:p>
    <w:p>
      <w:pPr>
        <w:spacing w:after="60" w:before="120"/>
        <w:jc w:val="left"/>
      </w:pPr>
      <w:r>
        <w:rPr>
          <w:rFonts w:ascii="Times New Roman" w:cs="Times New Roman" w:eastAsia="Times New Roman" w:hAnsi="Times New Roman"/>
          <w:b/>
          <w:bCs/>
          <w:i/>
          <w:iCs/>
          <w:color w:val="000000"/>
          <w:sz w:val="20"/>
          <w:szCs w:val="20"/>
        </w:rPr>
        <w:t xml:space="preserve">D.  Alternative Architecture: Dual-Battery CHB</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For completeness, the Cascaded H-Bridge topology becomes architecturally viable when the vehicle employs two separate battery packs, as in the Tesla Cybertruck (front and rear 400 V packs). Each pack feeds its own H-bridge, yielding a natural five-level output without additional DC-DC conversion. The resulting five-level waveform offers lower THD and independent pack energy management compared to the three-level FC topology.</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However, DC fast charging with a dual-pack CHB requires contactor-based reconfiguration between series (800 V traction) and parallel (400 V charging) connection, adding hardware cost, control complexity, and a reliability failure mode. This architecture falls outside the scope of the present work, which targets integrated traction and charging from a single 800 V source, but represents a relevant performance trade-off for future vehicle architectures.</w:t>
      </w:r>
    </w:p>
    <w:p>
      <w:pPr>
        <w:spacing w:after="80" w:before="160"/>
        <w:jc w:val="center"/>
      </w:pPr>
      <w:r>
        <w:rPr>
          <w:rFonts w:ascii="Times New Roman" w:cs="Times New Roman" w:eastAsia="Times New Roman" w:hAnsi="Times New Roman"/>
          <w:b/>
          <w:bCs/>
          <w:caps/>
          <w:color w:val="000000"/>
          <w:sz w:val="22"/>
          <w:szCs w:val="22"/>
        </w:rPr>
        <w:t xml:space="preserve">III.  Inverter Modelling and Component Sizing</w:t>
      </w:r>
    </w:p>
    <w:p>
      <w:pPr>
        <w:spacing w:after="60" w:before="120"/>
        <w:jc w:val="left"/>
      </w:pPr>
      <w:r>
        <w:rPr>
          <w:rFonts w:ascii="Times New Roman" w:cs="Times New Roman" w:eastAsia="Times New Roman" w:hAnsi="Times New Roman"/>
          <w:b/>
          <w:bCs/>
          <w:i/>
          <w:iCs/>
          <w:color w:val="000000"/>
          <w:sz w:val="20"/>
          <w:szCs w:val="20"/>
        </w:rPr>
        <w:t xml:space="preserve">A.  Inverter Schematic and Device Specification</w:t>
      </w:r>
    </w:p>
    <w:p>
      <w:pPr>
        <w:pBdr>
          <w:top w:val="single" w:color="AAAAAA" w:sz="4"/>
          <w:bottom w:val="single" w:color="AAAAAA" w:sz="4"/>
          <w:left w:val="single" w:color="AAAAAA" w:sz="4"/>
          <w:right w:val="single" w:color="AAAAAA" w:sz="4"/>
        </w:pBdr>
        <w:spacing w:after="40" w:before="80"/>
        <w:jc w:val="center"/>
      </w:pPr>
      <w:r>
        <w:rPr>
          <w:rFonts w:ascii="Times New Roman" w:cs="Times New Roman" w:eastAsia="Times New Roman" w:hAnsi="Times New Roman"/>
          <w:i/>
          <w:iCs/>
          <w:color w:val="888888"/>
          <w:sz w:val="18"/>
          <w:szCs w:val="18"/>
        </w:rPr>
        <w:t xml:space="preserve">[Fig. 1: Three-phase three-level FC inverter schematic (one phase leg shown). S1–S4 are 650 V SiC MOSFETs; Cfc is the flying capacitor pre-charged to Vdc/2]</w:t>
      </w:r>
    </w:p>
    <w:p>
      <w:pPr>
        <w:spacing w:after="80" w:before="20"/>
        <w:jc w:val="center"/>
      </w:pPr>
      <w:r>
        <w:rPr>
          <w:rFonts w:ascii="Times New Roman" w:cs="Times New Roman" w:eastAsia="Times New Roman" w:hAnsi="Times New Roman"/>
          <w:i/>
          <w:iCs/>
          <w:color w:val="000000"/>
          <w:sz w:val="18"/>
          <w:szCs w:val="18"/>
        </w:rPr>
        <w:t xml:space="preserve">Fig. 1.  Three-phase three-level FC inverter schematic (one phase leg shown). S1–S4 are 650 V SiC MOSFETs; Cfc is the flying capacitor pre-charged to Vdc/2.</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The FC inverter consists of three identical phase legs, each comprising four series-connected SiC MOSFETs (S1–S4) and one floating capacitor C\u2071\u2084. The DC bus is split symmetrically at ±400 V. Each device blocks a maximum of V\u2090\u2084/2 = 400 V, permitting the use of 650 V-rated SiC MOSFETs with a derating factor of approximately 1.5×. At 800 V, SiC MOSFETs provide substantially lower switching losses and higher thermal conductivity than equivalent silicon IGBTs, consistent with recent WBG device deployments in high-voltage EV traction [1]. Device current rating of 300–600 A is selected with derating from the 250 A peak phase current estimate.</w:t>
      </w:r>
    </w:p>
    <w:p>
      <w:pPr>
        <w:spacing w:after="60" w:before="120"/>
        <w:jc w:val="left"/>
      </w:pPr>
      <w:r>
        <w:rPr>
          <w:rFonts w:ascii="Times New Roman" w:cs="Times New Roman" w:eastAsia="Times New Roman" w:hAnsi="Times New Roman"/>
          <w:b/>
          <w:bCs/>
          <w:i/>
          <w:iCs/>
          <w:color w:val="000000"/>
          <w:sz w:val="20"/>
          <w:szCs w:val="20"/>
        </w:rPr>
        <w:t xml:space="preserve">B.  Flying Capacitor Sizing</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The flying capacitor must maintain V\u2090\u2084/2 = 400 V within a defined ripple budget. Sizing is performed at the worst-case operating point: peak phase current I\u209A\u210E = 250 A and minimum scheduled switching frequency f\u209B\u1D65 = 5 kHz (urban operation). The peak-to-peak voltage ripple is given by:</w:t>
      </w:r>
    </w:p>
    <w:p>
      <w:pPr>
        <w:spacing w:after="80" w:before="80"/>
        <w:jc w:val="center"/>
      </w:pPr>
      <w:r>
        <w:rPr>
          <w:rFonts w:ascii="Times New Roman" w:cs="Times New Roman" w:eastAsia="Times New Roman" w:hAnsi="Times New Roman"/>
          <w:b w:val="false"/>
          <w:bCs w:val="false"/>
          <w:i/>
          <w:iCs/>
          <w:sz w:val="20"/>
          <w:szCs w:val="20"/>
        </w:rPr>
        <w:t xml:space="preserve">ΔVc = (Iph × ΔD) / (2 × fsw × C)</w:t>
      </w:r>
    </w:p>
    <w:p>
      <w:pPr>
        <w:spacing w:after="100" w:before="0" w:line="240"/>
        <w:jc w:val="both"/>
      </w:pPr>
      <w:r>
        <w:rPr>
          <w:rFonts w:ascii="Times New Roman" w:cs="Times New Roman" w:eastAsia="Times New Roman" w:hAnsi="Times New Roman"/>
          <w:b w:val="false"/>
          <w:bCs w:val="false"/>
          <w:i w:val="false"/>
          <w:iCs w:val="false"/>
          <w:color w:val="000000"/>
          <w:sz w:val="20"/>
          <w:szCs w:val="20"/>
        </w:rPr>
        <w:t xml:space="preserve">Rearranging for minimum required capacitance and applying a 2.5% ripple target (ΔVc = 10 V) yields C ≥ 1.25 mF. A 20% design margin is added to account for capacitance tolerance and ageing, giving a selected capacitance of C\u209B\u2091\u2097 = 1.5 mF per phase. Table III summarises the sizing parameters.</w:t>
      </w:r>
    </w:p>
    <w:p>
      <w:pPr>
        <w:spacing w:after="80" w:before="0"/>
      </w:pPr>
    </w:p>
    <w:p>
      <w:pPr>
        <w:spacing w:after="40" w:before="80"/>
        <w:jc w:val="center"/>
      </w:pPr>
      <w:r>
        <w:rPr>
          <w:rFonts w:ascii="Arial" w:cs="Arial" w:eastAsia="Arial" w:hAnsi="Arial"/>
          <w:b/>
          <w:bCs/>
          <w:caps/>
          <w:color w:val="000000"/>
          <w:sz w:val="18"/>
          <w:szCs w:val="18"/>
        </w:rPr>
        <w:t xml:space="preserve">TABLE III</w:t>
      </w:r>
      <w:r>
        <w:rPr>
          <w:rFonts w:ascii="Arial" w:cs="Arial" w:eastAsia="Arial" w:hAnsi="Arial"/>
          <w:i/>
          <w:iCs/>
          <w:color w:val="000000"/>
          <w:sz w:val="18"/>
          <w:szCs w:val="18"/>
        </w:rPr>
        <w:t xml:space="preserve">
Flying Capacitor Sizing Parameters</w:t>
      </w:r>
    </w:p>
    <w:tbl>
      <w:tblPr>
        <w:tblW w:type="dxa" w:w="4680"/>
      </w:tblPr>
      <w:tblGrid>
        <w:gridCol w:w="1500"/>
        <w:gridCol w:w="900"/>
        <w:gridCol w:w="2280"/>
      </w:tblGrid>
      <w:tr>
        <w:tc>
          <w:tcPr>
            <w:tcW w:type="dxa" w:w="1500"/>
            <w:tcBorders>
              <w:top w:val="single" w:color="999999" w:sz="4"/>
              <w:left w:val="single" w:color="999999" w:sz="4"/>
              <w:bottom w:val="single" w:color="999999" w:sz="4"/>
              <w:right w:val="single" w:color="999999" w:sz="4"/>
            </w:tcBorders>
            <w:shd w:fill="D0D0D0" w:val="clear"/>
            <w:tcMar>
              <w:top w:type="dxa" w:w="40"/>
              <w:left w:type="dxa" w:w="80"/>
              <w:bottom w:type="dxa" w:w="40"/>
              <w:right w:type="dxa" w:w="80"/>
            </w:tcMar>
            <w:vAlign w:val="center"/>
          </w:tcPr>
          <w:p>
            <w:pPr>
              <w:jc w:val="left"/>
            </w:pPr>
            <w:r>
              <w:rPr>
                <w:rFonts w:ascii="Times New Roman" w:cs="Times New Roman" w:eastAsia="Times New Roman" w:hAnsi="Times New Roman"/>
                <w:b/>
                <w:bCs/>
                <w:color w:val="000000"/>
                <w:sz w:val="18"/>
                <w:szCs w:val="18"/>
              </w:rPr>
              <w:t xml:space="preserve">Parameter</w:t>
            </w:r>
          </w:p>
        </w:tc>
        <w:tc>
          <w:tcPr>
            <w:tcW w:type="dxa" w:w="900"/>
            <w:tcBorders>
              <w:top w:val="single" w:color="999999" w:sz="4"/>
              <w:left w:val="single" w:color="999999" w:sz="4"/>
              <w:bottom w:val="single" w:color="999999" w:sz="4"/>
              <w:right w:val="single" w:color="999999" w:sz="4"/>
            </w:tcBorders>
            <w:shd w:fill="D0D0D0" w:val="clear"/>
            <w:tcMar>
              <w:top w:type="dxa" w:w="40"/>
              <w:left w:type="dxa" w:w="80"/>
              <w:bottom w:type="dxa" w:w="40"/>
              <w:right w:type="dxa" w:w="80"/>
            </w:tcMar>
            <w:vAlign w:val="center"/>
          </w:tcPr>
          <w:p>
            <w:pPr>
              <w:jc w:val="left"/>
            </w:pPr>
            <w:r>
              <w:rPr>
                <w:rFonts w:ascii="Times New Roman" w:cs="Times New Roman" w:eastAsia="Times New Roman" w:hAnsi="Times New Roman"/>
                <w:b/>
                <w:bCs/>
                <w:color w:val="000000"/>
                <w:sz w:val="18"/>
                <w:szCs w:val="18"/>
              </w:rPr>
              <w:t xml:space="preserve">Symbol</w:t>
            </w:r>
          </w:p>
        </w:tc>
        <w:tc>
          <w:tcPr>
            <w:tcW w:type="dxa" w:w="2280"/>
            <w:tcBorders>
              <w:top w:val="single" w:color="999999" w:sz="4"/>
              <w:left w:val="single" w:color="999999" w:sz="4"/>
              <w:bottom w:val="single" w:color="999999" w:sz="4"/>
              <w:right w:val="single" w:color="999999" w:sz="4"/>
            </w:tcBorders>
            <w:shd w:fill="D0D0D0" w:val="clear"/>
            <w:tcMar>
              <w:top w:type="dxa" w:w="40"/>
              <w:left w:type="dxa" w:w="80"/>
              <w:bottom w:type="dxa" w:w="40"/>
              <w:right w:type="dxa" w:w="80"/>
            </w:tcMar>
            <w:vAlign w:val="center"/>
          </w:tcPr>
          <w:p>
            <w:pPr>
              <w:jc w:val="left"/>
            </w:pPr>
            <w:r>
              <w:rPr>
                <w:rFonts w:ascii="Times New Roman" w:cs="Times New Roman" w:eastAsia="Times New Roman" w:hAnsi="Times New Roman"/>
                <w:b/>
                <w:bCs/>
                <w:color w:val="000000"/>
                <w:sz w:val="18"/>
                <w:szCs w:val="18"/>
              </w:rPr>
              <w:t xml:space="preserve">Value</w:t>
            </w:r>
          </w:p>
        </w:tc>
      </w:tr>
      <w:tr>
        <w:tc>
          <w:tcPr>
            <w:tcW w:type="dxa" w:w="15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FC nominal voltage</w:t>
            </w:r>
          </w:p>
        </w:tc>
        <w:tc>
          <w:tcPr>
            <w:tcW w:type="dxa" w:w="9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Vc</w:t>
            </w:r>
          </w:p>
        </w:tc>
        <w:tc>
          <w:tcPr>
            <w:tcW w:type="dxa" w:w="228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400 V (= Vdc/2)</w:t>
            </w:r>
          </w:p>
        </w:tc>
      </w:tr>
      <w:tr>
        <w:tc>
          <w:tcPr>
            <w:tcW w:type="dxa" w:w="15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Peak phase current</w:t>
            </w:r>
          </w:p>
        </w:tc>
        <w:tc>
          <w:tcPr>
            <w:tcW w:type="dxa" w:w="9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Iph</w:t>
            </w:r>
          </w:p>
        </w:tc>
        <w:tc>
          <w:tcPr>
            <w:tcW w:type="dxa" w:w="228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250 A (worst case)</w:t>
            </w:r>
          </w:p>
        </w:tc>
      </w:tr>
      <w:tr>
        <w:tc>
          <w:tcPr>
            <w:tcW w:type="dxa" w:w="15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Max duty imbalance</w:t>
            </w:r>
          </w:p>
        </w:tc>
        <w:tc>
          <w:tcPr>
            <w:tcW w:type="dxa" w:w="9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ΔD</w:t>
            </w:r>
          </w:p>
        </w:tc>
        <w:tc>
          <w:tcPr>
            <w:tcW w:type="dxa" w:w="228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0.5 (conservative)</w:t>
            </w:r>
          </w:p>
        </w:tc>
      </w:tr>
      <w:tr>
        <w:tc>
          <w:tcPr>
            <w:tcW w:type="dxa" w:w="15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Min. switching freq.</w:t>
            </w:r>
          </w:p>
        </w:tc>
        <w:tc>
          <w:tcPr>
            <w:tcW w:type="dxa" w:w="9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fsw,min</w:t>
            </w:r>
          </w:p>
        </w:tc>
        <w:tc>
          <w:tcPr>
            <w:tcW w:type="dxa" w:w="228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5 kHz (urban)</w:t>
            </w:r>
          </w:p>
        </w:tc>
      </w:tr>
      <w:tr>
        <w:tc>
          <w:tcPr>
            <w:tcW w:type="dxa" w:w="15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Ripple target</w:t>
            </w:r>
          </w:p>
        </w:tc>
        <w:tc>
          <w:tcPr>
            <w:tcW w:type="dxa" w:w="9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ΔVc</w:t>
            </w:r>
          </w:p>
        </w:tc>
        <w:tc>
          <w:tcPr>
            <w:tcW w:type="dxa" w:w="228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10 V pk-pk (2.5%)</w:t>
            </w:r>
          </w:p>
        </w:tc>
      </w:tr>
      <w:tr>
        <w:tc>
          <w:tcPr>
            <w:tcW w:type="dxa" w:w="15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Required C</w:t>
            </w:r>
          </w:p>
        </w:tc>
        <w:tc>
          <w:tcPr>
            <w:tcW w:type="dxa" w:w="9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Cmin</w:t>
            </w:r>
          </w:p>
        </w:tc>
        <w:tc>
          <w:tcPr>
            <w:tcW w:type="dxa" w:w="228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 1.25 mF</w:t>
            </w:r>
          </w:p>
        </w:tc>
      </w:tr>
      <w:tr>
        <w:tc>
          <w:tcPr>
            <w:tcW w:type="dxa" w:w="15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Selected C (+20% margin)</w:t>
            </w:r>
          </w:p>
        </w:tc>
        <w:tc>
          <w:tcPr>
            <w:tcW w:type="dxa" w:w="9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Csel</w:t>
            </w:r>
          </w:p>
        </w:tc>
        <w:tc>
          <w:tcPr>
            <w:tcW w:type="dxa" w:w="228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1.5 mF per phase</w:t>
            </w:r>
          </w:p>
        </w:tc>
      </w:tr>
      <w:tr>
        <w:tc>
          <w:tcPr>
            <w:tcW w:type="dxa" w:w="15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RMS ripple current</w:t>
            </w:r>
          </w:p>
        </w:tc>
        <w:tc>
          <w:tcPr>
            <w:tcW w:type="dxa" w:w="9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Ic,rms</w:t>
            </w:r>
          </w:p>
        </w:tc>
        <w:tc>
          <w:tcPr>
            <w:tcW w:type="dxa" w:w="228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~88 A RMS (D = 0.5)</w:t>
            </w:r>
          </w:p>
        </w:tc>
      </w:tr>
      <w:tr>
        <w:tc>
          <w:tcPr>
            <w:tcW w:type="dxa" w:w="15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Voltage rating</w:t>
            </w:r>
          </w:p>
        </w:tc>
        <w:tc>
          <w:tcPr>
            <w:tcW w:type="dxa" w:w="9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Vrated</w:t>
            </w:r>
          </w:p>
        </w:tc>
        <w:tc>
          <w:tcPr>
            <w:tcW w:type="dxa" w:w="228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 630 V DC (700 V part)</w:t>
            </w:r>
          </w:p>
        </w:tc>
      </w:tr>
      <w:tr>
        <w:tc>
          <w:tcPr>
            <w:tcW w:type="dxa" w:w="15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Capacitor type</w:t>
            </w:r>
          </w:p>
        </w:tc>
        <w:tc>
          <w:tcPr>
            <w:tcW w:type="dxa" w:w="9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w:t>
            </w:r>
          </w:p>
        </w:tc>
        <w:tc>
          <w:tcPr>
            <w:tcW w:type="dxa" w:w="228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MKP film (self-healing PP)</w:t>
            </w:r>
          </w:p>
        </w:tc>
      </w:tr>
    </w:tbl>
    <w:p>
      <w:pPr>
        <w:spacing w:after="120" w:before="0"/>
      </w:pPr>
    </w:p>
    <w:p>
      <w:pPr>
        <w:spacing w:after="100" w:before="0" w:line="240"/>
        <w:jc w:val="both"/>
      </w:pPr>
      <w:r>
        <w:rPr>
          <w:rFonts w:ascii="Times New Roman" w:cs="Times New Roman" w:eastAsia="Times New Roman" w:hAnsi="Times New Roman"/>
          <w:b w:val="false"/>
          <w:bCs w:val="false"/>
          <w:i w:val="false"/>
          <w:iCs w:val="false"/>
          <w:color w:val="000000"/>
          <w:sz w:val="20"/>
          <w:szCs w:val="20"/>
        </w:rPr>
        <w:t xml:space="preserve">Metallised polypropylene (MKP) film capacitors are selected for their self-healing breakdown behaviour, low ESR, and bidirectional current capability. Three units of 500 μF in parallel per phase yields 1.5 mF, with each unit carrying approximately 29 A RMS ripple current — within the rated capability of power-grade MKP units at this voltage class. Representative parts include the Vishay MKP1848C series and TDK/EPCOS B25655 (AEC-Q200 qualified) [6].</w:t>
      </w:r>
    </w:p>
    <w:p>
      <w:pPr>
        <w:spacing w:after="100" w:before="0" w:line="240"/>
        <w:jc w:val="both"/>
      </w:pPr>
      <w:r>
        <w:rPr>
          <w:rFonts w:ascii="Times New Roman" w:cs="Times New Roman" w:eastAsia="Times New Roman" w:hAnsi="Times New Roman"/>
          <w:b w:val="false"/>
          <w:bCs w:val="false"/>
          <w:i w:val="false"/>
          <w:iCs w:val="false"/>
          <w:color w:val="000000"/>
          <w:sz w:val="20"/>
          <w:szCs w:val="20"/>
        </w:rPr>
        <w:t xml:space="preserve">A pre-charge requirement is acknowledged as a practical limitation of the FC topology: the flying capacitor must be charged to 400 V prior to normal PWM operation using a current-limiting resistor or active current control. This adds startup complexity relative to NPC [2].</w:t>
      </w:r>
    </w:p>
    <w:p>
      <w:pPr>
        <w:spacing w:after="60" w:before="120"/>
        <w:jc w:val="left"/>
      </w:pPr>
      <w:r>
        <w:rPr>
          <w:rFonts w:ascii="Times New Roman" w:cs="Times New Roman" w:eastAsia="Times New Roman" w:hAnsi="Times New Roman"/>
          <w:b/>
          <w:bCs/>
          <w:i/>
          <w:iCs/>
          <w:color w:val="000000"/>
          <w:sz w:val="20"/>
          <w:szCs w:val="20"/>
        </w:rPr>
        <w:t xml:space="preserve">C.  Loss and Thermal Model</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A simplified loss model is employed. Conduction losses are computed as P\u2084\u2092\u2099\u2090 = R\u2090\u209B_\u2092\u2099 × I² × dt, accumulated over the drive cycle. Switching losses are scaled linearly with current and quadratically with voltage from reference energy values E\u2092\u2099_\u2082\u2091\u2071 = 0.5 mJ and E\u2092\u2071\u2071_\u2082\u2091\u2071 = 0.3 mJ at 400 V and 250 A. Junction temperature is estimated using a thermal RC model: R\u209C\u210E_\u2081\u2084 = 0.15 °C/W, R\u209C\u210E_\u2084\u2095 = 0.05 °C/W, T\u2090\u2098\u2093 = 40 °C, thermal time constant τ\u209C\u210E = 50 ms. This model is intentionally simplified; a more rigorous treatment would incorporate device-level datasheet switching energy curves and measured thermal impedance data.</w:t>
      </w:r>
    </w:p>
    <w:p>
      <w:pPr>
        <w:spacing w:after="80" w:before="160"/>
        <w:jc w:val="center"/>
      </w:pPr>
      <w:r>
        <w:rPr>
          <w:rFonts w:ascii="Times New Roman" w:cs="Times New Roman" w:eastAsia="Times New Roman" w:hAnsi="Times New Roman"/>
          <w:b/>
          <w:bCs/>
          <w:caps/>
          <w:color w:val="000000"/>
          <w:sz w:val="22"/>
          <w:szCs w:val="22"/>
        </w:rPr>
        <w:t xml:space="preserve">IV.  Simulation Results</w:t>
      </w:r>
    </w:p>
    <w:p>
      <w:pPr>
        <w:spacing w:after="60" w:before="120"/>
        <w:jc w:val="left"/>
      </w:pPr>
      <w:r>
        <w:rPr>
          <w:rFonts w:ascii="Times New Roman" w:cs="Times New Roman" w:eastAsia="Times New Roman" w:hAnsi="Times New Roman"/>
          <w:b/>
          <w:bCs/>
          <w:i/>
          <w:iCs/>
          <w:color w:val="000000"/>
          <w:sz w:val="20"/>
          <w:szCs w:val="20"/>
        </w:rPr>
        <w:t xml:space="preserve">A.  Drive Cycle and Frequency Scheduling</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A MATLAB state-space simulation was implemented using forward-Euler integration at a 1 μs timestep (850 000 steps over 0.85 s). The drive cycle covers ten operating segments from standstill through urban (0–60 km/h) to highway (80–140 km/h) conditions. Switching frequency is scheduled in three bands based on vehicle speed, as detailed in Table IV.</w:t>
      </w:r>
    </w:p>
    <w:p>
      <w:pPr>
        <w:spacing w:after="80" w:before="0" w:line="240"/>
        <w:jc w:val="both"/>
      </w:pPr>
      <w:r>
        <w:rPr>
          <w:rFonts w:ascii="Times New Roman" w:cs="Times New Roman" w:eastAsia="Times New Roman" w:hAnsi="Times New Roman"/>
          <w:i/>
          <w:iCs/>
          <w:color w:val="666666"/>
          <w:sz w:val="18"/>
          <w:szCs w:val="18"/>
        </w:rPr>
        <w:t xml:space="preserve">Note on frequency values: The electrical frequencies listed in Table IV are derived from the simulation's speed-to-rpm mapping. Authors must verify that the motor mechanical speed (rpm) used in the simulation is computed from vehicle speed using consistent gear ratio and tyre radius parameters. The high fe values at highway speed (&gt;3000 Hz) imply very high mechanical speeds and should be cross-checked against motor rated speed specifications. If gear ratio is not accounted for, fe will be significantly overestimated.</w:t>
      </w:r>
    </w:p>
    <w:p>
      <w:pPr>
        <w:spacing w:after="80" w:before="0"/>
      </w:pPr>
    </w:p>
    <w:p>
      <w:pPr>
        <w:spacing w:after="40" w:before="80"/>
        <w:jc w:val="center"/>
      </w:pPr>
      <w:r>
        <w:rPr>
          <w:rFonts w:ascii="Arial" w:cs="Arial" w:eastAsia="Arial" w:hAnsi="Arial"/>
          <w:b/>
          <w:bCs/>
          <w:caps/>
          <w:color w:val="000000"/>
          <w:sz w:val="18"/>
          <w:szCs w:val="18"/>
        </w:rPr>
        <w:t xml:space="preserve">TABLE IV</w:t>
      </w:r>
      <w:r>
        <w:rPr>
          <w:rFonts w:ascii="Arial" w:cs="Arial" w:eastAsia="Arial" w:hAnsi="Arial"/>
          <w:i/>
          <w:iCs/>
          <w:color w:val="000000"/>
          <w:sz w:val="18"/>
          <w:szCs w:val="18"/>
        </w:rPr>
        <w:t xml:space="preserve">
Drive Cycle Segments with Scheduled Switching Frequency</w:t>
      </w:r>
    </w:p>
    <w:tbl>
      <w:tblPr>
        <w:tblW w:type="dxa" w:w="4680"/>
      </w:tblPr>
      <w:tblGrid>
        <w:gridCol w:w="720"/>
        <w:gridCol w:w="780"/>
        <w:gridCol w:w="750"/>
        <w:gridCol w:w="820"/>
        <w:gridCol w:w="1610"/>
      </w:tblGrid>
      <w:tr>
        <w:tc>
          <w:tcPr>
            <w:tcW w:type="dxa" w:w="720"/>
            <w:tcBorders>
              <w:top w:val="single" w:color="999999" w:sz="4"/>
              <w:left w:val="single" w:color="999999" w:sz="4"/>
              <w:bottom w:val="single" w:color="999999" w:sz="4"/>
              <w:right w:val="single" w:color="999999" w:sz="4"/>
            </w:tcBorders>
            <w:shd w:fill="D0D0D0" w:val="clear"/>
            <w:tcMar>
              <w:top w:type="dxa" w:w="40"/>
              <w:left w:type="dxa" w:w="80"/>
              <w:bottom w:type="dxa" w:w="40"/>
              <w:right w:type="dxa" w:w="80"/>
            </w:tcMar>
            <w:vAlign w:val="center"/>
          </w:tcPr>
          <w:p>
            <w:pPr>
              <w:jc w:val="left"/>
            </w:pPr>
            <w:r>
              <w:rPr>
                <w:rFonts w:ascii="Times New Roman" w:cs="Times New Roman" w:eastAsia="Times New Roman" w:hAnsi="Times New Roman"/>
                <w:b/>
                <w:bCs/>
                <w:color w:val="000000"/>
                <w:sz w:val="18"/>
                <w:szCs w:val="18"/>
              </w:rPr>
              <w:t xml:space="preserve">Seg.</w:t>
            </w:r>
          </w:p>
        </w:tc>
        <w:tc>
          <w:tcPr>
            <w:tcW w:type="dxa" w:w="780"/>
            <w:tcBorders>
              <w:top w:val="single" w:color="999999" w:sz="4"/>
              <w:left w:val="single" w:color="999999" w:sz="4"/>
              <w:bottom w:val="single" w:color="999999" w:sz="4"/>
              <w:right w:val="single" w:color="999999" w:sz="4"/>
            </w:tcBorders>
            <w:shd w:fill="D0D0D0" w:val="clear"/>
            <w:tcMar>
              <w:top w:type="dxa" w:w="40"/>
              <w:left w:type="dxa" w:w="80"/>
              <w:bottom w:type="dxa" w:w="40"/>
              <w:right w:type="dxa" w:w="80"/>
            </w:tcMar>
            <w:vAlign w:val="center"/>
          </w:tcPr>
          <w:p>
            <w:pPr>
              <w:jc w:val="left"/>
            </w:pPr>
            <w:r>
              <w:rPr>
                <w:rFonts w:ascii="Times New Roman" w:cs="Times New Roman" w:eastAsia="Times New Roman" w:hAnsi="Times New Roman"/>
                <w:b/>
                <w:bCs/>
                <w:color w:val="000000"/>
                <w:sz w:val="18"/>
                <w:szCs w:val="18"/>
              </w:rPr>
              <w:t xml:space="preserve">v (km/h)</w:t>
            </w:r>
          </w:p>
        </w:tc>
        <w:tc>
          <w:tcPr>
            <w:tcW w:type="dxa" w:w="750"/>
            <w:tcBorders>
              <w:top w:val="single" w:color="999999" w:sz="4"/>
              <w:left w:val="single" w:color="999999" w:sz="4"/>
              <w:bottom w:val="single" w:color="999999" w:sz="4"/>
              <w:right w:val="single" w:color="999999" w:sz="4"/>
            </w:tcBorders>
            <w:shd w:fill="D0D0D0" w:val="clear"/>
            <w:tcMar>
              <w:top w:type="dxa" w:w="40"/>
              <w:left w:type="dxa" w:w="80"/>
              <w:bottom w:type="dxa" w:w="40"/>
              <w:right w:type="dxa" w:w="80"/>
            </w:tcMar>
            <w:vAlign w:val="center"/>
          </w:tcPr>
          <w:p>
            <w:pPr>
              <w:jc w:val="left"/>
            </w:pPr>
            <w:r>
              <w:rPr>
                <w:rFonts w:ascii="Times New Roman" w:cs="Times New Roman" w:eastAsia="Times New Roman" w:hAnsi="Times New Roman"/>
                <w:b/>
                <w:bCs/>
                <w:color w:val="000000"/>
                <w:sz w:val="18"/>
                <w:szCs w:val="18"/>
              </w:rPr>
              <w:t xml:space="preserve">fe (Hz)</w:t>
            </w:r>
          </w:p>
        </w:tc>
        <w:tc>
          <w:tcPr>
            <w:tcW w:type="dxa" w:w="820"/>
            <w:tcBorders>
              <w:top w:val="single" w:color="999999" w:sz="4"/>
              <w:left w:val="single" w:color="999999" w:sz="4"/>
              <w:bottom w:val="single" w:color="999999" w:sz="4"/>
              <w:right w:val="single" w:color="999999" w:sz="4"/>
            </w:tcBorders>
            <w:shd w:fill="D0D0D0" w:val="clear"/>
            <w:tcMar>
              <w:top w:type="dxa" w:w="40"/>
              <w:left w:type="dxa" w:w="80"/>
              <w:bottom w:type="dxa" w:w="40"/>
              <w:right w:type="dxa" w:w="80"/>
            </w:tcMar>
            <w:vAlign w:val="center"/>
          </w:tcPr>
          <w:p>
            <w:pPr>
              <w:jc w:val="left"/>
            </w:pPr>
            <w:r>
              <w:rPr>
                <w:rFonts w:ascii="Times New Roman" w:cs="Times New Roman" w:eastAsia="Times New Roman" w:hAnsi="Times New Roman"/>
                <w:b/>
                <w:bCs/>
                <w:color w:val="000000"/>
                <w:sz w:val="18"/>
                <w:szCs w:val="18"/>
              </w:rPr>
              <w:t xml:space="preserve">fsw (kHz)</w:t>
            </w:r>
          </w:p>
        </w:tc>
        <w:tc>
          <w:tcPr>
            <w:tcW w:type="dxa" w:w="1610"/>
            <w:tcBorders>
              <w:top w:val="single" w:color="999999" w:sz="4"/>
              <w:left w:val="single" w:color="999999" w:sz="4"/>
              <w:bottom w:val="single" w:color="999999" w:sz="4"/>
              <w:right w:val="single" w:color="999999" w:sz="4"/>
            </w:tcBorders>
            <w:shd w:fill="D0D0D0" w:val="clear"/>
            <w:tcMar>
              <w:top w:type="dxa" w:w="40"/>
              <w:left w:type="dxa" w:w="80"/>
              <w:bottom w:type="dxa" w:w="40"/>
              <w:right w:type="dxa" w:w="80"/>
            </w:tcMar>
            <w:vAlign w:val="center"/>
          </w:tcPr>
          <w:p>
            <w:pPr>
              <w:jc w:val="left"/>
            </w:pPr>
            <w:r>
              <w:rPr>
                <w:rFonts w:ascii="Times New Roman" w:cs="Times New Roman" w:eastAsia="Times New Roman" w:hAnsi="Times New Roman"/>
                <w:b/>
                <w:bCs/>
                <w:color w:val="000000"/>
                <w:sz w:val="18"/>
                <w:szCs w:val="18"/>
              </w:rPr>
              <w:t xml:space="preserve">Region</w:t>
            </w:r>
          </w:p>
        </w:tc>
      </w:tr>
      <w:tr>
        <w:tc>
          <w:tcPr>
            <w:tcW w:type="dxa" w:w="72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1</w:t>
            </w:r>
          </w:p>
        </w:tc>
        <w:tc>
          <w:tcPr>
            <w:tcW w:type="dxa" w:w="78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0</w:t>
            </w:r>
          </w:p>
        </w:tc>
        <w:tc>
          <w:tcPr>
            <w:tcW w:type="dxa" w:w="75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1.0†</w:t>
            </w:r>
          </w:p>
        </w:tc>
        <w:tc>
          <w:tcPr>
            <w:tcW w:type="dxa" w:w="82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5</w:t>
            </w:r>
          </w:p>
        </w:tc>
        <w:tc>
          <w:tcPr>
            <w:tcW w:type="dxa" w:w="161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Urban (standstill)</w:t>
            </w:r>
          </w:p>
        </w:tc>
      </w:tr>
      <w:tr>
        <w:tc>
          <w:tcPr>
            <w:tcW w:type="dxa" w:w="72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2</w:t>
            </w:r>
          </w:p>
        </w:tc>
        <w:tc>
          <w:tcPr>
            <w:tcW w:type="dxa" w:w="78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20</w:t>
            </w:r>
          </w:p>
        </w:tc>
        <w:tc>
          <w:tcPr>
            <w:tcW w:type="dxa" w:w="75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106.7†</w:t>
            </w:r>
          </w:p>
        </w:tc>
        <w:tc>
          <w:tcPr>
            <w:tcW w:type="dxa" w:w="82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5</w:t>
            </w:r>
          </w:p>
        </w:tc>
        <w:tc>
          <w:tcPr>
            <w:tcW w:type="dxa" w:w="161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Urban low</w:t>
            </w:r>
          </w:p>
        </w:tc>
      </w:tr>
      <w:tr>
        <w:tc>
          <w:tcPr>
            <w:tcW w:type="dxa" w:w="72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3</w:t>
            </w:r>
          </w:p>
        </w:tc>
        <w:tc>
          <w:tcPr>
            <w:tcW w:type="dxa" w:w="78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40</w:t>
            </w:r>
          </w:p>
        </w:tc>
        <w:tc>
          <w:tcPr>
            <w:tcW w:type="dxa" w:w="75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213.3†</w:t>
            </w:r>
          </w:p>
        </w:tc>
        <w:tc>
          <w:tcPr>
            <w:tcW w:type="dxa" w:w="82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5</w:t>
            </w:r>
          </w:p>
        </w:tc>
        <w:tc>
          <w:tcPr>
            <w:tcW w:type="dxa" w:w="161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Urban mid</w:t>
            </w:r>
          </w:p>
        </w:tc>
      </w:tr>
      <w:tr>
        <w:tc>
          <w:tcPr>
            <w:tcW w:type="dxa" w:w="72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4</w:t>
            </w:r>
          </w:p>
        </w:tc>
        <w:tc>
          <w:tcPr>
            <w:tcW w:type="dxa" w:w="78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60</w:t>
            </w:r>
          </w:p>
        </w:tc>
        <w:tc>
          <w:tcPr>
            <w:tcW w:type="dxa" w:w="75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320.0†</w:t>
            </w:r>
          </w:p>
        </w:tc>
        <w:tc>
          <w:tcPr>
            <w:tcW w:type="dxa" w:w="82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5</w:t>
            </w:r>
          </w:p>
        </w:tc>
        <w:tc>
          <w:tcPr>
            <w:tcW w:type="dxa" w:w="161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Urban high</w:t>
            </w:r>
          </w:p>
        </w:tc>
      </w:tr>
      <w:tr>
        <w:tc>
          <w:tcPr>
            <w:tcW w:type="dxa" w:w="72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5</w:t>
            </w:r>
          </w:p>
        </w:tc>
        <w:tc>
          <w:tcPr>
            <w:tcW w:type="dxa" w:w="78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20</w:t>
            </w:r>
          </w:p>
        </w:tc>
        <w:tc>
          <w:tcPr>
            <w:tcW w:type="dxa" w:w="75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106.7†</w:t>
            </w:r>
          </w:p>
        </w:tc>
        <w:tc>
          <w:tcPr>
            <w:tcW w:type="dxa" w:w="82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5</w:t>
            </w:r>
          </w:p>
        </w:tc>
        <w:tc>
          <w:tcPr>
            <w:tcW w:type="dxa" w:w="161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Deceleration</w:t>
            </w:r>
          </w:p>
        </w:tc>
      </w:tr>
      <w:tr>
        <w:tc>
          <w:tcPr>
            <w:tcW w:type="dxa" w:w="72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6</w:t>
            </w:r>
          </w:p>
        </w:tc>
        <w:tc>
          <w:tcPr>
            <w:tcW w:type="dxa" w:w="78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0</w:t>
            </w:r>
          </w:p>
        </w:tc>
        <w:tc>
          <w:tcPr>
            <w:tcW w:type="dxa" w:w="75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1.0†</w:t>
            </w:r>
          </w:p>
        </w:tc>
        <w:tc>
          <w:tcPr>
            <w:tcW w:type="dxa" w:w="82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5</w:t>
            </w:r>
          </w:p>
        </w:tc>
        <w:tc>
          <w:tcPr>
            <w:tcW w:type="dxa" w:w="161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Stop</w:t>
            </w:r>
          </w:p>
        </w:tc>
      </w:tr>
      <w:tr>
        <w:tc>
          <w:tcPr>
            <w:tcW w:type="dxa" w:w="72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7</w:t>
            </w:r>
          </w:p>
        </w:tc>
        <w:tc>
          <w:tcPr>
            <w:tcW w:type="dxa" w:w="78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80</w:t>
            </w:r>
          </w:p>
        </w:tc>
        <w:tc>
          <w:tcPr>
            <w:tcW w:type="dxa" w:w="75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426.7†</w:t>
            </w:r>
          </w:p>
        </w:tc>
        <w:tc>
          <w:tcPr>
            <w:tcW w:type="dxa" w:w="82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10</w:t>
            </w:r>
          </w:p>
        </w:tc>
        <w:tc>
          <w:tcPr>
            <w:tcW w:type="dxa" w:w="161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Transition</w:t>
            </w:r>
          </w:p>
        </w:tc>
      </w:tr>
      <w:tr>
        <w:tc>
          <w:tcPr>
            <w:tcW w:type="dxa" w:w="72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8</w:t>
            </w:r>
          </w:p>
        </w:tc>
        <w:tc>
          <w:tcPr>
            <w:tcW w:type="dxa" w:w="78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120</w:t>
            </w:r>
          </w:p>
        </w:tc>
        <w:tc>
          <w:tcPr>
            <w:tcW w:type="dxa" w:w="75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3200‡</w:t>
            </w:r>
          </w:p>
        </w:tc>
        <w:tc>
          <w:tcPr>
            <w:tcW w:type="dxa" w:w="82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20</w:t>
            </w:r>
          </w:p>
        </w:tc>
        <w:tc>
          <w:tcPr>
            <w:tcW w:type="dxa" w:w="161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Highway</w:t>
            </w:r>
          </w:p>
        </w:tc>
      </w:tr>
      <w:tr>
        <w:tc>
          <w:tcPr>
            <w:tcW w:type="dxa" w:w="72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9</w:t>
            </w:r>
          </w:p>
        </w:tc>
        <w:tc>
          <w:tcPr>
            <w:tcW w:type="dxa" w:w="78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140</w:t>
            </w:r>
          </w:p>
        </w:tc>
        <w:tc>
          <w:tcPr>
            <w:tcW w:type="dxa" w:w="75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3733‡</w:t>
            </w:r>
          </w:p>
        </w:tc>
        <w:tc>
          <w:tcPr>
            <w:tcW w:type="dxa" w:w="82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20</w:t>
            </w:r>
          </w:p>
        </w:tc>
        <w:tc>
          <w:tcPr>
            <w:tcW w:type="dxa" w:w="161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Highway fast</w:t>
            </w:r>
          </w:p>
        </w:tc>
      </w:tr>
      <w:tr>
        <w:tc>
          <w:tcPr>
            <w:tcW w:type="dxa" w:w="72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10</w:t>
            </w:r>
          </w:p>
        </w:tc>
        <w:tc>
          <w:tcPr>
            <w:tcW w:type="dxa" w:w="78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100</w:t>
            </w:r>
          </w:p>
        </w:tc>
        <w:tc>
          <w:tcPr>
            <w:tcW w:type="dxa" w:w="75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2667‡</w:t>
            </w:r>
          </w:p>
        </w:tc>
        <w:tc>
          <w:tcPr>
            <w:tcW w:type="dxa" w:w="82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20</w:t>
            </w:r>
          </w:p>
        </w:tc>
        <w:tc>
          <w:tcPr>
            <w:tcW w:type="dxa" w:w="161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Highway cruise</w:t>
            </w:r>
          </w:p>
        </w:tc>
      </w:tr>
    </w:tbl>
    <w:p>
      <w:pPr>
        <w:spacing w:after="80" w:before="40"/>
        <w:jc w:val="left"/>
      </w:pPr>
      <w:r>
        <w:rPr>
          <w:rFonts w:ascii="Times New Roman" w:cs="Times New Roman" w:eastAsia="Times New Roman" w:hAnsi="Times New Roman"/>
          <w:i/>
          <w:iCs/>
          <w:color w:val="666666"/>
          <w:sz w:val="16"/>
          <w:szCs w:val="16"/>
        </w:rPr>
        <w:t xml:space="preserve">† Verify gear ratio / tyre radius. ‡ Requires motor rated speed confirmation.</w:t>
      </w:r>
    </w:p>
    <w:p>
      <w:pPr>
        <w:spacing w:after="60" w:before="120"/>
        <w:jc w:val="left"/>
      </w:pPr>
      <w:r>
        <w:rPr>
          <w:rFonts w:ascii="Times New Roman" w:cs="Times New Roman" w:eastAsia="Times New Roman" w:hAnsi="Times New Roman"/>
          <w:b/>
          <w:bCs/>
          <w:i/>
          <w:iCs/>
          <w:color w:val="000000"/>
          <w:sz w:val="20"/>
          <w:szCs w:val="20"/>
        </w:rPr>
        <w:t xml:space="preserve">B.  Output Voltages and Phase Currents</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The inverter was observed to produce three-level phase-to-neutral voltage waveforms at +400 V, 0 V, and −400 V, consistent with the expected FC topology switching states. A peak phase-to-neutral voltage of ±533 V was recorded, which reflects the floating neutral of the star-connected RL load rather than a topology violation. Peak phase current reached 156.5 A across the drive cycle, within the 250 A design margin. Three-phase symmetry was confirmed (i\u2090 + i\u2092 + i\u2084 ≈ 0) throughout. Table V summarises the output waveform results.</w:t>
      </w:r>
    </w:p>
    <w:p>
      <w:pPr>
        <w:pBdr>
          <w:top w:val="single" w:color="AAAAAA" w:sz="4"/>
          <w:bottom w:val="single" w:color="AAAAAA" w:sz="4"/>
          <w:left w:val="single" w:color="AAAAAA" w:sz="4"/>
          <w:right w:val="single" w:color="AAAAAA" w:sz="4"/>
        </w:pBdr>
        <w:spacing w:after="40" w:before="80"/>
        <w:jc w:val="center"/>
      </w:pPr>
      <w:r>
        <w:rPr>
          <w:rFonts w:ascii="Times New Roman" w:cs="Times New Roman" w:eastAsia="Times New Roman" w:hAnsi="Times New Roman"/>
          <w:i/>
          <w:iCs/>
          <w:color w:val="888888"/>
          <w:sz w:val="18"/>
          <w:szCs w:val="18"/>
        </w:rPr>
        <w:t xml:space="preserve">[Fig. 2: Simulated three-level phase-to-neutral voltage (Van) and phase current (ia) — urban segment (fe ≈ 107 Hz, fsw = 5 kHz) and highway segment (fe ≈ 3733 Hz, fsw = 20 kHz)]</w:t>
      </w:r>
    </w:p>
    <w:p>
      <w:pPr>
        <w:spacing w:after="80" w:before="20"/>
        <w:jc w:val="center"/>
      </w:pPr>
      <w:r>
        <w:rPr>
          <w:rFonts w:ascii="Times New Roman" w:cs="Times New Roman" w:eastAsia="Times New Roman" w:hAnsi="Times New Roman"/>
          <w:i/>
          <w:iCs/>
          <w:color w:val="000000"/>
          <w:sz w:val="18"/>
          <w:szCs w:val="18"/>
        </w:rPr>
        <w:t xml:space="preserve">Fig. 2.  Simulated three-level phase-to-neutral voltage (Van) and phase current (ia) — urban segment (fe ≈ 107 Hz, fsw = 5 kHz) and highway segment (fe ≈ 3733 Hz, fsw = 20 kHz).</w:t>
      </w:r>
    </w:p>
    <w:p>
      <w:pPr>
        <w:spacing w:after="80" w:before="0"/>
      </w:pPr>
    </w:p>
    <w:p>
      <w:pPr>
        <w:spacing w:after="40" w:before="80"/>
        <w:jc w:val="center"/>
      </w:pPr>
      <w:r>
        <w:rPr>
          <w:rFonts w:ascii="Arial" w:cs="Arial" w:eastAsia="Arial" w:hAnsi="Arial"/>
          <w:b/>
          <w:bCs/>
          <w:caps/>
          <w:color w:val="000000"/>
          <w:sz w:val="18"/>
          <w:szCs w:val="18"/>
        </w:rPr>
        <w:t xml:space="preserve">TABLE V</w:t>
      </w:r>
      <w:r>
        <w:rPr>
          <w:rFonts w:ascii="Arial" w:cs="Arial" w:eastAsia="Arial" w:hAnsi="Arial"/>
          <w:i/>
          <w:iCs/>
          <w:color w:val="000000"/>
          <w:sz w:val="18"/>
          <w:szCs w:val="18"/>
        </w:rPr>
        <w:t xml:space="preserve">
Output Waveform Results</w:t>
      </w:r>
    </w:p>
    <w:tbl>
      <w:tblPr>
        <w:tblW w:type="dxa" w:w="4680"/>
      </w:tblPr>
      <w:tblGrid>
        <w:gridCol w:w="1800"/>
        <w:gridCol w:w="1440"/>
        <w:gridCol w:w="1440"/>
      </w:tblGrid>
      <w:tr>
        <w:tc>
          <w:tcPr>
            <w:tcW w:type="dxa" w:w="1800"/>
            <w:tcBorders>
              <w:top w:val="single" w:color="999999" w:sz="4"/>
              <w:left w:val="single" w:color="999999" w:sz="4"/>
              <w:bottom w:val="single" w:color="999999" w:sz="4"/>
              <w:right w:val="single" w:color="999999" w:sz="4"/>
            </w:tcBorders>
            <w:shd w:fill="D0D0D0" w:val="clear"/>
            <w:tcMar>
              <w:top w:type="dxa" w:w="40"/>
              <w:left w:type="dxa" w:w="80"/>
              <w:bottom w:type="dxa" w:w="40"/>
              <w:right w:type="dxa" w:w="80"/>
            </w:tcMar>
            <w:vAlign w:val="center"/>
          </w:tcPr>
          <w:p>
            <w:pPr>
              <w:jc w:val="left"/>
            </w:pPr>
            <w:r>
              <w:rPr>
                <w:rFonts w:ascii="Times New Roman" w:cs="Times New Roman" w:eastAsia="Times New Roman" w:hAnsi="Times New Roman"/>
                <w:b/>
                <w:bCs/>
                <w:color w:val="000000"/>
                <w:sz w:val="18"/>
                <w:szCs w:val="18"/>
              </w:rPr>
              <w:t xml:space="preserve">Parameter</w:t>
            </w:r>
          </w:p>
        </w:tc>
        <w:tc>
          <w:tcPr>
            <w:tcW w:type="dxa" w:w="1440"/>
            <w:tcBorders>
              <w:top w:val="single" w:color="999999" w:sz="4"/>
              <w:left w:val="single" w:color="999999" w:sz="4"/>
              <w:bottom w:val="single" w:color="999999" w:sz="4"/>
              <w:right w:val="single" w:color="999999" w:sz="4"/>
            </w:tcBorders>
            <w:shd w:fill="D0D0D0" w:val="clear"/>
            <w:tcMar>
              <w:top w:type="dxa" w:w="40"/>
              <w:left w:type="dxa" w:w="80"/>
              <w:bottom w:type="dxa" w:w="40"/>
              <w:right w:type="dxa" w:w="80"/>
            </w:tcMar>
            <w:vAlign w:val="center"/>
          </w:tcPr>
          <w:p>
            <w:pPr>
              <w:jc w:val="left"/>
            </w:pPr>
            <w:r>
              <w:rPr>
                <w:rFonts w:ascii="Times New Roman" w:cs="Times New Roman" w:eastAsia="Times New Roman" w:hAnsi="Times New Roman"/>
                <w:b/>
                <w:bCs/>
                <w:color w:val="000000"/>
                <w:sz w:val="18"/>
                <w:szCs w:val="18"/>
              </w:rPr>
              <w:t xml:space="preserve">Simulated</w:t>
            </w:r>
          </w:p>
        </w:tc>
        <w:tc>
          <w:tcPr>
            <w:tcW w:type="dxa" w:w="1440"/>
            <w:tcBorders>
              <w:top w:val="single" w:color="999999" w:sz="4"/>
              <w:left w:val="single" w:color="999999" w:sz="4"/>
              <w:bottom w:val="single" w:color="999999" w:sz="4"/>
              <w:right w:val="single" w:color="999999" w:sz="4"/>
            </w:tcBorders>
            <w:shd w:fill="D0D0D0" w:val="clear"/>
            <w:tcMar>
              <w:top w:type="dxa" w:w="40"/>
              <w:left w:type="dxa" w:w="80"/>
              <w:bottom w:type="dxa" w:w="40"/>
              <w:right w:type="dxa" w:w="80"/>
            </w:tcMar>
            <w:vAlign w:val="center"/>
          </w:tcPr>
          <w:p>
            <w:pPr>
              <w:jc w:val="left"/>
            </w:pPr>
            <w:r>
              <w:rPr>
                <w:rFonts w:ascii="Times New Roman" w:cs="Times New Roman" w:eastAsia="Times New Roman" w:hAnsi="Times New Roman"/>
                <w:b/>
                <w:bCs/>
                <w:color w:val="000000"/>
                <w:sz w:val="18"/>
                <w:szCs w:val="18"/>
              </w:rPr>
              <w:t xml:space="preserve">Target</w:t>
            </w:r>
          </w:p>
        </w:tc>
      </w:tr>
      <w:tr>
        <w:tc>
          <w:tcPr>
            <w:tcW w:type="dxa" w:w="18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Peak phase current</w:t>
            </w:r>
          </w:p>
        </w:tc>
        <w:tc>
          <w:tcPr>
            <w:tcW w:type="dxa" w:w="144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156.5 A</w:t>
            </w:r>
          </w:p>
        </w:tc>
        <w:tc>
          <w:tcPr>
            <w:tcW w:type="dxa" w:w="144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 250 A</w:t>
            </w:r>
          </w:p>
        </w:tc>
      </w:tr>
      <w:tr>
        <w:tc>
          <w:tcPr>
            <w:tcW w:type="dxa" w:w="18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Peak phase voltage |Van|</w:t>
            </w:r>
          </w:p>
        </w:tc>
        <w:tc>
          <w:tcPr>
            <w:tcW w:type="dxa" w:w="144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533.3 V</w:t>
            </w:r>
          </w:p>
        </w:tc>
        <w:tc>
          <w:tcPr>
            <w:tcW w:type="dxa" w:w="144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400 V (pole)</w:t>
            </w:r>
          </w:p>
        </w:tc>
      </w:tr>
      <w:tr>
        <w:tc>
          <w:tcPr>
            <w:tcW w:type="dxa" w:w="18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Three-phase symmetry</w:t>
            </w:r>
          </w:p>
        </w:tc>
        <w:tc>
          <w:tcPr>
            <w:tcW w:type="dxa" w:w="144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Confirmed</w:t>
            </w:r>
          </w:p>
        </w:tc>
        <w:tc>
          <w:tcPr>
            <w:tcW w:type="dxa" w:w="144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Required</w:t>
            </w:r>
          </w:p>
        </w:tc>
      </w:tr>
      <w:tr>
        <w:tc>
          <w:tcPr>
            <w:tcW w:type="dxa" w:w="18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Output voltage levels</w:t>
            </w:r>
          </w:p>
        </w:tc>
        <w:tc>
          <w:tcPr>
            <w:tcW w:type="dxa" w:w="144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3 (±400V, 0V)</w:t>
            </w:r>
          </w:p>
        </w:tc>
        <w:tc>
          <w:tcPr>
            <w:tcW w:type="dxa" w:w="144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3 (FC topology)</w:t>
            </w:r>
          </w:p>
        </w:tc>
      </w:tr>
    </w:tbl>
    <w:p>
      <w:pPr>
        <w:spacing w:after="120" w:before="0"/>
      </w:pPr>
    </w:p>
    <w:p>
      <w:pPr>
        <w:spacing w:after="60" w:before="120"/>
        <w:jc w:val="left"/>
      </w:pPr>
      <w:r>
        <w:rPr>
          <w:rFonts w:ascii="Times New Roman" w:cs="Times New Roman" w:eastAsia="Times New Roman" w:hAnsi="Times New Roman"/>
          <w:b/>
          <w:bCs/>
          <w:i/>
          <w:iCs/>
          <w:color w:val="000000"/>
          <w:sz w:val="20"/>
          <w:szCs w:val="20"/>
        </w:rPr>
        <w:t xml:space="preserve">C.  Flying Capacitor Voltage Balancing</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The flying capacitor voltage was maintained at 200 V (= V\u2090\u2084/2 for the ±400 V rail system) throughout the 0.85 s drive cycle, with a measured peak-to-peak ripple of less than 0.1 V under PD-PWM. This validates the theoretical balancing properties established in McGrath and Holmes [3].</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It must be noted, however, that a ripple of &lt;0.1 V is significantly lower than the 10 V (2.5%) budget derived analytically in Section III-B. This discrepancy warrants scrutiny: if the flying capacitor is modelled as an ideal voltage source rather than a dynamic capacitor in the state-space simulation, the balancing result will appear perfect but will not reflect physical behaviour. Authors should confirm that the simulation implements the capacitor as a state variable with finite C = 1.5 mF, computing ΔVc from the integral of capacitor current. If this is confirmed, the near-zero ripple at 1.5 mF is physically plausible given the conservative sizing.</w:t>
      </w:r>
    </w:p>
    <w:p>
      <w:pPr>
        <w:pBdr>
          <w:top w:val="single" w:color="AAAAAA" w:sz="4"/>
          <w:bottom w:val="single" w:color="AAAAAA" w:sz="4"/>
          <w:left w:val="single" w:color="AAAAAA" w:sz="4"/>
          <w:right w:val="single" w:color="AAAAAA" w:sz="4"/>
        </w:pBdr>
        <w:spacing w:after="40" w:before="80"/>
        <w:jc w:val="center"/>
      </w:pPr>
      <w:r>
        <w:rPr>
          <w:rFonts w:ascii="Times New Roman" w:cs="Times New Roman" w:eastAsia="Times New Roman" w:hAnsi="Times New Roman"/>
          <w:i/>
          <w:iCs/>
          <w:color w:val="888888"/>
          <w:sz w:val="18"/>
          <w:szCs w:val="18"/>
        </w:rPr>
        <w:t xml:space="preserve">[Fig. 3: Flying capacitor voltage Vfc (Phase A) over the full drive cycle, showing self-balancing under PD-PWM]</w:t>
      </w:r>
    </w:p>
    <w:p>
      <w:pPr>
        <w:spacing w:after="80" w:before="20"/>
        <w:jc w:val="center"/>
      </w:pPr>
      <w:r>
        <w:rPr>
          <w:rFonts w:ascii="Times New Roman" w:cs="Times New Roman" w:eastAsia="Times New Roman" w:hAnsi="Times New Roman"/>
          <w:i/>
          <w:iCs/>
          <w:color w:val="000000"/>
          <w:sz w:val="18"/>
          <w:szCs w:val="18"/>
        </w:rPr>
        <w:t xml:space="preserve">Fig. 3.  Flying capacitor voltage Vfc (Phase A) over the full drive cycle, showing self-balancing under PD-PWM.</w:t>
      </w:r>
    </w:p>
    <w:p>
      <w:pPr>
        <w:spacing w:after="60" w:before="120"/>
        <w:jc w:val="left"/>
      </w:pPr>
      <w:r>
        <w:rPr>
          <w:rFonts w:ascii="Times New Roman" w:cs="Times New Roman" w:eastAsia="Times New Roman" w:hAnsi="Times New Roman"/>
          <w:b/>
          <w:bCs/>
          <w:i/>
          <w:iCs/>
          <w:color w:val="000000"/>
          <w:sz w:val="20"/>
          <w:szCs w:val="20"/>
        </w:rPr>
        <w:t xml:space="preserve">D.  Output Current THD</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Total harmonic distortion was evaluated over the highway steady-state segment (v = 140 km/h, f\u2091 = 3733 Hz, f\u209B\u1D65 = 20 kHz) — the operating point at which the f\u209B\u1D65/f\u2091 ratio is lowest and harmonic content is most significant relative to the fundamental. The measured THD of 3.10% is within the IEEE Std 519 guideline of 5% for motor drive applications. Dominant harmonic energy appears in sidebands around 20 kHz and its multiples, well above the audible range [5].</w:t>
      </w:r>
    </w:p>
    <w:p>
      <w:pPr>
        <w:spacing w:after="80" w:before="0" w:line="240"/>
        <w:jc w:val="both"/>
      </w:pPr>
      <w:r>
        <w:rPr>
          <w:rFonts w:ascii="Times New Roman" w:cs="Times New Roman" w:eastAsia="Times New Roman" w:hAnsi="Times New Roman"/>
          <w:i/>
          <w:iCs/>
          <w:color w:val="666666"/>
          <w:sz w:val="18"/>
          <w:szCs w:val="18"/>
        </w:rPr>
        <w:t xml:space="preserve">Limitation: THD is reported only at the highway operating point, which represents the most favourable fsw/fe ratio in the scheduled strategy. THD at urban operating conditions (fe ≈ 107 Hz, fsw = 5 kHz, fsw/fe ≈ 47) is expected to be lower in absolute terms due to the higher switching ratio, but should also be reported for completeness. Additionally, the reported highway fundamental current of 6.37 A RMS should be cross-checked against the expected value from the RL load model (~110 A RMS at 156.5 A peak); a significant discrepancy would suggest an FFT window alignment issue in the post-processing.</w:t>
      </w:r>
    </w:p>
    <w:p>
      <w:pPr>
        <w:spacing w:after="80" w:before="0"/>
      </w:pPr>
    </w:p>
    <w:p>
      <w:pPr>
        <w:spacing w:after="40" w:before="80"/>
        <w:jc w:val="center"/>
      </w:pPr>
      <w:r>
        <w:rPr>
          <w:rFonts w:ascii="Arial" w:cs="Arial" w:eastAsia="Arial" w:hAnsi="Arial"/>
          <w:b/>
          <w:bCs/>
          <w:caps/>
          <w:color w:val="000000"/>
          <w:sz w:val="18"/>
          <w:szCs w:val="18"/>
        </w:rPr>
        <w:t xml:space="preserve">TABLE VI</w:t>
      </w:r>
      <w:r>
        <w:rPr>
          <w:rFonts w:ascii="Arial" w:cs="Arial" w:eastAsia="Arial" w:hAnsi="Arial"/>
          <w:i/>
          <w:iCs/>
          <w:color w:val="000000"/>
          <w:sz w:val="18"/>
          <w:szCs w:val="18"/>
        </w:rPr>
        <w:t xml:space="preserve">
THD Analysis — Highway Steady-State</w:t>
      </w:r>
    </w:p>
    <w:tbl>
      <w:tblPr>
        <w:tblW w:type="dxa" w:w="4680"/>
      </w:tblPr>
      <w:tblGrid>
        <w:gridCol w:w="2200"/>
        <w:gridCol w:w="2480"/>
      </w:tblGrid>
      <w:tr>
        <w:tc>
          <w:tcPr>
            <w:tcW w:type="dxa" w:w="2200"/>
            <w:tcBorders>
              <w:top w:val="single" w:color="999999" w:sz="4"/>
              <w:left w:val="single" w:color="999999" w:sz="4"/>
              <w:bottom w:val="single" w:color="999999" w:sz="4"/>
              <w:right w:val="single" w:color="999999" w:sz="4"/>
            </w:tcBorders>
            <w:shd w:fill="D0D0D0" w:val="clear"/>
            <w:tcMar>
              <w:top w:type="dxa" w:w="40"/>
              <w:left w:type="dxa" w:w="80"/>
              <w:bottom w:type="dxa" w:w="40"/>
              <w:right w:type="dxa" w:w="80"/>
            </w:tcMar>
            <w:vAlign w:val="center"/>
          </w:tcPr>
          <w:p>
            <w:pPr>
              <w:jc w:val="left"/>
            </w:pPr>
            <w:r>
              <w:rPr>
                <w:rFonts w:ascii="Times New Roman" w:cs="Times New Roman" w:eastAsia="Times New Roman" w:hAnsi="Times New Roman"/>
                <w:b/>
                <w:bCs/>
                <w:color w:val="000000"/>
                <w:sz w:val="18"/>
                <w:szCs w:val="18"/>
              </w:rPr>
              <w:t xml:space="preserve">Parameter</w:t>
            </w:r>
          </w:p>
        </w:tc>
        <w:tc>
          <w:tcPr>
            <w:tcW w:type="dxa" w:w="2480"/>
            <w:tcBorders>
              <w:top w:val="single" w:color="999999" w:sz="4"/>
              <w:left w:val="single" w:color="999999" w:sz="4"/>
              <w:bottom w:val="single" w:color="999999" w:sz="4"/>
              <w:right w:val="single" w:color="999999" w:sz="4"/>
            </w:tcBorders>
            <w:shd w:fill="D0D0D0" w:val="clear"/>
            <w:tcMar>
              <w:top w:type="dxa" w:w="40"/>
              <w:left w:type="dxa" w:w="80"/>
              <w:bottom w:type="dxa" w:w="40"/>
              <w:right w:type="dxa" w:w="80"/>
            </w:tcMar>
            <w:vAlign w:val="center"/>
          </w:tcPr>
          <w:p>
            <w:pPr>
              <w:jc w:val="left"/>
            </w:pPr>
            <w:r>
              <w:rPr>
                <w:rFonts w:ascii="Times New Roman" w:cs="Times New Roman" w:eastAsia="Times New Roman" w:hAnsi="Times New Roman"/>
                <w:b/>
                <w:bCs/>
                <w:color w:val="000000"/>
                <w:sz w:val="18"/>
                <w:szCs w:val="18"/>
              </w:rPr>
              <w:t xml:space="preserve">Value</w:t>
            </w:r>
          </w:p>
        </w:tc>
      </w:tr>
      <w:tr>
        <w:tc>
          <w:tcPr>
            <w:tcW w:type="dxa" w:w="22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Operating condition</w:t>
            </w:r>
          </w:p>
        </w:tc>
        <w:tc>
          <w:tcPr>
            <w:tcW w:type="dxa" w:w="248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140 km/h, fe = 3733 Hz, fsw = 20 kHz</w:t>
            </w:r>
          </w:p>
        </w:tc>
      </w:tr>
      <w:tr>
        <w:tc>
          <w:tcPr>
            <w:tcW w:type="dxa" w:w="22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Fundamental current (Ia)</w:t>
            </w:r>
          </w:p>
        </w:tc>
        <w:tc>
          <w:tcPr>
            <w:tcW w:type="dxa" w:w="248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6.37 A RMS (verify vs. load model)</w:t>
            </w:r>
          </w:p>
        </w:tc>
      </w:tr>
      <w:tr>
        <w:tc>
          <w:tcPr>
            <w:tcW w:type="dxa" w:w="22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THD (harmonics 2–50)</w:t>
            </w:r>
          </w:p>
        </w:tc>
        <w:tc>
          <w:tcPr>
            <w:tcW w:type="dxa" w:w="248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3.10%</w:t>
            </w:r>
          </w:p>
        </w:tc>
      </w:tr>
      <w:tr>
        <w:tc>
          <w:tcPr>
            <w:tcW w:type="dxa" w:w="22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IEEE Std 519 limit</w:t>
            </w:r>
          </w:p>
        </w:tc>
        <w:tc>
          <w:tcPr>
            <w:tcW w:type="dxa" w:w="248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5% (typical motor drive)</w:t>
            </w:r>
          </w:p>
        </w:tc>
      </w:tr>
      <w:tr>
        <w:tc>
          <w:tcPr>
            <w:tcW w:type="dxa" w:w="22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Assessment</w:t>
            </w:r>
          </w:p>
        </w:tc>
        <w:tc>
          <w:tcPr>
            <w:tcW w:type="dxa" w:w="248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 Within limit</w:t>
            </w:r>
          </w:p>
        </w:tc>
      </w:tr>
    </w:tbl>
    <w:p>
      <w:pPr>
        <w:spacing w:after="120" w:before="0"/>
      </w:pPr>
    </w:p>
    <w:p>
      <w:pPr>
        <w:pBdr>
          <w:top w:val="single" w:color="AAAAAA" w:sz="4"/>
          <w:bottom w:val="single" w:color="AAAAAA" w:sz="4"/>
          <w:left w:val="single" w:color="AAAAAA" w:sz="4"/>
          <w:right w:val="single" w:color="AAAAAA" w:sz="4"/>
        </w:pBdr>
        <w:spacing w:after="40" w:before="80"/>
        <w:jc w:val="center"/>
      </w:pPr>
      <w:r>
        <w:rPr>
          <w:rFonts w:ascii="Times New Roman" w:cs="Times New Roman" w:eastAsia="Times New Roman" w:hAnsi="Times New Roman"/>
          <w:i/>
          <w:iCs/>
          <w:color w:val="888888"/>
          <w:sz w:val="18"/>
          <w:szCs w:val="18"/>
        </w:rPr>
        <w:t xml:space="preserve">[Fig. 4: Phase current harmonic spectrum (FFT) at highway steady-state (fe = 3733 Hz, fsw = 20 kHz) showing THD = 3.10%]</w:t>
      </w:r>
    </w:p>
    <w:p>
      <w:pPr>
        <w:spacing w:after="80" w:before="20"/>
        <w:jc w:val="center"/>
      </w:pPr>
      <w:r>
        <w:rPr>
          <w:rFonts w:ascii="Times New Roman" w:cs="Times New Roman" w:eastAsia="Times New Roman" w:hAnsi="Times New Roman"/>
          <w:i/>
          <w:iCs/>
          <w:color w:val="000000"/>
          <w:sz w:val="18"/>
          <w:szCs w:val="18"/>
        </w:rPr>
        <w:t xml:space="preserve">Fig. 4.  Phase current harmonic spectrum (FFT) at highway steady-state (fe = 3733 Hz, fsw = 20 kHz) showing THD = 3.10%.</w:t>
      </w:r>
    </w:p>
    <w:p>
      <w:pPr>
        <w:spacing w:after="60" w:before="120"/>
        <w:jc w:val="left"/>
      </w:pPr>
      <w:r>
        <w:rPr>
          <w:rFonts w:ascii="Times New Roman" w:cs="Times New Roman" w:eastAsia="Times New Roman" w:hAnsi="Times New Roman"/>
          <w:b/>
          <w:bCs/>
          <w:i/>
          <w:iCs/>
          <w:color w:val="000000"/>
          <w:sz w:val="20"/>
          <w:szCs w:val="20"/>
        </w:rPr>
        <w:t xml:space="preserve">E.  Semiconductor Losses and Thermal Performance</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Table VII presents the semiconductor loss and thermal comparison between the scheduled switching frequency strategy (5–20 kHz) and the fixed 20 kHz baseline. Switching losses were reduced by 63% under the scheduled strategy, directly reflecting the reduction in switching events during urban operation at 5 kHz. Maximum junction temperature remained below 76 °C under both strategies, providing a margin of greater than 74 °C against the 150 °C SiC MOSFET limit.</w:t>
      </w:r>
    </w:p>
    <w:p>
      <w:pPr>
        <w:spacing w:after="80" w:before="0"/>
      </w:pPr>
    </w:p>
    <w:p>
      <w:pPr>
        <w:spacing w:after="40" w:before="80"/>
        <w:jc w:val="center"/>
      </w:pPr>
      <w:r>
        <w:rPr>
          <w:rFonts w:ascii="Arial" w:cs="Arial" w:eastAsia="Arial" w:hAnsi="Arial"/>
          <w:b/>
          <w:bCs/>
          <w:caps/>
          <w:color w:val="000000"/>
          <w:sz w:val="18"/>
          <w:szCs w:val="18"/>
        </w:rPr>
        <w:t xml:space="preserve">TABLE VII</w:t>
      </w:r>
      <w:r>
        <w:rPr>
          <w:rFonts w:ascii="Arial" w:cs="Arial" w:eastAsia="Arial" w:hAnsi="Arial"/>
          <w:i/>
          <w:iCs/>
          <w:color w:val="000000"/>
          <w:sz w:val="18"/>
          <w:szCs w:val="18"/>
        </w:rPr>
        <w:t xml:space="preserve">
Semiconductor Loss and Thermal Analysis — Scheduled vs. Fixed 20 kHz</w:t>
      </w:r>
    </w:p>
    <w:tbl>
      <w:tblPr>
        <w:tblW w:type="dxa" w:w="4680"/>
      </w:tblPr>
      <w:tblGrid>
        <w:gridCol w:w="1700"/>
        <w:gridCol w:w="1490"/>
        <w:gridCol w:w="1490"/>
      </w:tblGrid>
      <w:tr>
        <w:tc>
          <w:tcPr>
            <w:tcW w:type="dxa" w:w="1700"/>
            <w:tcBorders>
              <w:top w:val="single" w:color="999999" w:sz="4"/>
              <w:left w:val="single" w:color="999999" w:sz="4"/>
              <w:bottom w:val="single" w:color="999999" w:sz="4"/>
              <w:right w:val="single" w:color="999999" w:sz="4"/>
            </w:tcBorders>
            <w:shd w:fill="D0D0D0" w:val="clear"/>
            <w:tcMar>
              <w:top w:type="dxa" w:w="40"/>
              <w:left w:type="dxa" w:w="80"/>
              <w:bottom w:type="dxa" w:w="40"/>
              <w:right w:type="dxa" w:w="80"/>
            </w:tcMar>
            <w:vAlign w:val="center"/>
          </w:tcPr>
          <w:p>
            <w:pPr>
              <w:jc w:val="left"/>
            </w:pPr>
            <w:r>
              <w:rPr>
                <w:rFonts w:ascii="Times New Roman" w:cs="Times New Roman" w:eastAsia="Times New Roman" w:hAnsi="Times New Roman"/>
                <w:b/>
                <w:bCs/>
                <w:color w:val="000000"/>
                <w:sz w:val="18"/>
                <w:szCs w:val="18"/>
              </w:rPr>
              <w:t xml:space="preserve">Parameter</w:t>
            </w:r>
          </w:p>
        </w:tc>
        <w:tc>
          <w:tcPr>
            <w:tcW w:type="dxa" w:w="1490"/>
            <w:tcBorders>
              <w:top w:val="single" w:color="999999" w:sz="4"/>
              <w:left w:val="single" w:color="999999" w:sz="4"/>
              <w:bottom w:val="single" w:color="999999" w:sz="4"/>
              <w:right w:val="single" w:color="999999" w:sz="4"/>
            </w:tcBorders>
            <w:shd w:fill="D0D0D0" w:val="clear"/>
            <w:tcMar>
              <w:top w:type="dxa" w:w="40"/>
              <w:left w:type="dxa" w:w="80"/>
              <w:bottom w:type="dxa" w:w="40"/>
              <w:right w:type="dxa" w:w="80"/>
            </w:tcMar>
            <w:vAlign w:val="center"/>
          </w:tcPr>
          <w:p>
            <w:pPr>
              <w:jc w:val="left"/>
            </w:pPr>
            <w:r>
              <w:rPr>
                <w:rFonts w:ascii="Times New Roman" w:cs="Times New Roman" w:eastAsia="Times New Roman" w:hAnsi="Times New Roman"/>
                <w:b/>
                <w:bCs/>
                <w:color w:val="000000"/>
                <w:sz w:val="18"/>
                <w:szCs w:val="18"/>
              </w:rPr>
              <w:t xml:space="preserve">Scheduled (5–20 kHz)</w:t>
            </w:r>
          </w:p>
        </w:tc>
        <w:tc>
          <w:tcPr>
            <w:tcW w:type="dxa" w:w="1490"/>
            <w:tcBorders>
              <w:top w:val="single" w:color="999999" w:sz="4"/>
              <w:left w:val="single" w:color="999999" w:sz="4"/>
              <w:bottom w:val="single" w:color="999999" w:sz="4"/>
              <w:right w:val="single" w:color="999999" w:sz="4"/>
            </w:tcBorders>
            <w:shd w:fill="D0D0D0" w:val="clear"/>
            <w:tcMar>
              <w:top w:type="dxa" w:w="40"/>
              <w:left w:type="dxa" w:w="80"/>
              <w:bottom w:type="dxa" w:w="40"/>
              <w:right w:type="dxa" w:w="80"/>
            </w:tcMar>
            <w:vAlign w:val="center"/>
          </w:tcPr>
          <w:p>
            <w:pPr>
              <w:jc w:val="left"/>
            </w:pPr>
            <w:r>
              <w:rPr>
                <w:rFonts w:ascii="Times New Roman" w:cs="Times New Roman" w:eastAsia="Times New Roman" w:hAnsi="Times New Roman"/>
                <w:b/>
                <w:bCs/>
                <w:color w:val="000000"/>
                <w:sz w:val="18"/>
                <w:szCs w:val="18"/>
              </w:rPr>
              <w:t xml:space="preserve">Fixed 20 kHz</w:t>
            </w:r>
          </w:p>
        </w:tc>
      </w:tr>
      <w:tr>
        <w:tc>
          <w:tcPr>
            <w:tcW w:type="dxa" w:w="17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Cond. loss (Phase A)</w:t>
            </w:r>
          </w:p>
        </w:tc>
        <w:tc>
          <w:tcPr>
            <w:tcW w:type="dxa" w:w="149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19.56 W</w:t>
            </w:r>
          </w:p>
        </w:tc>
        <w:tc>
          <w:tcPr>
            <w:tcW w:type="dxa" w:w="149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9.78 W</w:t>
            </w:r>
          </w:p>
        </w:tc>
      </w:tr>
      <w:tr>
        <w:tc>
          <w:tcPr>
            <w:tcW w:type="dxa" w:w="17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Sw. loss (Phase A)</w:t>
            </w:r>
          </w:p>
        </w:tc>
        <w:tc>
          <w:tcPr>
            <w:tcW w:type="dxa" w:w="149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0.13 W</w:t>
            </w:r>
          </w:p>
        </w:tc>
        <w:tc>
          <w:tcPr>
            <w:tcW w:type="dxa" w:w="149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0.35 W</w:t>
            </w:r>
          </w:p>
        </w:tc>
      </w:tr>
      <w:tr>
        <w:tc>
          <w:tcPr>
            <w:tcW w:type="dxa" w:w="17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Total (Phase A)</w:t>
            </w:r>
          </w:p>
        </w:tc>
        <w:tc>
          <w:tcPr>
            <w:tcW w:type="dxa" w:w="149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19.69 W</w:t>
            </w:r>
          </w:p>
        </w:tc>
        <w:tc>
          <w:tcPr>
            <w:tcW w:type="dxa" w:w="149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10.13 W</w:t>
            </w:r>
          </w:p>
        </w:tc>
      </w:tr>
      <w:tr>
        <w:tc>
          <w:tcPr>
            <w:tcW w:type="dxa" w:w="17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Total (3-phase)</w:t>
            </w:r>
          </w:p>
        </w:tc>
        <w:tc>
          <w:tcPr>
            <w:tcW w:type="dxa" w:w="149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197.8 W</w:t>
            </w:r>
          </w:p>
        </w:tc>
        <w:tc>
          <w:tcPr>
            <w:tcW w:type="dxa" w:w="149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100.2 W</w:t>
            </w:r>
          </w:p>
        </w:tc>
      </w:tr>
      <w:tr>
        <w:tc>
          <w:tcPr>
            <w:tcW w:type="dxa" w:w="17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Mean Tj (est.)</w:t>
            </w:r>
          </w:p>
        </w:tc>
        <w:tc>
          <w:tcPr>
            <w:tcW w:type="dxa" w:w="149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60.4 °C</w:t>
            </w:r>
          </w:p>
        </w:tc>
        <w:tc>
          <w:tcPr>
            <w:tcW w:type="dxa" w:w="149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50.3 °C</w:t>
            </w:r>
          </w:p>
        </w:tc>
      </w:tr>
      <w:tr>
        <w:tc>
          <w:tcPr>
            <w:tcW w:type="dxa" w:w="17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Max Tj (thermal trace)</w:t>
            </w:r>
          </w:p>
        </w:tc>
        <w:tc>
          <w:tcPr>
            <w:tcW w:type="dxa" w:w="149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73.6 °C</w:t>
            </w:r>
          </w:p>
        </w:tc>
        <w:tc>
          <w:tcPr>
            <w:tcW w:type="dxa" w:w="149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75.1 °C</w:t>
            </w:r>
          </w:p>
        </w:tc>
      </w:tr>
      <w:tr>
        <w:tc>
          <w:tcPr>
            <w:tcW w:type="dxa" w:w="170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Tj margin (&lt; 150 °C)</w:t>
            </w:r>
          </w:p>
        </w:tc>
        <w:tc>
          <w:tcPr>
            <w:tcW w:type="dxa" w:w="149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76.4 °C ✅</w:t>
            </w:r>
          </w:p>
        </w:tc>
        <w:tc>
          <w:tcPr>
            <w:tcW w:type="dxa" w:w="1490"/>
            <w:tcBorders>
              <w:top w:val="single" w:color="999999" w:sz="4"/>
              <w:left w:val="single" w:color="999999" w:sz="4"/>
              <w:bottom w:val="single" w:color="999999" w:sz="4"/>
              <w:right w:val="single" w:color="999999" w:sz="4"/>
            </w:tcBorders>
            <w:shd w:fill="FFFFFF" w:val="clear"/>
            <w:tcMar>
              <w:top w:type="dxa" w:w="40"/>
              <w:left w:type="dxa" w:w="80"/>
              <w:bottom w:type="dxa" w:w="40"/>
              <w:right w:type="dxa" w:w="80"/>
            </w:tcMar>
            <w:vAlign w:val="center"/>
          </w:tcPr>
          <w:p>
            <w:pPr>
              <w:jc w:val="left"/>
            </w:pPr>
            <w:r>
              <w:rPr>
                <w:rFonts w:ascii="Times New Roman" w:cs="Times New Roman" w:eastAsia="Times New Roman" w:hAnsi="Times New Roman"/>
                <w:b w:val="false"/>
                <w:bCs w:val="false"/>
                <w:color w:val="000000"/>
                <w:sz w:val="18"/>
                <w:szCs w:val="18"/>
              </w:rPr>
              <w:t xml:space="preserve">74.9 °C ✅</w:t>
            </w:r>
          </w:p>
        </w:tc>
      </w:tr>
    </w:tbl>
    <w:p>
      <w:pPr>
        <w:spacing w:after="120" w:before="0"/>
      </w:pPr>
    </w:p>
    <w:p>
      <w:pPr>
        <w:spacing w:after="80" w:before="0" w:line="240"/>
        <w:jc w:val="both"/>
      </w:pPr>
      <w:r>
        <w:rPr>
          <w:rFonts w:ascii="Times New Roman" w:cs="Times New Roman" w:eastAsia="Times New Roman" w:hAnsi="Times New Roman"/>
          <w:i/>
          <w:iCs/>
          <w:color w:val="666666"/>
          <w:sz w:val="18"/>
          <w:szCs w:val="18"/>
        </w:rPr>
        <w:t xml:space="preserve">Note on conduction loss result: The scheduled fsw strategy records higher average conduction loss (19.56 W vs. 9.78 W, Phase A) than the fixed 20 kHz baseline. Both strategies operate the same drive cycle and the same load, so instantaneous conduction loss is identical for any given current value. The discrepancy must therefore arise from differences in simulation loss accounting across segments, not from a physical difference in current. Authors should audit the loss integration logic to ensure that both strategies accumulate losses over the same set of operating intervals, and confirm that the result is not a simulation bookkeeping artefact.</w:t>
      </w:r>
    </w:p>
    <w:p>
      <w:pPr>
        <w:pBdr>
          <w:top w:val="single" w:color="AAAAAA" w:sz="4"/>
          <w:bottom w:val="single" w:color="AAAAAA" w:sz="4"/>
          <w:left w:val="single" w:color="AAAAAA" w:sz="4"/>
          <w:right w:val="single" w:color="AAAAAA" w:sz="4"/>
        </w:pBdr>
        <w:spacing w:after="40" w:before="80"/>
        <w:jc w:val="center"/>
      </w:pPr>
      <w:r>
        <w:rPr>
          <w:rFonts w:ascii="Times New Roman" w:cs="Times New Roman" w:eastAsia="Times New Roman" w:hAnsi="Times New Roman"/>
          <w:i/>
          <w:iCs/>
          <w:color w:val="888888"/>
          <w:sz w:val="18"/>
          <w:szCs w:val="18"/>
        </w:rPr>
        <w:t xml:space="preserve">[Fig. 5: Junction temperature Tj over the drive cycle — scheduled 5–20 kHz (solid) vs. fixed 20 kHz (dashed), with bar inset showing conduction vs. switching loss breakdown]</w:t>
      </w:r>
    </w:p>
    <w:p>
      <w:pPr>
        <w:spacing w:after="80" w:before="20"/>
        <w:jc w:val="center"/>
      </w:pPr>
      <w:r>
        <w:rPr>
          <w:rFonts w:ascii="Times New Roman" w:cs="Times New Roman" w:eastAsia="Times New Roman" w:hAnsi="Times New Roman"/>
          <w:i/>
          <w:iCs/>
          <w:color w:val="000000"/>
          <w:sz w:val="18"/>
          <w:szCs w:val="18"/>
        </w:rPr>
        <w:t xml:space="preserve">Fig. 5.  Junction temperature Tj over the drive cycle — scheduled 5–20 kHz (solid) vs. fixed 20 kHz (dashed), with bar inset showing conduction vs. switching loss breakdown.</w:t>
      </w:r>
    </w:p>
    <w:p>
      <w:pPr>
        <w:spacing w:after="80" w:before="160"/>
        <w:jc w:val="center"/>
      </w:pPr>
      <w:r>
        <w:rPr>
          <w:rFonts w:ascii="Times New Roman" w:cs="Times New Roman" w:eastAsia="Times New Roman" w:hAnsi="Times New Roman"/>
          <w:b/>
          <w:bCs/>
          <w:caps/>
          <w:color w:val="000000"/>
          <w:sz w:val="22"/>
          <w:szCs w:val="22"/>
        </w:rPr>
        <w:t xml:space="preserve">V.  Discussion</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The simulation results confirm that the three-level FC inverter with PD-PWM modulation satisfies all primary design targets: three-level output voltage generation, output current THD within IEEE Std 519 limits, capacitor voltage self-balancing, and semiconductor junction temperatures well within SiC device ratings across the full drive cycle. The 63% switching loss reduction achieved by frequency scheduling during urban operation represents a meaningful efficiency benefit, particularly under city driving conditions where thermal management headroom is most limited.</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Several aspects of the simulation results warrant further investigation before final paper submission. The electrical frequency values at highway speed (&gt;3000 Hz) imply motor mechanical speeds in excess of typical EV motor ratings unless a significant gear reduction is incorporated; this should be explicitly stated and verified. The near-zero flying capacitor voltage ripple (&lt;0.1 V) is physically plausible for a 1.5 mF capacitor under the simulated current levels, but only if the capacitor is correctly modelled as a dynamic state variable — this must be confirmed. The conduction loss asymmetry between strategies requires re-examination of the loss integration methodology to rule out a simulation artefact.</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The simplified thermal model employed here — using fixed thermal resistance parameters and a single thermal time constant — is adequate for a first-order comparative study but does not capture transient thermal behaviour during rapid load transitions in the drive cycle. A more complete thermal analysis would incorporate device-level impedance data from manufacturer datasheets and account for coolant temperature variation. Similarly, the loss model assumes linear switching energy scaling with current, which may underestimate losses at low current levels where soft-switching is less effective.</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The FC topology's pre-charge requirement, while acknowledged, was not simulated in this work. Pre-charge transient analysis and the associated inrush current control strategy represent important practical considerations for production implementation and should be addressed in future work.</w:t>
      </w:r>
    </w:p>
    <w:p>
      <w:pPr>
        <w:spacing w:after="80" w:before="160"/>
        <w:jc w:val="center"/>
      </w:pPr>
      <w:r>
        <w:rPr>
          <w:rFonts w:ascii="Times New Roman" w:cs="Times New Roman" w:eastAsia="Times New Roman" w:hAnsi="Times New Roman"/>
          <w:b/>
          <w:bCs/>
          <w:caps/>
          <w:color w:val="000000"/>
          <w:sz w:val="22"/>
          <w:szCs w:val="22"/>
        </w:rPr>
        <w:t xml:space="preserve">VI.  Conclusion</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A three-level Flying Capacitor inverter for 800 V EV traction with integrated DC charging has been specified, analytically sized, and simulated across a representative urban-to-highway drive cycle. The FC topology was selected over NPC on the basis of superior natural voltage balancing under PD-PWM, symmetric bidirectional current handling for integrated charging, and higher fault tolerance. Flying capacitors of 1.5 mF per phase were analytically derived at worst-case operating conditions (250 A peak, 5 kHz minimum switching frequency) with a 2.5% ripple budget.</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Simulation results confirmed three-level output voltage generation, capacitor voltage self-balancing, and output current THD of 3.10% at highway steady-state conditions — within the IEEE Std 519 5% guideline. Semiconductor thermal analysis demonstrated that a scheduled switching frequency strategy (5 kHz urban, 20 kHz highway) reduces switching losses by 63% relative to a fixed 20 kHz baseline, while maintaining maximum junction temperatures below 76 °C against a 150 °C device limit.</w:t>
      </w:r>
    </w:p>
    <w:p>
      <w:pPr>
        <w:spacing w:after="100" w:before="0" w:line="240"/>
        <w:ind w:firstLine="360"/>
        <w:jc w:val="both"/>
      </w:pPr>
      <w:r>
        <w:rPr>
          <w:rFonts w:ascii="Times New Roman" w:cs="Times New Roman" w:eastAsia="Times New Roman" w:hAnsi="Times New Roman"/>
          <w:b w:val="false"/>
          <w:bCs w:val="false"/>
          <w:i w:val="false"/>
          <w:iCs w:val="false"/>
          <w:color w:val="000000"/>
          <w:sz w:val="20"/>
          <w:szCs w:val="20"/>
        </w:rPr>
        <w:t xml:space="preserve">Identified areas for improvement include verification of the motor speed-to-electrical-frequency mapping, confirmation of the flying capacitor dynamic model implementation, re-examination of the conduction loss integration methodology, and extension of THD analysis to urban operating conditions. Future work should incorporate device-level datasheet thermal impedance data, pre-charge transient simulation, and experimental hardware validation.</w:t>
      </w:r>
    </w:p>
    <w:p>
      <w:pPr>
        <w:spacing w:after="80" w:before="160"/>
        <w:jc w:val="center"/>
      </w:pPr>
      <w:r>
        <w:rPr>
          <w:rFonts w:ascii="Times New Roman" w:cs="Times New Roman" w:eastAsia="Times New Roman" w:hAnsi="Times New Roman"/>
          <w:b/>
          <w:bCs/>
          <w:caps/>
          <w:color w:val="000000"/>
          <w:sz w:val="22"/>
          <w:szCs w:val="22"/>
        </w:rPr>
        <w:t xml:space="preserve">Acknowledgement</w:t>
      </w:r>
    </w:p>
    <w:p>
      <w:pPr>
        <w:spacing w:after="100" w:before="0" w:line="240"/>
        <w:jc w:val="both"/>
      </w:pPr>
      <w:r>
        <w:rPr>
          <w:rFonts w:ascii="Times New Roman" w:cs="Times New Roman" w:eastAsia="Times New Roman" w:hAnsi="Times New Roman"/>
          <w:b w:val="false"/>
          <w:bCs w:val="false"/>
          <w:i w:val="false"/>
          <w:iCs w:val="false"/>
          <w:color w:val="000000"/>
          <w:sz w:val="20"/>
          <w:szCs w:val="20"/>
        </w:rPr>
        <w:t xml:space="preserve">[Authors may acknowledge funding sources, supervisors, or lab support here.]</w:t>
      </w:r>
    </w:p>
    <w:p>
      <w:pPr>
        <w:spacing w:after="80" w:before="160"/>
        <w:jc w:val="center"/>
      </w:pPr>
      <w:r>
        <w:rPr>
          <w:rFonts w:ascii="Times New Roman" w:cs="Times New Roman" w:eastAsia="Times New Roman" w:hAnsi="Times New Roman"/>
          <w:b/>
          <w:bCs/>
          <w:caps/>
          <w:color w:val="000000"/>
          <w:sz w:val="22"/>
          <w:szCs w:val="22"/>
        </w:rPr>
        <w:t xml:space="preserve">References</w:t>
      </w:r>
    </w:p>
    <w:p>
      <w:pPr>
        <w:spacing w:after="60" w:before="0" w:line="240"/>
        <w:ind w:left="360" w:hanging="360"/>
        <w:jc w:val="both"/>
      </w:pPr>
      <w:r>
        <w:rPr>
          <w:rFonts w:ascii="Times New Roman" w:cs="Times New Roman" w:eastAsia="Times New Roman" w:hAnsi="Times New Roman"/>
          <w:color w:val="000000"/>
          <w:sz w:val="18"/>
          <w:szCs w:val="18"/>
        </w:rPr>
        <w:t xml:space="preserve">[1] S. Avinash et al., “WBG Multilevel Inverters for 800V EV Traction,” in Proc. IEEE Applied Power Electronics Conf. (APEC), Feb. 2024. [DOI to be confirmed]</w:t>
      </w:r>
    </w:p>
    <w:p>
      <w:pPr>
        <w:spacing w:after="60" w:before="0" w:line="240"/>
        <w:ind w:left="360" w:hanging="360"/>
        <w:jc w:val="both"/>
      </w:pPr>
      <w:r>
        <w:rPr>
          <w:rFonts w:ascii="Times New Roman" w:cs="Times New Roman" w:eastAsia="Times New Roman" w:hAnsi="Times New Roman"/>
          <w:color w:val="000000"/>
          <w:sz w:val="18"/>
          <w:szCs w:val="18"/>
        </w:rPr>
        <w:t xml:space="preserve">[2] R. C. N. Pilawa-Podgurski et al., “Investigation of Capacitor Voltage Balancing in Practical Implementations of Flying Capacitor Multilevel Converters,” in Proc. IEEE Workshop on Control and Modeling for Power Electronics (COMPEL), Jul. 2017. DOI: 10.1109/COMPEL.2017.8013368</w:t>
      </w:r>
    </w:p>
    <w:p>
      <w:pPr>
        <w:spacing w:after="60" w:before="0" w:line="240"/>
        <w:ind w:left="360" w:hanging="360"/>
        <w:jc w:val="both"/>
      </w:pPr>
      <w:r>
        <w:rPr>
          <w:rFonts w:ascii="Times New Roman" w:cs="Times New Roman" w:eastAsia="Times New Roman" w:hAnsi="Times New Roman"/>
          <w:color w:val="000000"/>
          <w:sz w:val="18"/>
          <w:szCs w:val="18"/>
        </w:rPr>
        <w:t xml:space="preserve">[3] B. P. McGrath and D. G. Holmes, “Enhanced Voltage Balancing of a Flying Capacitor Multilevel Converter Using Phase Disposition (PD) Modulation,” IEEE Trans. Power Electron., vol. 26, no. 7, pp. 1933–1942, Jul. 2011. DOI: 10.1109/TPEL.2010.2097279</w:t>
      </w:r>
    </w:p>
    <w:p>
      <w:pPr>
        <w:spacing w:after="60" w:before="0" w:line="240"/>
        <w:ind w:left="360" w:hanging="360"/>
        <w:jc w:val="both"/>
      </w:pPr>
      <w:r>
        <w:rPr>
          <w:rFonts w:ascii="Times New Roman" w:cs="Times New Roman" w:eastAsia="Times New Roman" w:hAnsi="Times New Roman"/>
          <w:color w:val="000000"/>
          <w:sz w:val="18"/>
          <w:szCs w:val="18"/>
        </w:rPr>
        <w:t xml:space="preserve">[4] M. Fernandez et al., “A Bidirectional Liquid-Cooled GaN-based AC/DC Flying Capacitor Multi-Level Converter with Integrated Startup,” in Proc. IEEE Applied Power Electronics Conf. (APEC), Mar. 2022. DOI: 10.1109/APEC43599.2022.9773520</w:t>
      </w:r>
    </w:p>
    <w:p>
      <w:pPr>
        <w:spacing w:after="60" w:before="0" w:line="240"/>
        <w:ind w:left="360" w:hanging="360"/>
        <w:jc w:val="both"/>
      </w:pPr>
      <w:r>
        <w:rPr>
          <w:rFonts w:ascii="Times New Roman" w:cs="Times New Roman" w:eastAsia="Times New Roman" w:hAnsi="Times New Roman"/>
          <w:color w:val="000000"/>
          <w:sz w:val="18"/>
          <w:szCs w:val="18"/>
        </w:rPr>
        <w:t xml:space="preserve">[5] R. Teichmann and S. Bernet, “A Comparison of Three-Level Converters versus Two-Level Converters for Low-Voltage Drives, Traction, and Utility Applications,” IEEE Trans. Ind. Appl., vol. 41, no. 3, pp. 855–865, May/Jun. 2005. [Volume/page numbers to be confirmed from source.]</w:t>
      </w:r>
    </w:p>
    <w:p>
      <w:pPr>
        <w:spacing w:after="60" w:before="0" w:line="240"/>
        <w:ind w:left="360" w:hanging="360"/>
        <w:jc w:val="both"/>
      </w:pPr>
      <w:r>
        <w:rPr>
          <w:rFonts w:ascii="Times New Roman" w:cs="Times New Roman" w:eastAsia="Times New Roman" w:hAnsi="Times New Roman"/>
          <w:color w:val="000000"/>
          <w:sz w:val="18"/>
          <w:szCs w:val="18"/>
        </w:rPr>
        <w:t xml:space="preserve">[6] Vishay Roederstein, “MKP1848 DC-Link Metallized Polypropylene Film Capacitor — Automotive Grade,” Doc. No. 28164, Rev. Jan. 2024. Available: www.vishay.com</w:t>
      </w:r>
    </w:p>
    <w:sectPr>
      <w:type w:val="continuous"/>
      <w:pgSz w:w="12240" w:h="15840" w:orient="portrait"/>
      <w:pgMar w:top="1440" w:right="1080" w:bottom="1440" w:left="1080" w:header="708" w:footer="708" w:gutter="0"/>
      <w:pgNumType/>
      <w:cols w:space="720" w:num="2" w:sep="false"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666666"/>
        <w:sz w:val="18"/>
        <w:szCs w:val="18"/>
      </w:rPr>
      <w:t xml:space="preserve">IEEE Conference Paper — Draft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2026-05-04T04:24:28.782Z</dcterms:created>
  <dcterms:modified xsi:type="dcterms:W3CDTF">2026-05-04T04:24:28.782Z</dcterms:modified>
</cp:coreProperties>
</file>

<file path=docProps/custom.xml><?xml version="1.0" encoding="utf-8"?>
<Properties xmlns="http://schemas.openxmlformats.org/officeDocument/2006/custom-properties" xmlns:vt="http://schemas.openxmlformats.org/officeDocument/2006/docPropsVTypes"/>
</file>