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859B1" w14:textId="77777777" w:rsidR="00D04C28" w:rsidRDefault="00D04C28">
      <w:pPr>
        <w:spacing w:after="240"/>
      </w:pPr>
    </w:p>
    <w:p w14:paraId="0475AF86" w14:textId="77777777" w:rsidR="00D04C28" w:rsidRDefault="00000000">
      <w:pPr>
        <w:jc w:val="center"/>
      </w:pPr>
      <w:r>
        <w:rPr>
          <w:b/>
          <w:bCs/>
          <w:color w:val="8B0000"/>
          <w:sz w:val="64"/>
          <w:szCs w:val="64"/>
        </w:rPr>
        <w:t>REAL ESTATE HOUSING MARKET</w:t>
      </w:r>
    </w:p>
    <w:p w14:paraId="31DB6173" w14:textId="77777777" w:rsidR="00D04C28" w:rsidRDefault="00000000">
      <w:pPr>
        <w:spacing w:after="80"/>
        <w:jc w:val="center"/>
      </w:pPr>
      <w:r>
        <w:rPr>
          <w:b/>
          <w:bCs/>
          <w:color w:val="8B0000"/>
          <w:sz w:val="64"/>
          <w:szCs w:val="64"/>
        </w:rPr>
        <w:t>ANALYSIS</w:t>
      </w:r>
    </w:p>
    <w:p w14:paraId="48365457" w14:textId="77777777" w:rsidR="00D04C28" w:rsidRDefault="00000000">
      <w:pPr>
        <w:pBdr>
          <w:bottom w:val="single" w:sz="8" w:space="4" w:color="C0392B"/>
        </w:pBdr>
        <w:spacing w:after="200"/>
        <w:jc w:val="center"/>
      </w:pPr>
      <w:r>
        <w:rPr>
          <w:i/>
          <w:iCs/>
          <w:color w:val="555555"/>
          <w:sz w:val="28"/>
          <w:szCs w:val="28"/>
        </w:rPr>
        <w:t>An End-to-End Data Analytics Project</w:t>
      </w:r>
    </w:p>
    <w:p w14:paraId="674E6618" w14:textId="77777777" w:rsidR="00D04C28" w:rsidRDefault="00D04C2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D04C28" w14:paraId="3BE9FF1E" w14:textId="77777777">
        <w:tc>
          <w:tcPr>
            <w:tcW w:w="1872" w:type="dxa"/>
            <w:tcBorders>
              <w:top w:val="single" w:sz="3" w:space="0" w:color="C0392B"/>
              <w:left w:val="single" w:sz="1" w:space="0" w:color="CCCCCC"/>
              <w:bottom w:val="single" w:sz="3" w:space="0" w:color="C0392B"/>
              <w:right w:val="single" w:sz="1" w:space="0" w:color="CCCCCC"/>
            </w:tcBorders>
            <w:shd w:val="clear" w:color="auto" w:fill="FDECEA"/>
            <w:tcMar>
              <w:top w:w="120" w:type="dxa"/>
              <w:left w:w="120" w:type="dxa"/>
              <w:bottom w:w="120" w:type="dxa"/>
              <w:right w:w="120" w:type="dxa"/>
            </w:tcMar>
            <w:vAlign w:val="center"/>
          </w:tcPr>
          <w:p w14:paraId="45AF946A" w14:textId="77777777" w:rsidR="00D04C28" w:rsidRDefault="00000000">
            <w:pPr>
              <w:jc w:val="center"/>
            </w:pPr>
            <w:r>
              <w:rPr>
                <w:b/>
                <w:bCs/>
                <w:color w:val="8B0000"/>
                <w:sz w:val="32"/>
                <w:szCs w:val="32"/>
              </w:rPr>
              <w:t>100,000</w:t>
            </w:r>
          </w:p>
          <w:p w14:paraId="7BDD7D59" w14:textId="77777777" w:rsidR="00D04C28" w:rsidRDefault="00000000">
            <w:pPr>
              <w:jc w:val="center"/>
            </w:pPr>
            <w:r>
              <w:rPr>
                <w:color w:val="555555"/>
                <w:sz w:val="17"/>
                <w:szCs w:val="17"/>
              </w:rPr>
              <w:t>Total Transactions</w:t>
            </w:r>
          </w:p>
        </w:tc>
        <w:tc>
          <w:tcPr>
            <w:tcW w:w="1872" w:type="dxa"/>
            <w:tcBorders>
              <w:top w:val="single" w:sz="3" w:space="0" w:color="C0392B"/>
              <w:left w:val="single" w:sz="1" w:space="0" w:color="CCCCCC"/>
              <w:bottom w:val="single" w:sz="3" w:space="0" w:color="C0392B"/>
              <w:right w:val="single" w:sz="1" w:space="0" w:color="CCCCCC"/>
            </w:tcBorders>
            <w:shd w:val="clear" w:color="auto" w:fill="FDECEA"/>
            <w:tcMar>
              <w:top w:w="120" w:type="dxa"/>
              <w:left w:w="120" w:type="dxa"/>
              <w:bottom w:w="120" w:type="dxa"/>
              <w:right w:w="120" w:type="dxa"/>
            </w:tcMar>
            <w:vAlign w:val="center"/>
          </w:tcPr>
          <w:p w14:paraId="7B1EAD2C" w14:textId="77777777" w:rsidR="00D04C28" w:rsidRDefault="00000000">
            <w:pPr>
              <w:jc w:val="center"/>
            </w:pPr>
            <w:r>
              <w:rPr>
                <w:b/>
                <w:bCs/>
                <w:color w:val="8B0000"/>
                <w:sz w:val="32"/>
                <w:szCs w:val="32"/>
              </w:rPr>
              <w:t>DKK 193Bn</w:t>
            </w:r>
          </w:p>
          <w:p w14:paraId="62E67C46" w14:textId="77777777" w:rsidR="00D04C28" w:rsidRDefault="00000000">
            <w:pPr>
              <w:jc w:val="center"/>
            </w:pPr>
            <w:r>
              <w:rPr>
                <w:color w:val="555555"/>
                <w:sz w:val="17"/>
                <w:szCs w:val="17"/>
              </w:rPr>
              <w:t>Total Market Value</w:t>
            </w:r>
          </w:p>
        </w:tc>
        <w:tc>
          <w:tcPr>
            <w:tcW w:w="1872" w:type="dxa"/>
            <w:tcBorders>
              <w:top w:val="single" w:sz="3" w:space="0" w:color="C0392B"/>
              <w:left w:val="single" w:sz="1" w:space="0" w:color="CCCCCC"/>
              <w:bottom w:val="single" w:sz="3" w:space="0" w:color="C0392B"/>
              <w:right w:val="single" w:sz="1" w:space="0" w:color="CCCCCC"/>
            </w:tcBorders>
            <w:shd w:val="clear" w:color="auto" w:fill="FDECEA"/>
            <w:tcMar>
              <w:top w:w="120" w:type="dxa"/>
              <w:left w:w="120" w:type="dxa"/>
              <w:bottom w:w="120" w:type="dxa"/>
              <w:right w:w="120" w:type="dxa"/>
            </w:tcMar>
            <w:vAlign w:val="center"/>
          </w:tcPr>
          <w:p w14:paraId="3F3A7D0B" w14:textId="77777777" w:rsidR="00D04C28" w:rsidRDefault="00000000">
            <w:pPr>
              <w:jc w:val="center"/>
            </w:pPr>
            <w:r>
              <w:rPr>
                <w:b/>
                <w:bCs/>
                <w:color w:val="8B0000"/>
                <w:sz w:val="32"/>
                <w:szCs w:val="32"/>
              </w:rPr>
              <w:t>DKK 1.93M</w:t>
            </w:r>
          </w:p>
          <w:p w14:paraId="41DBF340" w14:textId="77777777" w:rsidR="00D04C28" w:rsidRDefault="00000000">
            <w:pPr>
              <w:jc w:val="center"/>
            </w:pPr>
            <w:proofErr w:type="spellStart"/>
            <w:r>
              <w:rPr>
                <w:color w:val="555555"/>
                <w:sz w:val="17"/>
                <w:szCs w:val="17"/>
              </w:rPr>
              <w:t>Avg</w:t>
            </w:r>
            <w:proofErr w:type="spellEnd"/>
            <w:r>
              <w:rPr>
                <w:color w:val="555555"/>
                <w:sz w:val="17"/>
                <w:szCs w:val="17"/>
              </w:rPr>
              <w:t xml:space="preserve"> Property Price</w:t>
            </w:r>
          </w:p>
        </w:tc>
        <w:tc>
          <w:tcPr>
            <w:tcW w:w="1872" w:type="dxa"/>
            <w:tcBorders>
              <w:top w:val="single" w:sz="3" w:space="0" w:color="C0392B"/>
              <w:left w:val="single" w:sz="1" w:space="0" w:color="CCCCCC"/>
              <w:bottom w:val="single" w:sz="3" w:space="0" w:color="C0392B"/>
              <w:right w:val="single" w:sz="1" w:space="0" w:color="CCCCCC"/>
            </w:tcBorders>
            <w:shd w:val="clear" w:color="auto" w:fill="FDECEA"/>
            <w:tcMar>
              <w:top w:w="120" w:type="dxa"/>
              <w:left w:w="120" w:type="dxa"/>
              <w:bottom w:w="120" w:type="dxa"/>
              <w:right w:w="120" w:type="dxa"/>
            </w:tcMar>
            <w:vAlign w:val="center"/>
          </w:tcPr>
          <w:p w14:paraId="2E0FB970" w14:textId="77777777" w:rsidR="00D04C28" w:rsidRDefault="00000000">
            <w:pPr>
              <w:jc w:val="center"/>
            </w:pPr>
            <w:r>
              <w:rPr>
                <w:b/>
                <w:bCs/>
                <w:color w:val="8B0000"/>
                <w:sz w:val="32"/>
                <w:szCs w:val="32"/>
              </w:rPr>
              <w:t>1992 – 2024</w:t>
            </w:r>
          </w:p>
          <w:p w14:paraId="2C49D9B3" w14:textId="77777777" w:rsidR="00D04C28" w:rsidRDefault="00000000">
            <w:pPr>
              <w:jc w:val="center"/>
            </w:pPr>
            <w:r>
              <w:rPr>
                <w:color w:val="555555"/>
                <w:sz w:val="17"/>
                <w:szCs w:val="17"/>
              </w:rPr>
              <w:t>Analysis Period</w:t>
            </w:r>
          </w:p>
        </w:tc>
        <w:tc>
          <w:tcPr>
            <w:tcW w:w="1872" w:type="dxa"/>
            <w:tcBorders>
              <w:top w:val="single" w:sz="3" w:space="0" w:color="C0392B"/>
              <w:left w:val="single" w:sz="1" w:space="0" w:color="CCCCCC"/>
              <w:bottom w:val="single" w:sz="3" w:space="0" w:color="C0392B"/>
              <w:right w:val="single" w:sz="1" w:space="0" w:color="CCCCCC"/>
            </w:tcBorders>
            <w:shd w:val="clear" w:color="auto" w:fill="FDECEA"/>
            <w:tcMar>
              <w:top w:w="120" w:type="dxa"/>
              <w:left w:w="120" w:type="dxa"/>
              <w:bottom w:w="120" w:type="dxa"/>
              <w:right w:w="120" w:type="dxa"/>
            </w:tcMar>
            <w:vAlign w:val="center"/>
          </w:tcPr>
          <w:p w14:paraId="283183F7" w14:textId="77777777" w:rsidR="00D04C28" w:rsidRDefault="00000000">
            <w:pPr>
              <w:jc w:val="center"/>
            </w:pPr>
            <w:r>
              <w:rPr>
                <w:b/>
                <w:bCs/>
                <w:color w:val="8B0000"/>
                <w:sz w:val="32"/>
                <w:szCs w:val="32"/>
              </w:rPr>
              <w:t>50+</w:t>
            </w:r>
          </w:p>
          <w:p w14:paraId="0EA06FB4" w14:textId="77777777" w:rsidR="00D04C28" w:rsidRDefault="00000000">
            <w:pPr>
              <w:jc w:val="center"/>
            </w:pPr>
            <w:r>
              <w:rPr>
                <w:color w:val="555555"/>
                <w:sz w:val="17"/>
                <w:szCs w:val="17"/>
              </w:rPr>
              <w:t>Cities Covered</w:t>
            </w:r>
          </w:p>
        </w:tc>
      </w:tr>
    </w:tbl>
    <w:p w14:paraId="1AECFA9E" w14:textId="77777777" w:rsidR="00D04C28" w:rsidRDefault="00D04C28">
      <w:pPr>
        <w:spacing w:after="160"/>
      </w:pPr>
    </w:p>
    <w:p w14:paraId="10573546" w14:textId="77777777" w:rsidR="00D04C28" w:rsidRDefault="00000000">
      <w:pPr>
        <w:spacing w:after="80"/>
        <w:jc w:val="center"/>
      </w:pPr>
      <w:r>
        <w:rPr>
          <w:b/>
          <w:bCs/>
          <w:color w:val="1A1A1A"/>
          <w:sz w:val="21"/>
          <w:szCs w:val="21"/>
        </w:rPr>
        <w:t>Tools Used:</w:t>
      </w:r>
    </w:p>
    <w:p w14:paraId="7CA388E8" w14:textId="77777777" w:rsidR="00D04C28" w:rsidRDefault="00000000">
      <w:pPr>
        <w:spacing w:after="300"/>
        <w:jc w:val="center"/>
      </w:pPr>
      <w:r>
        <w:rPr>
          <w:color w:val="444444"/>
          <w:sz w:val="22"/>
          <w:szCs w:val="22"/>
        </w:rPr>
        <w:t>Python (Pandas, Matplotlib, Seaborn)   •   MySQL (SQL Analysis)   •   Power BI (Dashboard)</w:t>
      </w:r>
    </w:p>
    <w:p w14:paraId="28C81B40" w14:textId="77777777" w:rsidR="00D04C28" w:rsidRDefault="00D04C28">
      <w:pPr>
        <w:spacing w:after="320"/>
      </w:pPr>
    </w:p>
    <w:p w14:paraId="1FCA408A" w14:textId="2810C375" w:rsidR="00D04C28" w:rsidRDefault="00000000">
      <w:pPr>
        <w:jc w:val="center"/>
      </w:pPr>
      <w:r>
        <w:rPr>
          <w:color w:val="888888"/>
        </w:rPr>
        <w:t xml:space="preserve">Data Analytics Portfolio Project  | </w:t>
      </w:r>
      <w:r w:rsidR="00347537">
        <w:rPr>
          <w:color w:val="888888"/>
        </w:rPr>
        <w:t xml:space="preserve"> 2026</w:t>
      </w:r>
    </w:p>
    <w:p w14:paraId="2D1AC341" w14:textId="77777777" w:rsidR="00D04C28" w:rsidRDefault="00000000">
      <w:r>
        <w:br w:type="page"/>
      </w:r>
    </w:p>
    <w:p w14:paraId="76C15546" w14:textId="77777777" w:rsidR="00D04C28" w:rsidRDefault="00000000">
      <w:pPr>
        <w:pStyle w:val="Heading1"/>
        <w:pBdr>
          <w:bottom w:val="single" w:sz="6" w:space="4" w:color="C0392B"/>
        </w:pBdr>
      </w:pPr>
      <w:r>
        <w:lastRenderedPageBreak/>
        <w:t>1. Business Problem Statement</w:t>
      </w:r>
    </w:p>
    <w:p w14:paraId="71F15543" w14:textId="77777777" w:rsidR="00D04C28" w:rsidRDefault="00000000">
      <w:pPr>
        <w:spacing w:before="60" w:after="100"/>
        <w:jc w:val="both"/>
      </w:pPr>
      <w:r>
        <w:rPr>
          <w:color w:val="1A1A1A"/>
        </w:rPr>
        <w:t xml:space="preserve">A real estate consulting and investment firm seeks to gain deeper insights into housing market dynamics to support data-driven investment, pricing, and market expansion decisions. The firm has observed significant variations in property prices, sales activity, and buyer negotiation </w:t>
      </w:r>
      <w:proofErr w:type="spellStart"/>
      <w:r>
        <w:rPr>
          <w:color w:val="1A1A1A"/>
        </w:rPr>
        <w:t>behavior</w:t>
      </w:r>
      <w:proofErr w:type="spellEnd"/>
      <w:r>
        <w:rPr>
          <w:color w:val="1A1A1A"/>
        </w:rPr>
        <w:t xml:space="preserve"> across different cities and regions. Changing economic conditions — particularly inflation and interest rates — are also suspected to influence property demand and valuation.</w:t>
      </w:r>
    </w:p>
    <w:p w14:paraId="5260EED7" w14:textId="77777777" w:rsidR="00D04C28" w:rsidRDefault="00D04C28">
      <w:pPr>
        <w:spacing w:after="80"/>
      </w:pPr>
    </w:p>
    <w:p w14:paraId="6BB77F8D" w14:textId="77777777" w:rsidR="00D04C28" w:rsidRDefault="00000000">
      <w:pPr>
        <w:spacing w:before="60" w:after="100"/>
        <w:jc w:val="both"/>
      </w:pPr>
      <w:r>
        <w:rPr>
          <w:b/>
          <w:bCs/>
          <w:color w:val="1A1A1A"/>
        </w:rPr>
        <w:t>The overarching business question driving this project is:</w:t>
      </w:r>
    </w:p>
    <w:p w14:paraId="79A52F11" w14:textId="77777777" w:rsidR="00D04C28" w:rsidRDefault="00D04C2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04C28" w14:paraId="46109C6F" w14:textId="77777777">
        <w:tc>
          <w:tcPr>
            <w:tcW w:w="9360" w:type="dxa"/>
            <w:tcBorders>
              <w:top w:val="single" w:sz="6" w:space="0" w:color="8B0000"/>
              <w:left w:val="single" w:sz="6" w:space="0" w:color="8B0000"/>
              <w:bottom w:val="single" w:sz="6" w:space="0" w:color="8B0000"/>
              <w:right w:val="single" w:sz="6" w:space="0" w:color="8B0000"/>
            </w:tcBorders>
            <w:shd w:val="clear" w:color="auto" w:fill="FDECEA"/>
            <w:tcMar>
              <w:top w:w="180" w:type="dxa"/>
              <w:left w:w="220" w:type="dxa"/>
              <w:bottom w:w="180" w:type="dxa"/>
              <w:right w:w="220" w:type="dxa"/>
            </w:tcMar>
          </w:tcPr>
          <w:p w14:paraId="510BA047" w14:textId="77777777" w:rsidR="00D04C28" w:rsidRDefault="00000000">
            <w:pPr>
              <w:jc w:val="center"/>
            </w:pPr>
            <w:r>
              <w:rPr>
                <w:b/>
                <w:bCs/>
                <w:i/>
                <w:iCs/>
                <w:color w:val="8B0000"/>
                <w:sz w:val="21"/>
                <w:szCs w:val="21"/>
              </w:rPr>
              <w:t>“How can real estate transaction and economic data be leveraged to identify market trends, evaluate investment opportunities, optimize pricing strategies, and support data-driven decision-making in the housing market?”</w:t>
            </w:r>
          </w:p>
        </w:tc>
      </w:tr>
    </w:tbl>
    <w:p w14:paraId="064E2399" w14:textId="77777777" w:rsidR="00D04C28" w:rsidRDefault="00D04C28">
      <w:pPr>
        <w:spacing w:after="80"/>
      </w:pPr>
    </w:p>
    <w:p w14:paraId="7EB84CD1" w14:textId="77777777" w:rsidR="00D04C28" w:rsidRDefault="00000000">
      <w:pPr>
        <w:pStyle w:val="Heading2"/>
      </w:pPr>
      <w:r>
        <w:t>1.1 Key Objectives</w:t>
      </w:r>
    </w:p>
    <w:p w14:paraId="7F67DC84" w14:textId="77777777" w:rsidR="00D04C28" w:rsidRDefault="00000000">
      <w:pPr>
        <w:pStyle w:val="ListParagraph"/>
        <w:numPr>
          <w:ilvl w:val="0"/>
          <w:numId w:val="2"/>
        </w:numPr>
        <w:spacing w:before="40" w:after="60"/>
      </w:pPr>
      <w:r>
        <w:rPr>
          <w:color w:val="1A1A1A"/>
        </w:rPr>
        <w:t>Identify cities and regions with the highest property values and strongest market performance.</w:t>
      </w:r>
    </w:p>
    <w:p w14:paraId="4E83B80D" w14:textId="77777777" w:rsidR="00D04C28" w:rsidRDefault="00000000">
      <w:pPr>
        <w:pStyle w:val="ListParagraph"/>
        <w:numPr>
          <w:ilvl w:val="0"/>
          <w:numId w:val="2"/>
        </w:numPr>
        <w:spacing w:before="40" w:after="60"/>
      </w:pPr>
      <w:r>
        <w:rPr>
          <w:color w:val="1A1A1A"/>
        </w:rPr>
        <w:t>Understand the impact of property characteristics (house type, size, rooms, build era) on purchase prices.</w:t>
      </w:r>
    </w:p>
    <w:p w14:paraId="2E38AD8E" w14:textId="77777777" w:rsidR="00D04C28" w:rsidRDefault="00000000">
      <w:pPr>
        <w:pStyle w:val="ListParagraph"/>
        <w:numPr>
          <w:ilvl w:val="0"/>
          <w:numId w:val="2"/>
        </w:numPr>
        <w:spacing w:before="40" w:after="60"/>
      </w:pPr>
      <w:proofErr w:type="spellStart"/>
      <w:r>
        <w:rPr>
          <w:color w:val="1A1A1A"/>
        </w:rPr>
        <w:t>Analyze</w:t>
      </w:r>
      <w:proofErr w:type="spellEnd"/>
      <w:r>
        <w:rPr>
          <w:color w:val="1A1A1A"/>
        </w:rPr>
        <w:t xml:space="preserve"> how inflation and interest rates influence housing prices and market activity.</w:t>
      </w:r>
    </w:p>
    <w:p w14:paraId="4F66EA77" w14:textId="77777777" w:rsidR="00D04C28" w:rsidRDefault="00000000">
      <w:pPr>
        <w:pStyle w:val="ListParagraph"/>
        <w:numPr>
          <w:ilvl w:val="0"/>
          <w:numId w:val="2"/>
        </w:numPr>
        <w:spacing w:before="40" w:after="60"/>
      </w:pPr>
      <w:r>
        <w:rPr>
          <w:color w:val="1A1A1A"/>
        </w:rPr>
        <w:t xml:space="preserve">Evaluate buyer negotiation </w:t>
      </w:r>
      <w:proofErr w:type="spellStart"/>
      <w:r>
        <w:rPr>
          <w:color w:val="1A1A1A"/>
        </w:rPr>
        <w:t>behavior</w:t>
      </w:r>
      <w:proofErr w:type="spellEnd"/>
      <w:r>
        <w:rPr>
          <w:color w:val="1A1A1A"/>
        </w:rPr>
        <w:t xml:space="preserve"> across different regions and property segments.</w:t>
      </w:r>
    </w:p>
    <w:p w14:paraId="3A3DB4D1" w14:textId="77777777" w:rsidR="00D04C28" w:rsidRDefault="00000000">
      <w:pPr>
        <w:pStyle w:val="ListParagraph"/>
        <w:numPr>
          <w:ilvl w:val="0"/>
          <w:numId w:val="2"/>
        </w:numPr>
        <w:spacing w:before="40" w:after="60"/>
      </w:pPr>
      <w:r>
        <w:rPr>
          <w:color w:val="1A1A1A"/>
        </w:rPr>
        <w:t>Discover emerging markets and investment opportunities through geographic and trend analysis.</w:t>
      </w:r>
    </w:p>
    <w:p w14:paraId="6C4E8ABE" w14:textId="77777777" w:rsidR="00D04C28" w:rsidRDefault="00000000">
      <w:pPr>
        <w:pStyle w:val="ListParagraph"/>
        <w:numPr>
          <w:ilvl w:val="0"/>
          <w:numId w:val="2"/>
        </w:numPr>
        <w:spacing w:before="40" w:after="60"/>
      </w:pPr>
      <w:r>
        <w:rPr>
          <w:color w:val="1A1A1A"/>
        </w:rPr>
        <w:t>Develop an interactive analytics dashboard to support strategic business and investment decisions.</w:t>
      </w:r>
    </w:p>
    <w:p w14:paraId="1C2D8C8B" w14:textId="77777777" w:rsidR="00D04C28" w:rsidRDefault="00000000">
      <w:r>
        <w:br w:type="page"/>
      </w:r>
    </w:p>
    <w:p w14:paraId="1A756B2B" w14:textId="77777777" w:rsidR="00D04C28" w:rsidRDefault="00000000">
      <w:pPr>
        <w:pStyle w:val="Heading1"/>
        <w:pBdr>
          <w:bottom w:val="single" w:sz="6" w:space="4" w:color="C0392B"/>
        </w:pBdr>
      </w:pPr>
      <w:r>
        <w:lastRenderedPageBreak/>
        <w:t>2. Dataset Overview</w:t>
      </w:r>
    </w:p>
    <w:p w14:paraId="259D0CB7" w14:textId="77777777" w:rsidR="00D04C28" w:rsidRDefault="00000000">
      <w:pPr>
        <w:spacing w:before="60" w:after="100"/>
        <w:jc w:val="both"/>
      </w:pPr>
      <w:r>
        <w:rPr>
          <w:color w:val="1A1A1A"/>
        </w:rPr>
        <w:t xml:space="preserve">The dataset contains 100,000 residential property transactions from Denmark, spanning 1992 to 2024. It includes property-level details, geographic identifiers, macroeconomic indicators, and engineered buyer </w:t>
      </w:r>
      <w:proofErr w:type="spellStart"/>
      <w:r>
        <w:rPr>
          <w:color w:val="1A1A1A"/>
        </w:rPr>
        <w:t>behavior</w:t>
      </w:r>
      <w:proofErr w:type="spellEnd"/>
      <w:r>
        <w:rPr>
          <w:color w:val="1A1A1A"/>
        </w:rPr>
        <w:t xml:space="preserve"> metrics. The data was sourced for academic and portfolio purposes.</w:t>
      </w:r>
    </w:p>
    <w:p w14:paraId="14FD95E2" w14:textId="77777777" w:rsidR="00D04C28" w:rsidRDefault="00D04C28">
      <w:pPr>
        <w:spacing w:after="80"/>
      </w:pPr>
    </w:p>
    <w:p w14:paraId="5F6BCAED" w14:textId="77777777" w:rsidR="00D04C28" w:rsidRDefault="00000000">
      <w:pPr>
        <w:spacing w:before="120" w:after="120"/>
        <w:jc w:val="center"/>
      </w:pPr>
      <w:r>
        <w:rPr>
          <w:noProof/>
        </w:rPr>
        <w:drawing>
          <wp:inline distT="0" distB="0" distL="0" distR="0" wp14:anchorId="348A3E1E" wp14:editId="367DE482">
            <wp:extent cx="5334000" cy="4000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4000500"/>
                    </a:xfrm>
                    <a:prstGeom prst="rect">
                      <a:avLst/>
                    </a:prstGeom>
                  </pic:spPr>
                </pic:pic>
              </a:graphicData>
            </a:graphic>
          </wp:inline>
        </w:drawing>
      </w:r>
    </w:p>
    <w:p w14:paraId="4554DF68" w14:textId="77777777" w:rsidR="00D04C28" w:rsidRDefault="00000000">
      <w:pPr>
        <w:spacing w:before="40" w:after="160"/>
        <w:jc w:val="center"/>
      </w:pPr>
      <w:r>
        <w:rPr>
          <w:i/>
          <w:iCs/>
          <w:color w:val="555555"/>
          <w:sz w:val="18"/>
          <w:szCs w:val="18"/>
        </w:rPr>
        <w:t>Figure 1: Dataset schema from df.info() — 19 original columns, 100,000 rows with some missing values in city, inflation rate, and mortgage yield fields</w:t>
      </w:r>
    </w:p>
    <w:p w14:paraId="640B758A" w14:textId="77777777" w:rsidR="00D04C28" w:rsidRDefault="00D04C28">
      <w:pPr>
        <w:spacing w:after="80"/>
      </w:pPr>
    </w:p>
    <w:p w14:paraId="26A92A64" w14:textId="77777777" w:rsidR="00D04C28" w:rsidRDefault="00000000">
      <w:pPr>
        <w:spacing w:before="120" w:after="120"/>
        <w:jc w:val="center"/>
      </w:pPr>
      <w:r>
        <w:rPr>
          <w:noProof/>
        </w:rPr>
        <w:drawing>
          <wp:inline distT="0" distB="0" distL="0" distR="0" wp14:anchorId="16B42060" wp14:editId="174AD1DA">
            <wp:extent cx="6667500" cy="1809750"/>
            <wp:effectExtent l="0" t="0" r="0" b="0"/>
            <wp:docPr id="692832807" name="Picture 692832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667500" cy="1809750"/>
                    </a:xfrm>
                    <a:prstGeom prst="rect">
                      <a:avLst/>
                    </a:prstGeom>
                  </pic:spPr>
                </pic:pic>
              </a:graphicData>
            </a:graphic>
          </wp:inline>
        </w:drawing>
      </w:r>
    </w:p>
    <w:p w14:paraId="42CC1073" w14:textId="77777777" w:rsidR="00D04C28" w:rsidRDefault="00000000">
      <w:pPr>
        <w:spacing w:before="40" w:after="160"/>
        <w:jc w:val="center"/>
      </w:pPr>
      <w:r>
        <w:rPr>
          <w:i/>
          <w:iCs/>
          <w:color w:val="555555"/>
          <w:sz w:val="18"/>
          <w:szCs w:val="18"/>
        </w:rPr>
        <w:t>Figure 2: Sample rows from the raw dataset showing property transactions with all key columns</w:t>
      </w:r>
    </w:p>
    <w:p w14:paraId="299FE89D" w14:textId="77777777" w:rsidR="00D04C28" w:rsidRDefault="00D04C28">
      <w:pPr>
        <w:spacing w:after="80"/>
      </w:pPr>
    </w:p>
    <w:p w14:paraId="76ABAAE5" w14:textId="77777777" w:rsidR="00D04C28" w:rsidRDefault="00000000">
      <w:pPr>
        <w:pStyle w:val="Heading2"/>
      </w:pPr>
      <w:r>
        <w:lastRenderedPageBreak/>
        <w:t>2.1 Column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12"/>
        <w:gridCol w:w="1612"/>
        <w:gridCol w:w="3936"/>
      </w:tblGrid>
      <w:tr w:rsidR="00D04C28" w14:paraId="40A86E6D" w14:textId="77777777">
        <w:tc>
          <w:tcPr>
            <w:tcW w:w="22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40" w:type="dxa"/>
              <w:bottom w:w="80" w:type="dxa"/>
              <w:right w:w="140" w:type="dxa"/>
            </w:tcMar>
            <w:vAlign w:val="center"/>
          </w:tcPr>
          <w:p w14:paraId="32C8078E" w14:textId="77777777" w:rsidR="00D04C28" w:rsidRDefault="00000000">
            <w:pPr>
              <w:jc w:val="center"/>
            </w:pPr>
            <w:r>
              <w:rPr>
                <w:b/>
                <w:bCs/>
                <w:color w:val="FFFFFF"/>
                <w:sz w:val="18"/>
                <w:szCs w:val="18"/>
              </w:rPr>
              <w:t>Column</w:t>
            </w:r>
          </w:p>
        </w:tc>
        <w:tc>
          <w:tcPr>
            <w:tcW w:w="20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40" w:type="dxa"/>
              <w:bottom w:w="80" w:type="dxa"/>
              <w:right w:w="140" w:type="dxa"/>
            </w:tcMar>
            <w:vAlign w:val="center"/>
          </w:tcPr>
          <w:p w14:paraId="3ED6AFDF" w14:textId="77777777" w:rsidR="00D04C28" w:rsidRDefault="00000000">
            <w:pPr>
              <w:jc w:val="center"/>
            </w:pPr>
            <w:r>
              <w:rPr>
                <w:b/>
                <w:bCs/>
                <w:color w:val="FFFFFF"/>
                <w:sz w:val="18"/>
                <w:szCs w:val="18"/>
              </w:rPr>
              <w:t>Type</w:t>
            </w:r>
          </w:p>
        </w:tc>
        <w:tc>
          <w:tcPr>
            <w:tcW w:w="51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40" w:type="dxa"/>
              <w:bottom w:w="80" w:type="dxa"/>
              <w:right w:w="140" w:type="dxa"/>
            </w:tcMar>
            <w:vAlign w:val="center"/>
          </w:tcPr>
          <w:p w14:paraId="4D25DD52" w14:textId="77777777" w:rsidR="00D04C28" w:rsidRDefault="00000000">
            <w:pPr>
              <w:jc w:val="center"/>
            </w:pPr>
            <w:r>
              <w:rPr>
                <w:b/>
                <w:bCs/>
                <w:color w:val="FFFFFF"/>
                <w:sz w:val="18"/>
                <w:szCs w:val="18"/>
              </w:rPr>
              <w:t>Description</w:t>
            </w:r>
          </w:p>
        </w:tc>
      </w:tr>
      <w:tr w:rsidR="00D04C28" w14:paraId="493DF5F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8A12B0F" w14:textId="77777777" w:rsidR="00D04C28" w:rsidRDefault="00000000">
            <w:r>
              <w:rPr>
                <w:b/>
                <w:bCs/>
                <w:color w:val="1A1A1A"/>
                <w:sz w:val="18"/>
                <w:szCs w:val="18"/>
              </w:rPr>
              <w:t>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9FDA1A8" w14:textId="77777777" w:rsidR="00D04C28" w:rsidRDefault="00000000">
            <w:r>
              <w:rPr>
                <w:color w:val="1A1A1A"/>
                <w:sz w:val="18"/>
                <w:szCs w:val="18"/>
              </w:rPr>
              <w:t>Date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22FA79D" w14:textId="77777777" w:rsidR="00D04C28" w:rsidRDefault="00000000">
            <w:r>
              <w:rPr>
                <w:color w:val="1A1A1A"/>
                <w:sz w:val="18"/>
                <w:szCs w:val="18"/>
              </w:rPr>
              <w:t>Transaction date</w:t>
            </w:r>
          </w:p>
        </w:tc>
      </w:tr>
      <w:tr w:rsidR="00D04C28" w14:paraId="3F4D78D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91307CF" w14:textId="77777777" w:rsidR="00D04C28" w:rsidRDefault="00000000">
            <w:r>
              <w:rPr>
                <w:b/>
                <w:bCs/>
                <w:color w:val="1A1A1A"/>
                <w:sz w:val="18"/>
                <w:szCs w:val="18"/>
              </w:rPr>
              <w:t>quarter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A1F77AE" w14:textId="77777777" w:rsidR="00D04C28" w:rsidRDefault="00000000">
            <w:r>
              <w:rPr>
                <w:color w:val="1A1A1A"/>
                <w:sz w:val="18"/>
                <w:szCs w:val="18"/>
              </w:rPr>
              <w:t>String</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43EFBC4" w14:textId="77777777" w:rsidR="00D04C28" w:rsidRDefault="00000000">
            <w:r>
              <w:rPr>
                <w:color w:val="1A1A1A"/>
                <w:sz w:val="18"/>
                <w:szCs w:val="18"/>
              </w:rPr>
              <w:t>Quarter label (e.g., 2024Q1)</w:t>
            </w:r>
          </w:p>
        </w:tc>
      </w:tr>
      <w:tr w:rsidR="00D04C28" w14:paraId="4EFF1F5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A2122B4" w14:textId="77777777" w:rsidR="00D04C28" w:rsidRDefault="00000000">
            <w:proofErr w:type="spellStart"/>
            <w:r>
              <w:rPr>
                <w:b/>
                <w:bCs/>
                <w:color w:val="1A1A1A"/>
                <w:sz w:val="18"/>
                <w:szCs w:val="18"/>
              </w:rPr>
              <w:t>house_id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43D0406" w14:textId="77777777" w:rsidR="00D04C28" w:rsidRDefault="00000000">
            <w:r>
              <w:rPr>
                <w:color w:val="1A1A1A"/>
                <w:sz w:val="18"/>
                <w:szCs w:val="18"/>
              </w:rPr>
              <w:t>Integer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3D0093C" w14:textId="77777777" w:rsidR="00D04C28" w:rsidRDefault="00000000">
            <w:r>
              <w:rPr>
                <w:color w:val="1A1A1A"/>
                <w:sz w:val="18"/>
                <w:szCs w:val="18"/>
              </w:rPr>
              <w:t>Unique property identifier</w:t>
            </w:r>
          </w:p>
        </w:tc>
      </w:tr>
      <w:tr w:rsidR="00D04C28" w14:paraId="5F9E8E0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C61E63C" w14:textId="77777777" w:rsidR="00D04C28" w:rsidRDefault="00000000">
            <w:proofErr w:type="spellStart"/>
            <w:r>
              <w:rPr>
                <w:b/>
                <w:bCs/>
                <w:color w:val="1A1A1A"/>
                <w:sz w:val="18"/>
                <w:szCs w:val="18"/>
              </w:rPr>
              <w:t>house_type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2CA43EB" w14:textId="77777777" w:rsidR="00D04C28" w:rsidRDefault="00000000">
            <w:r>
              <w:rPr>
                <w:color w:val="1A1A1A"/>
                <w:sz w:val="18"/>
                <w:szCs w:val="18"/>
              </w:rPr>
              <w:t>String</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49C6A15" w14:textId="77777777" w:rsidR="00D04C28" w:rsidRDefault="00000000">
            <w:r>
              <w:rPr>
                <w:color w:val="1A1A1A"/>
                <w:sz w:val="18"/>
                <w:szCs w:val="18"/>
              </w:rPr>
              <w:t>Villa, Apartment, Townhouse, Summerhouse, Farm</w:t>
            </w:r>
          </w:p>
        </w:tc>
      </w:tr>
      <w:tr w:rsidR="00D04C28" w14:paraId="7B609FA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0BC948A" w14:textId="77777777" w:rsidR="00D04C28" w:rsidRDefault="00000000">
            <w:proofErr w:type="spellStart"/>
            <w:r>
              <w:rPr>
                <w:b/>
                <w:bCs/>
                <w:color w:val="1A1A1A"/>
                <w:sz w:val="18"/>
                <w:szCs w:val="18"/>
              </w:rPr>
              <w:t>sales_type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D9B49B9" w14:textId="77777777" w:rsidR="00D04C28" w:rsidRDefault="00000000">
            <w:r>
              <w:rPr>
                <w:color w:val="1A1A1A"/>
                <w:sz w:val="18"/>
                <w:szCs w:val="18"/>
              </w:rPr>
              <w:t>String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9682503" w14:textId="77777777" w:rsidR="00D04C28" w:rsidRDefault="00000000">
            <w:r>
              <w:rPr>
                <w:color w:val="1A1A1A"/>
                <w:sz w:val="18"/>
                <w:szCs w:val="18"/>
              </w:rPr>
              <w:t>Regular sale, family sale, auction, other</w:t>
            </w:r>
          </w:p>
        </w:tc>
      </w:tr>
      <w:tr w:rsidR="00D04C28" w14:paraId="323312D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4D9D961" w14:textId="77777777" w:rsidR="00D04C28" w:rsidRDefault="00000000">
            <w:proofErr w:type="spellStart"/>
            <w:r>
              <w:rPr>
                <w:b/>
                <w:bCs/>
                <w:color w:val="1A1A1A"/>
                <w:sz w:val="18"/>
                <w:szCs w:val="18"/>
              </w:rPr>
              <w:t>year_build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475470F" w14:textId="77777777" w:rsidR="00D04C28" w:rsidRDefault="00000000">
            <w:r>
              <w:rPr>
                <w:color w:val="1A1A1A"/>
                <w:sz w:val="18"/>
                <w:szCs w:val="18"/>
              </w:rPr>
              <w:t>Integer</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2340F12" w14:textId="77777777" w:rsidR="00D04C28" w:rsidRDefault="00000000">
            <w:r>
              <w:rPr>
                <w:color w:val="1A1A1A"/>
                <w:sz w:val="18"/>
                <w:szCs w:val="18"/>
              </w:rPr>
              <w:t>Year the property was constructed</w:t>
            </w:r>
          </w:p>
        </w:tc>
      </w:tr>
      <w:tr w:rsidR="00D04C28" w14:paraId="10B46FB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C675C48" w14:textId="77777777" w:rsidR="00D04C28" w:rsidRDefault="00000000">
            <w:proofErr w:type="spellStart"/>
            <w:r>
              <w:rPr>
                <w:b/>
                <w:bCs/>
                <w:color w:val="1A1A1A"/>
                <w:sz w:val="18"/>
                <w:szCs w:val="18"/>
              </w:rPr>
              <w:t>purchase_price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44C389B" w14:textId="77777777" w:rsidR="00D04C28" w:rsidRDefault="00000000">
            <w:r>
              <w:rPr>
                <w:color w:val="1A1A1A"/>
                <w:sz w:val="18"/>
                <w:szCs w:val="18"/>
              </w:rPr>
              <w:t>Integer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B24754B" w14:textId="77777777" w:rsidR="00D04C28" w:rsidRDefault="00000000">
            <w:r>
              <w:rPr>
                <w:color w:val="1A1A1A"/>
                <w:sz w:val="18"/>
                <w:szCs w:val="18"/>
              </w:rPr>
              <w:t>Final transaction price (DKK)</w:t>
            </w:r>
          </w:p>
        </w:tc>
      </w:tr>
      <w:tr w:rsidR="00D04C28" w14:paraId="16159E8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52DFB5E" w14:textId="77777777" w:rsidR="00D04C28" w:rsidRDefault="00000000">
            <w:r>
              <w:rPr>
                <w:b/>
                <w:bCs/>
                <w:color w:val="1A1A1A"/>
                <w:sz w:val="18"/>
                <w:szCs w:val="18"/>
              </w:rPr>
              <w:t>%_</w:t>
            </w:r>
            <w:proofErr w:type="spellStart"/>
            <w:r>
              <w:rPr>
                <w:b/>
                <w:bCs/>
                <w:color w:val="1A1A1A"/>
                <w:sz w:val="18"/>
                <w:szCs w:val="18"/>
              </w:rPr>
              <w:t>change_between_offer_and_purchase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0114116" w14:textId="77777777" w:rsidR="00D04C28" w:rsidRDefault="00000000">
            <w:r>
              <w:rPr>
                <w:color w:val="1A1A1A"/>
                <w:sz w:val="18"/>
                <w:szCs w:val="18"/>
              </w:rPr>
              <w:t>Integer</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0FA86E4" w14:textId="77777777" w:rsidR="00D04C28" w:rsidRDefault="00000000">
            <w:r>
              <w:rPr>
                <w:color w:val="1A1A1A"/>
                <w:sz w:val="18"/>
                <w:szCs w:val="18"/>
              </w:rPr>
              <w:t>Percentage change from offer to final purchase price</w:t>
            </w:r>
          </w:p>
        </w:tc>
      </w:tr>
      <w:tr w:rsidR="00D04C28" w14:paraId="770CB00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66EEC38" w14:textId="77777777" w:rsidR="00D04C28" w:rsidRDefault="00000000">
            <w:proofErr w:type="spellStart"/>
            <w:r>
              <w:rPr>
                <w:b/>
                <w:bCs/>
                <w:color w:val="1A1A1A"/>
                <w:sz w:val="18"/>
                <w:szCs w:val="18"/>
              </w:rPr>
              <w:t>no_rooms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868F802" w14:textId="77777777" w:rsidR="00D04C28" w:rsidRDefault="00000000">
            <w:r>
              <w:rPr>
                <w:color w:val="1A1A1A"/>
                <w:sz w:val="18"/>
                <w:szCs w:val="18"/>
              </w:rPr>
              <w:t>Integer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DFF527E" w14:textId="77777777" w:rsidR="00D04C28" w:rsidRDefault="00000000">
            <w:r>
              <w:rPr>
                <w:color w:val="1A1A1A"/>
                <w:sz w:val="18"/>
                <w:szCs w:val="18"/>
              </w:rPr>
              <w:t>Number of rooms in the property</w:t>
            </w:r>
          </w:p>
        </w:tc>
      </w:tr>
      <w:tr w:rsidR="00D04C28" w14:paraId="2E9E73D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CC9A096" w14:textId="77777777" w:rsidR="00D04C28" w:rsidRDefault="00000000">
            <w:r>
              <w:rPr>
                <w:b/>
                <w:bCs/>
                <w:color w:val="1A1A1A"/>
                <w:sz w:val="18"/>
                <w:szCs w:val="18"/>
              </w:rPr>
              <w:t>sqm</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E225C35" w14:textId="77777777" w:rsidR="00D04C28" w:rsidRDefault="00000000">
            <w:r>
              <w:rPr>
                <w:color w:val="1A1A1A"/>
                <w:sz w:val="18"/>
                <w:szCs w:val="18"/>
              </w:rPr>
              <w:t>Integer</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7381C32" w14:textId="77777777" w:rsidR="00D04C28" w:rsidRDefault="00000000">
            <w:r>
              <w:rPr>
                <w:color w:val="1A1A1A"/>
                <w:sz w:val="18"/>
                <w:szCs w:val="18"/>
              </w:rPr>
              <w:t>Property size in square meters</w:t>
            </w:r>
          </w:p>
        </w:tc>
      </w:tr>
      <w:tr w:rsidR="00D04C28" w14:paraId="77C4C2C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FCE07F9" w14:textId="77777777" w:rsidR="00D04C28" w:rsidRDefault="00000000">
            <w:proofErr w:type="spellStart"/>
            <w:r>
              <w:rPr>
                <w:b/>
                <w:bCs/>
                <w:color w:val="1A1A1A"/>
                <w:sz w:val="18"/>
                <w:szCs w:val="18"/>
              </w:rPr>
              <w:t>sqm_price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E149646" w14:textId="77777777" w:rsidR="00D04C28" w:rsidRDefault="00000000">
            <w:r>
              <w:rPr>
                <w:color w:val="1A1A1A"/>
                <w:sz w:val="18"/>
                <w:szCs w:val="18"/>
              </w:rPr>
              <w:t>Float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D5EBD3" w14:textId="77777777" w:rsidR="00D04C28" w:rsidRDefault="00000000">
            <w:r>
              <w:rPr>
                <w:color w:val="1A1A1A"/>
                <w:sz w:val="18"/>
                <w:szCs w:val="18"/>
              </w:rPr>
              <w:t>Price per square meter (DKK)</w:t>
            </w:r>
          </w:p>
        </w:tc>
      </w:tr>
      <w:tr w:rsidR="00D04C28" w14:paraId="50A0908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2727223" w14:textId="77777777" w:rsidR="00D04C28" w:rsidRDefault="00000000">
            <w:r>
              <w:rPr>
                <w:b/>
                <w:bCs/>
                <w:color w:val="1A1A1A"/>
                <w:sz w:val="18"/>
                <w:szCs w:val="18"/>
              </w:rPr>
              <w:t xml:space="preserve">address / </w:t>
            </w:r>
            <w:proofErr w:type="spellStart"/>
            <w:r>
              <w:rPr>
                <w:b/>
                <w:bCs/>
                <w:color w:val="1A1A1A"/>
                <w:sz w:val="18"/>
                <w:szCs w:val="18"/>
              </w:rPr>
              <w:t>zip_code</w:t>
            </w:r>
            <w:proofErr w:type="spellEnd"/>
            <w:r>
              <w:rPr>
                <w:b/>
                <w:bCs/>
                <w:color w:val="1A1A1A"/>
                <w:sz w:val="18"/>
                <w:szCs w:val="18"/>
              </w:rPr>
              <w:t xml:space="preserve"> / city / area / region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B919B22" w14:textId="77777777" w:rsidR="00D04C28" w:rsidRDefault="00000000">
            <w:r>
              <w:rPr>
                <w:color w:val="1A1A1A"/>
                <w:sz w:val="18"/>
                <w:szCs w:val="18"/>
              </w:rPr>
              <w:t>String</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BF928D6" w14:textId="77777777" w:rsidR="00D04C28" w:rsidRDefault="00000000">
            <w:r>
              <w:rPr>
                <w:color w:val="1A1A1A"/>
                <w:sz w:val="18"/>
                <w:szCs w:val="18"/>
              </w:rPr>
              <w:t>Geographic identifiers at multiple levels</w:t>
            </w:r>
          </w:p>
        </w:tc>
      </w:tr>
      <w:tr w:rsidR="00D04C28" w14:paraId="38C4AAF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AD47AF5" w14:textId="77777777" w:rsidR="00D04C28" w:rsidRDefault="00000000">
            <w:proofErr w:type="spellStart"/>
            <w:r>
              <w:rPr>
                <w:b/>
                <w:bCs/>
                <w:color w:val="1A1A1A"/>
                <w:sz w:val="18"/>
                <w:szCs w:val="18"/>
              </w:rPr>
              <w:t>nom_interest_rate</w:t>
            </w:r>
            <w:proofErr w:type="spellEnd"/>
            <w:r>
              <w:rPr>
                <w:b/>
                <w:bCs/>
                <w:color w:val="1A1A1A"/>
                <w:sz w:val="18"/>
                <w:szCs w:val="18"/>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47DD788" w14:textId="77777777" w:rsidR="00D04C28" w:rsidRDefault="00000000">
            <w:r>
              <w:rPr>
                <w:color w:val="1A1A1A"/>
                <w:sz w:val="18"/>
                <w:szCs w:val="18"/>
              </w:rPr>
              <w:t>Float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AC23DAB" w14:textId="77777777" w:rsidR="00D04C28" w:rsidRDefault="00000000">
            <w:r>
              <w:rPr>
                <w:color w:val="1A1A1A"/>
                <w:sz w:val="18"/>
                <w:szCs w:val="18"/>
              </w:rPr>
              <w:t>Nominal interest rate at time of sale</w:t>
            </w:r>
          </w:p>
        </w:tc>
      </w:tr>
      <w:tr w:rsidR="00D04C28" w14:paraId="4568580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BE01B33" w14:textId="77777777" w:rsidR="00D04C28" w:rsidRDefault="00000000">
            <w:proofErr w:type="spellStart"/>
            <w:r>
              <w:rPr>
                <w:b/>
                <w:bCs/>
                <w:color w:val="1A1A1A"/>
                <w:sz w:val="18"/>
                <w:szCs w:val="18"/>
              </w:rPr>
              <w:t>dk_ann_infl_rate</w:t>
            </w:r>
            <w:proofErr w:type="spellEnd"/>
            <w:r>
              <w:rPr>
                <w:b/>
                <w:bCs/>
                <w:color w:val="1A1A1A"/>
                <w:sz w:val="18"/>
                <w:szCs w:val="18"/>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F806054" w14:textId="77777777" w:rsidR="00D04C28" w:rsidRDefault="00000000">
            <w:r>
              <w:rPr>
                <w:color w:val="1A1A1A"/>
                <w:sz w:val="18"/>
                <w:szCs w:val="18"/>
              </w:rPr>
              <w:t>Float</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AFC201A" w14:textId="77777777" w:rsidR="00D04C28" w:rsidRDefault="00000000">
            <w:r>
              <w:rPr>
                <w:color w:val="1A1A1A"/>
                <w:sz w:val="18"/>
                <w:szCs w:val="18"/>
              </w:rPr>
              <w:t>Danish annual inflation rate</w:t>
            </w:r>
          </w:p>
        </w:tc>
      </w:tr>
      <w:tr w:rsidR="00D04C28" w14:paraId="2B8EDD8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F0571BC" w14:textId="77777777" w:rsidR="00D04C28" w:rsidRDefault="00000000">
            <w:proofErr w:type="spellStart"/>
            <w:r>
              <w:rPr>
                <w:b/>
                <w:bCs/>
                <w:color w:val="1A1A1A"/>
                <w:sz w:val="18"/>
                <w:szCs w:val="18"/>
              </w:rPr>
              <w:t>yield_on_mortgage_credit_bonds</w:t>
            </w:r>
            <w:proofErr w:type="spellEnd"/>
            <w:r>
              <w:rPr>
                <w:b/>
                <w:bCs/>
                <w:color w:val="1A1A1A"/>
                <w:sz w:val="18"/>
                <w:szCs w:val="18"/>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EE922CC" w14:textId="77777777" w:rsidR="00D04C28" w:rsidRDefault="00000000">
            <w:r>
              <w:rPr>
                <w:color w:val="1A1A1A"/>
                <w:sz w:val="18"/>
                <w:szCs w:val="18"/>
              </w:rPr>
              <w:t>Float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0E8BC5B" w14:textId="77777777" w:rsidR="00D04C28" w:rsidRDefault="00000000">
            <w:r>
              <w:rPr>
                <w:color w:val="1A1A1A"/>
                <w:sz w:val="18"/>
                <w:szCs w:val="18"/>
              </w:rPr>
              <w:t>Mortgage bond yield — proxy for borrowing cost</w:t>
            </w:r>
          </w:p>
        </w:tc>
      </w:tr>
    </w:tbl>
    <w:p w14:paraId="22D46DD0" w14:textId="77777777" w:rsidR="00D04C28" w:rsidRDefault="00D04C28">
      <w:pPr>
        <w:spacing w:after="80"/>
      </w:pPr>
    </w:p>
    <w:p w14:paraId="4A859722" w14:textId="77777777" w:rsidR="00D04C28" w:rsidRDefault="00000000">
      <w:pPr>
        <w:pStyle w:val="Heading2"/>
      </w:pPr>
      <w:r>
        <w:t>2.2 Engineered Features</w:t>
      </w:r>
    </w:p>
    <w:p w14:paraId="0203D3A3" w14:textId="77777777" w:rsidR="00D04C28" w:rsidRDefault="00000000">
      <w:pPr>
        <w:spacing w:before="60" w:after="100"/>
        <w:jc w:val="both"/>
      </w:pPr>
      <w:r>
        <w:rPr>
          <w:color w:val="1A1A1A"/>
        </w:rPr>
        <w:t>The following columns were derived during feature engineering to enrich the analytical depth of the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04C28" w14:paraId="5F948DFF" w14:textId="77777777">
        <w:tc>
          <w:tcPr>
            <w:tcW w:w="24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40" w:type="dxa"/>
              <w:bottom w:w="80" w:type="dxa"/>
              <w:right w:w="140" w:type="dxa"/>
            </w:tcMar>
            <w:vAlign w:val="center"/>
          </w:tcPr>
          <w:p w14:paraId="67DAD759" w14:textId="77777777" w:rsidR="00D04C28" w:rsidRDefault="00000000">
            <w:pPr>
              <w:jc w:val="center"/>
            </w:pPr>
            <w:r>
              <w:rPr>
                <w:b/>
                <w:bCs/>
                <w:color w:val="FFFFFF"/>
                <w:sz w:val="18"/>
                <w:szCs w:val="18"/>
              </w:rPr>
              <w:t>Feature</w:t>
            </w:r>
          </w:p>
        </w:tc>
        <w:tc>
          <w:tcPr>
            <w:tcW w:w="69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40" w:type="dxa"/>
              <w:bottom w:w="80" w:type="dxa"/>
              <w:right w:w="140" w:type="dxa"/>
            </w:tcMar>
            <w:vAlign w:val="center"/>
          </w:tcPr>
          <w:p w14:paraId="518467F2" w14:textId="77777777" w:rsidR="00D04C28" w:rsidRDefault="00000000">
            <w:pPr>
              <w:jc w:val="center"/>
            </w:pPr>
            <w:r>
              <w:rPr>
                <w:b/>
                <w:bCs/>
                <w:color w:val="FFFFFF"/>
                <w:sz w:val="18"/>
                <w:szCs w:val="18"/>
              </w:rPr>
              <w:t>Logic / Purpose</w:t>
            </w:r>
          </w:p>
        </w:tc>
      </w:tr>
      <w:tr w:rsidR="00D04C28" w14:paraId="68DB9D9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1185CBB" w14:textId="77777777" w:rsidR="00D04C28" w:rsidRDefault="00000000">
            <w:proofErr w:type="spellStart"/>
            <w:r>
              <w:rPr>
                <w:b/>
                <w:bCs/>
                <w:color w:val="1A1A1A"/>
                <w:sz w:val="18"/>
                <w:szCs w:val="18"/>
              </w:rPr>
              <w:t>price_segment</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EAA5DC0" w14:textId="77777777" w:rsidR="00D04C28" w:rsidRDefault="00000000">
            <w:r>
              <w:rPr>
                <w:color w:val="1A1A1A"/>
                <w:sz w:val="18"/>
                <w:szCs w:val="18"/>
              </w:rPr>
              <w:t>Classifies properties into Budget, Mid, Premium, Luxury, Ultra-Luxury based on purchase price thresholds</w:t>
            </w:r>
          </w:p>
        </w:tc>
      </w:tr>
      <w:tr w:rsidR="00D04C28" w14:paraId="0CEF91B1"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C387F3E" w14:textId="77777777" w:rsidR="00D04C28" w:rsidRDefault="00000000">
            <w:proofErr w:type="spellStart"/>
            <w:r>
              <w:rPr>
                <w:b/>
                <w:bCs/>
                <w:color w:val="1A1A1A"/>
                <w:sz w:val="18"/>
                <w:szCs w:val="18"/>
              </w:rPr>
              <w:t>build_era</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E7656E0" w14:textId="77777777" w:rsidR="00D04C28" w:rsidRDefault="00000000">
            <w:r>
              <w:rPr>
                <w:color w:val="1A1A1A"/>
                <w:sz w:val="18"/>
                <w:szCs w:val="18"/>
              </w:rPr>
              <w:t xml:space="preserve">Categorizes </w:t>
            </w:r>
            <w:proofErr w:type="spellStart"/>
            <w:r>
              <w:rPr>
                <w:color w:val="1A1A1A"/>
                <w:sz w:val="18"/>
                <w:szCs w:val="18"/>
              </w:rPr>
              <w:t>year_build</w:t>
            </w:r>
            <w:proofErr w:type="spellEnd"/>
            <w:r>
              <w:rPr>
                <w:color w:val="1A1A1A"/>
                <w:sz w:val="18"/>
                <w:szCs w:val="18"/>
              </w:rPr>
              <w:t xml:space="preserve"> into: Pre-1900, 1900s, Mid-century, 70s, 80-90s, 2000s, Modern</w:t>
            </w:r>
          </w:p>
        </w:tc>
      </w:tr>
      <w:tr w:rsidR="00D04C28" w14:paraId="53C9220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DB4DD42" w14:textId="77777777" w:rsidR="00D04C28" w:rsidRDefault="00000000">
            <w:proofErr w:type="spellStart"/>
            <w:r>
              <w:rPr>
                <w:b/>
                <w:bCs/>
                <w:color w:val="1A1A1A"/>
                <w:sz w:val="18"/>
                <w:szCs w:val="18"/>
              </w:rPr>
              <w:t>sales_season</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E992263" w14:textId="77777777" w:rsidR="00D04C28" w:rsidRDefault="00000000">
            <w:r>
              <w:rPr>
                <w:color w:val="1A1A1A"/>
                <w:sz w:val="18"/>
                <w:szCs w:val="18"/>
              </w:rPr>
              <w:t>Derives Winter, Spring, Summer, Autumn from transaction date</w:t>
            </w:r>
          </w:p>
        </w:tc>
      </w:tr>
      <w:tr w:rsidR="00D04C28" w14:paraId="4B6361E6"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62A6BE2" w14:textId="77777777" w:rsidR="00D04C28" w:rsidRDefault="00000000">
            <w:proofErr w:type="spellStart"/>
            <w:r>
              <w:rPr>
                <w:b/>
                <w:bCs/>
                <w:color w:val="1A1A1A"/>
                <w:sz w:val="18"/>
                <w:szCs w:val="18"/>
              </w:rPr>
              <w:t>offer_price</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479B00C" w14:textId="77777777" w:rsidR="00D04C28" w:rsidRDefault="00000000">
            <w:r>
              <w:rPr>
                <w:color w:val="1A1A1A"/>
                <w:sz w:val="18"/>
                <w:szCs w:val="18"/>
              </w:rPr>
              <w:t xml:space="preserve">Back-calculated from </w:t>
            </w:r>
            <w:proofErr w:type="spellStart"/>
            <w:r>
              <w:rPr>
                <w:color w:val="1A1A1A"/>
                <w:sz w:val="18"/>
                <w:szCs w:val="18"/>
              </w:rPr>
              <w:t>purchase_price</w:t>
            </w:r>
            <w:proofErr w:type="spellEnd"/>
            <w:r>
              <w:rPr>
                <w:color w:val="1A1A1A"/>
                <w:sz w:val="18"/>
                <w:szCs w:val="18"/>
              </w:rPr>
              <w:t xml:space="preserve"> and %_change column to reveal initial listing price</w:t>
            </w:r>
          </w:p>
        </w:tc>
      </w:tr>
      <w:tr w:rsidR="00D04C28" w14:paraId="4E6D551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EAF8E78" w14:textId="77777777" w:rsidR="00D04C28" w:rsidRDefault="00000000">
            <w:proofErr w:type="spellStart"/>
            <w:r>
              <w:rPr>
                <w:b/>
                <w:bCs/>
                <w:color w:val="1A1A1A"/>
                <w:sz w:val="18"/>
                <w:szCs w:val="18"/>
              </w:rPr>
              <w:t>negotiation_gap</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FF96A3B" w14:textId="77777777" w:rsidR="00D04C28" w:rsidRDefault="00000000">
            <w:r>
              <w:rPr>
                <w:color w:val="1A1A1A"/>
                <w:sz w:val="18"/>
                <w:szCs w:val="18"/>
              </w:rPr>
              <w:t>Absolute DKK difference between offer price and purchase price</w:t>
            </w:r>
          </w:p>
        </w:tc>
      </w:tr>
      <w:tr w:rsidR="00D04C28" w14:paraId="650E0B3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3653BED" w14:textId="77777777" w:rsidR="00D04C28" w:rsidRDefault="00000000">
            <w:proofErr w:type="spellStart"/>
            <w:r>
              <w:rPr>
                <w:b/>
                <w:bCs/>
                <w:color w:val="1A1A1A"/>
                <w:sz w:val="18"/>
                <w:szCs w:val="18"/>
              </w:rPr>
              <w:t>real_interest_rate</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DB8C943" w14:textId="77777777" w:rsidR="00D04C28" w:rsidRDefault="00000000">
            <w:proofErr w:type="spellStart"/>
            <w:r>
              <w:rPr>
                <w:color w:val="1A1A1A"/>
                <w:sz w:val="18"/>
                <w:szCs w:val="18"/>
              </w:rPr>
              <w:t>nom_interest_rate</w:t>
            </w:r>
            <w:proofErr w:type="spellEnd"/>
            <w:r>
              <w:rPr>
                <w:color w:val="1A1A1A"/>
                <w:sz w:val="18"/>
                <w:szCs w:val="18"/>
              </w:rPr>
              <w:t xml:space="preserve">% minus </w:t>
            </w:r>
            <w:proofErr w:type="spellStart"/>
            <w:r>
              <w:rPr>
                <w:color w:val="1A1A1A"/>
                <w:sz w:val="18"/>
                <w:szCs w:val="18"/>
              </w:rPr>
              <w:t>dk_ann_infl_rate</w:t>
            </w:r>
            <w:proofErr w:type="spellEnd"/>
            <w:r>
              <w:rPr>
                <w:color w:val="1A1A1A"/>
                <w:sz w:val="18"/>
                <w:szCs w:val="18"/>
              </w:rPr>
              <w:t>% — measures true cost of borrowing</w:t>
            </w:r>
          </w:p>
        </w:tc>
      </w:tr>
      <w:tr w:rsidR="00D04C28" w14:paraId="4E255F7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6D060BE" w14:textId="77777777" w:rsidR="00D04C28" w:rsidRDefault="00000000">
            <w:proofErr w:type="spellStart"/>
            <w:r>
              <w:rPr>
                <w:b/>
                <w:bCs/>
                <w:color w:val="1A1A1A"/>
                <w:sz w:val="18"/>
                <w:szCs w:val="18"/>
              </w:rPr>
              <w:t>distressed_sale</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31C4239" w14:textId="77777777" w:rsidR="00D04C28" w:rsidRDefault="00000000">
            <w:r>
              <w:rPr>
                <w:color w:val="1A1A1A"/>
                <w:sz w:val="18"/>
                <w:szCs w:val="18"/>
              </w:rPr>
              <w:t>Flag where %_</w:t>
            </w:r>
            <w:proofErr w:type="spellStart"/>
            <w:r>
              <w:rPr>
                <w:color w:val="1A1A1A"/>
                <w:sz w:val="18"/>
                <w:szCs w:val="18"/>
              </w:rPr>
              <w:t>change_between_offer_and_purchase</w:t>
            </w:r>
            <w:proofErr w:type="spellEnd"/>
            <w:r>
              <w:rPr>
                <w:color w:val="1A1A1A"/>
                <w:sz w:val="18"/>
                <w:szCs w:val="18"/>
              </w:rPr>
              <w:t xml:space="preserve"> &lt; -15% (severe price cut)</w:t>
            </w:r>
          </w:p>
        </w:tc>
      </w:tr>
    </w:tbl>
    <w:p w14:paraId="0ACB70FC" w14:textId="77777777" w:rsidR="00D04C28" w:rsidRDefault="00000000">
      <w:r>
        <w:br w:type="page"/>
      </w:r>
    </w:p>
    <w:p w14:paraId="39BA1B7C" w14:textId="77777777" w:rsidR="00D04C28" w:rsidRDefault="00000000">
      <w:pPr>
        <w:pStyle w:val="Heading1"/>
        <w:pBdr>
          <w:bottom w:val="single" w:sz="6" w:space="4" w:color="C0392B"/>
        </w:pBdr>
      </w:pPr>
      <w:r>
        <w:lastRenderedPageBreak/>
        <w:t>3. Data Cleaning &amp; Preparation (Python)</w:t>
      </w:r>
    </w:p>
    <w:p w14:paraId="33BD36C5" w14:textId="77777777" w:rsidR="00D04C28" w:rsidRDefault="00000000">
      <w:pPr>
        <w:spacing w:before="60" w:after="100"/>
        <w:jc w:val="both"/>
      </w:pPr>
      <w:r>
        <w:rPr>
          <w:color w:val="1A1A1A"/>
        </w:rPr>
        <w:t>All data cleaning and preprocessing was performed using Python (Pandas library). The following steps were executed to ensure data quality before analysis.</w:t>
      </w:r>
    </w:p>
    <w:p w14:paraId="7CEAEB6B" w14:textId="77777777" w:rsidR="00D04C28" w:rsidRDefault="00D04C28">
      <w:pPr>
        <w:spacing w:after="80"/>
      </w:pPr>
    </w:p>
    <w:p w14:paraId="5B566F7D" w14:textId="77777777" w:rsidR="00D04C28" w:rsidRDefault="00000000">
      <w:pPr>
        <w:pStyle w:val="Heading2"/>
      </w:pPr>
      <w:r>
        <w:t>3.1 Initial Assessment</w:t>
      </w:r>
    </w:p>
    <w:p w14:paraId="1E0005EC" w14:textId="77777777" w:rsidR="00D04C28" w:rsidRDefault="00000000">
      <w:pPr>
        <w:pStyle w:val="ListParagraph"/>
        <w:numPr>
          <w:ilvl w:val="0"/>
          <w:numId w:val="2"/>
        </w:numPr>
        <w:spacing w:before="40" w:after="60"/>
      </w:pPr>
      <w:r>
        <w:rPr>
          <w:color w:val="1A1A1A"/>
        </w:rPr>
        <w:t xml:space="preserve">Loaded dataset using </w:t>
      </w:r>
      <w:proofErr w:type="spellStart"/>
      <w:r>
        <w:rPr>
          <w:color w:val="1A1A1A"/>
        </w:rPr>
        <w:t>pd.read_csv</w:t>
      </w:r>
      <w:proofErr w:type="spellEnd"/>
      <w:r>
        <w:rPr>
          <w:color w:val="1A1A1A"/>
        </w:rPr>
        <w:t xml:space="preserve">() and reviewed structure with </w:t>
      </w:r>
      <w:proofErr w:type="spellStart"/>
      <w:r>
        <w:rPr>
          <w:color w:val="1A1A1A"/>
        </w:rPr>
        <w:t>df.head</w:t>
      </w:r>
      <w:proofErr w:type="spellEnd"/>
      <w:r>
        <w:rPr>
          <w:color w:val="1A1A1A"/>
        </w:rPr>
        <w:t xml:space="preserve">(), df.info(), and </w:t>
      </w:r>
      <w:proofErr w:type="spellStart"/>
      <w:r>
        <w:rPr>
          <w:color w:val="1A1A1A"/>
        </w:rPr>
        <w:t>df.describe</w:t>
      </w:r>
      <w:proofErr w:type="spellEnd"/>
      <w:r>
        <w:rPr>
          <w:color w:val="1A1A1A"/>
        </w:rPr>
        <w:t>().</w:t>
      </w:r>
    </w:p>
    <w:p w14:paraId="01EFFDB7" w14:textId="77777777" w:rsidR="00D04C28" w:rsidRDefault="00000000">
      <w:pPr>
        <w:pStyle w:val="ListParagraph"/>
        <w:numPr>
          <w:ilvl w:val="0"/>
          <w:numId w:val="2"/>
        </w:numPr>
        <w:spacing w:before="40" w:after="60"/>
      </w:pPr>
      <w:r>
        <w:rPr>
          <w:color w:val="1A1A1A"/>
        </w:rPr>
        <w:t>Identified date format inconsistency: dates existed in both 'MM/DD/YY' and 'MM-DD-YY' formats.</w:t>
      </w:r>
    </w:p>
    <w:p w14:paraId="6EE4F3D3" w14:textId="77777777" w:rsidR="00D04C28" w:rsidRDefault="00000000">
      <w:pPr>
        <w:pStyle w:val="ListParagraph"/>
        <w:numPr>
          <w:ilvl w:val="0"/>
          <w:numId w:val="2"/>
        </w:numPr>
        <w:spacing w:before="40" w:after="60"/>
      </w:pPr>
      <w:r>
        <w:rPr>
          <w:color w:val="1A1A1A"/>
        </w:rPr>
        <w:t xml:space="preserve">Found missing values in three columns: city (11 nulls), </w:t>
      </w:r>
      <w:proofErr w:type="spellStart"/>
      <w:r>
        <w:rPr>
          <w:color w:val="1A1A1A"/>
        </w:rPr>
        <w:t>dk_ann_infl_rate</w:t>
      </w:r>
      <w:proofErr w:type="spellEnd"/>
      <w:r>
        <w:rPr>
          <w:color w:val="1A1A1A"/>
        </w:rPr>
        <w:t xml:space="preserve">% (77 nulls), and </w:t>
      </w:r>
      <w:proofErr w:type="spellStart"/>
      <w:r>
        <w:rPr>
          <w:color w:val="1A1A1A"/>
        </w:rPr>
        <w:t>yield_on_mortgage_credit_bonds</w:t>
      </w:r>
      <w:proofErr w:type="spellEnd"/>
      <w:r>
        <w:rPr>
          <w:color w:val="1A1A1A"/>
        </w:rPr>
        <w:t>% (77 nulls).</w:t>
      </w:r>
    </w:p>
    <w:p w14:paraId="606AD525" w14:textId="77777777" w:rsidR="00D04C28" w:rsidRDefault="00D04C28">
      <w:pPr>
        <w:spacing w:after="80"/>
      </w:pPr>
    </w:p>
    <w:p w14:paraId="7D7FE825" w14:textId="77777777" w:rsidR="00D04C28" w:rsidRDefault="00000000">
      <w:pPr>
        <w:pStyle w:val="Heading2"/>
      </w:pPr>
      <w:r>
        <w:t>3.2 Cleaning Steps</w:t>
      </w:r>
    </w:p>
    <w:p w14:paraId="2EF9CF60" w14:textId="77777777" w:rsidR="00D04C28" w:rsidRDefault="00000000">
      <w:pPr>
        <w:pStyle w:val="ListParagraph"/>
        <w:numPr>
          <w:ilvl w:val="0"/>
          <w:numId w:val="2"/>
        </w:numPr>
        <w:spacing w:before="40" w:after="60"/>
      </w:pPr>
      <w:r>
        <w:rPr>
          <w:color w:val="1A1A1A"/>
        </w:rPr>
        <w:t xml:space="preserve">Date normalization: Standardized all date entries to DD/MM/YY format using regex-based parsing and </w:t>
      </w:r>
      <w:proofErr w:type="spellStart"/>
      <w:r>
        <w:rPr>
          <w:color w:val="1A1A1A"/>
        </w:rPr>
        <w:t>pd.to_datetime</w:t>
      </w:r>
      <w:proofErr w:type="spellEnd"/>
      <w:r>
        <w:rPr>
          <w:color w:val="1A1A1A"/>
        </w:rPr>
        <w:t>().</w:t>
      </w:r>
    </w:p>
    <w:p w14:paraId="40955A23" w14:textId="77777777" w:rsidR="00D04C28" w:rsidRDefault="00000000">
      <w:pPr>
        <w:pStyle w:val="ListParagraph"/>
        <w:numPr>
          <w:ilvl w:val="0"/>
          <w:numId w:val="2"/>
        </w:numPr>
        <w:spacing w:before="40" w:after="60"/>
      </w:pPr>
      <w:r>
        <w:rPr>
          <w:color w:val="1A1A1A"/>
        </w:rPr>
        <w:t>City nulls: Rows with missing city values were dropped as city is a critical geographic dimension and represents less than 0.02% of total data.</w:t>
      </w:r>
    </w:p>
    <w:p w14:paraId="3CAFB666" w14:textId="77777777" w:rsidR="00D04C28" w:rsidRDefault="00000000">
      <w:pPr>
        <w:pStyle w:val="ListParagraph"/>
        <w:numPr>
          <w:ilvl w:val="0"/>
          <w:numId w:val="2"/>
        </w:numPr>
        <w:spacing w:before="40" w:after="60"/>
      </w:pPr>
      <w:r>
        <w:rPr>
          <w:color w:val="1A1A1A"/>
        </w:rPr>
        <w:t xml:space="preserve">Inflation &amp; yield nulls: Missing values in </w:t>
      </w:r>
      <w:proofErr w:type="spellStart"/>
      <w:r>
        <w:rPr>
          <w:color w:val="1A1A1A"/>
        </w:rPr>
        <w:t>dk_ann_infl_rate</w:t>
      </w:r>
      <w:proofErr w:type="spellEnd"/>
      <w:r>
        <w:rPr>
          <w:color w:val="1A1A1A"/>
        </w:rPr>
        <w:t xml:space="preserve">% and </w:t>
      </w:r>
      <w:proofErr w:type="spellStart"/>
      <w:r>
        <w:rPr>
          <w:color w:val="1A1A1A"/>
        </w:rPr>
        <w:t>yield_on_mortgage_credit_bonds</w:t>
      </w:r>
      <w:proofErr w:type="spellEnd"/>
      <w:r>
        <w:rPr>
          <w:color w:val="1A1A1A"/>
        </w:rPr>
        <w:t>% were imputed with the median of the same quarter within the same year — preserving seasonal economic patterns.</w:t>
      </w:r>
    </w:p>
    <w:p w14:paraId="3BF53E0C" w14:textId="77777777" w:rsidR="00D04C28" w:rsidRDefault="00D04C28">
      <w:pPr>
        <w:spacing w:after="80"/>
      </w:pPr>
    </w:p>
    <w:p w14:paraId="4A5A27C7" w14:textId="77777777" w:rsidR="00D04C28" w:rsidRDefault="00000000">
      <w:pPr>
        <w:pStyle w:val="Heading2"/>
      </w:pPr>
      <w:r>
        <w:t>3.3 Export to MySQL</w:t>
      </w:r>
    </w:p>
    <w:p w14:paraId="7FB4D9D3" w14:textId="77777777" w:rsidR="00D04C28" w:rsidRDefault="00000000">
      <w:pPr>
        <w:spacing w:before="60" w:after="100"/>
        <w:jc w:val="both"/>
      </w:pPr>
      <w:r>
        <w:rPr>
          <w:color w:val="1A1A1A"/>
        </w:rPr>
        <w:t xml:space="preserve">After cleaning and feature engineering, the final dataset was exported to a MySQL server using </w:t>
      </w:r>
      <w:proofErr w:type="spellStart"/>
      <w:r>
        <w:rPr>
          <w:color w:val="1A1A1A"/>
        </w:rPr>
        <w:t>SQLAlchemy</w:t>
      </w:r>
      <w:proofErr w:type="spellEnd"/>
      <w:r>
        <w:rPr>
          <w:color w:val="1A1A1A"/>
        </w:rPr>
        <w:t xml:space="preserve"> for structured SQL analysis. This allowed seamless transition from Python-based EDA to SQL-driven business querying.</w:t>
      </w:r>
    </w:p>
    <w:p w14:paraId="5815805E" w14:textId="77777777" w:rsidR="00D04C28" w:rsidRDefault="00000000">
      <w:r>
        <w:br w:type="page"/>
      </w:r>
    </w:p>
    <w:p w14:paraId="4BEA74C8" w14:textId="77777777" w:rsidR="00D04C28" w:rsidRDefault="00000000">
      <w:pPr>
        <w:pStyle w:val="Heading1"/>
        <w:pBdr>
          <w:bottom w:val="single" w:sz="6" w:space="4" w:color="C0392B"/>
        </w:pBdr>
      </w:pPr>
      <w:r>
        <w:lastRenderedPageBreak/>
        <w:t>4. Exploratory Data Analysis (Python)</w:t>
      </w:r>
    </w:p>
    <w:p w14:paraId="7C8F064D" w14:textId="77777777" w:rsidR="00D04C28" w:rsidRDefault="00000000">
      <w:pPr>
        <w:spacing w:before="60" w:after="100"/>
        <w:jc w:val="both"/>
      </w:pPr>
      <w:r>
        <w:rPr>
          <w:color w:val="1A1A1A"/>
        </w:rPr>
        <w:t>EDA was conducted using Pandas, Matplotlib, and Seaborn to uncover distributions, outliers, patterns, and relationships across property and economic dimensions.</w:t>
      </w:r>
    </w:p>
    <w:p w14:paraId="15F1BC86" w14:textId="77777777" w:rsidR="00D04C28" w:rsidRDefault="00D04C28">
      <w:pPr>
        <w:spacing w:after="80"/>
      </w:pPr>
    </w:p>
    <w:p w14:paraId="75DA2097" w14:textId="77777777" w:rsidR="00D04C28" w:rsidRDefault="00000000">
      <w:pPr>
        <w:pStyle w:val="Heading2"/>
      </w:pPr>
      <w:r>
        <w:t>4.1 Property Price Distribution</w:t>
      </w:r>
    </w:p>
    <w:p w14:paraId="4C213EBC" w14:textId="77777777" w:rsidR="00D04C28" w:rsidRDefault="00000000">
      <w:pPr>
        <w:spacing w:before="120" w:after="120"/>
        <w:jc w:val="center"/>
      </w:pPr>
      <w:r>
        <w:rPr>
          <w:noProof/>
        </w:rPr>
        <w:drawing>
          <wp:inline distT="0" distB="0" distL="0" distR="0" wp14:anchorId="2C615CE8" wp14:editId="2E35F96A">
            <wp:extent cx="6096000" cy="2381250"/>
            <wp:effectExtent l="0" t="0" r="0" b="0"/>
            <wp:docPr id="2005780567" name="Picture 2005780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2381250"/>
                    </a:xfrm>
                    <a:prstGeom prst="rect">
                      <a:avLst/>
                    </a:prstGeom>
                  </pic:spPr>
                </pic:pic>
              </a:graphicData>
            </a:graphic>
          </wp:inline>
        </w:drawing>
      </w:r>
    </w:p>
    <w:p w14:paraId="32709222" w14:textId="77777777" w:rsidR="00D04C28" w:rsidRDefault="00000000">
      <w:pPr>
        <w:spacing w:before="40" w:after="160"/>
        <w:jc w:val="center"/>
      </w:pPr>
      <w:r>
        <w:rPr>
          <w:i/>
          <w:iCs/>
          <w:color w:val="555555"/>
          <w:sz w:val="18"/>
          <w:szCs w:val="18"/>
        </w:rPr>
        <w:t>Figure 3: Property price distribution (left: raw DKK, right: log-transformed) — strong right skew indicates most properties are modestly priced with a small segment of luxury outliers</w:t>
      </w:r>
    </w:p>
    <w:p w14:paraId="23A2E20B" w14:textId="77777777" w:rsidR="00D04C28" w:rsidRDefault="00D04C28">
      <w:pPr>
        <w:spacing w:after="80"/>
      </w:pPr>
    </w:p>
    <w:p w14:paraId="3AC6829C" w14:textId="77777777" w:rsidR="00D04C28" w:rsidRDefault="00000000">
      <w:pPr>
        <w:spacing w:before="120" w:after="120"/>
        <w:jc w:val="center"/>
      </w:pPr>
      <w:r>
        <w:rPr>
          <w:noProof/>
        </w:rPr>
        <w:drawing>
          <wp:inline distT="0" distB="0" distL="0" distR="0" wp14:anchorId="67AE15C5" wp14:editId="1C862499">
            <wp:extent cx="6096000" cy="2381250"/>
            <wp:effectExtent l="0" t="0" r="0" b="0"/>
            <wp:docPr id="157506371" name="Picture 157506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2381250"/>
                    </a:xfrm>
                    <a:prstGeom prst="rect">
                      <a:avLst/>
                    </a:prstGeom>
                  </pic:spPr>
                </pic:pic>
              </a:graphicData>
            </a:graphic>
          </wp:inline>
        </w:drawing>
      </w:r>
    </w:p>
    <w:p w14:paraId="6C8D6081" w14:textId="77777777" w:rsidR="00D04C28" w:rsidRDefault="00000000">
      <w:pPr>
        <w:spacing w:before="40" w:after="160"/>
        <w:jc w:val="center"/>
      </w:pPr>
      <w:r>
        <w:rPr>
          <w:i/>
          <w:iCs/>
          <w:color w:val="555555"/>
          <w:sz w:val="18"/>
          <w:szCs w:val="18"/>
        </w:rPr>
        <w:t>Figure 4: Price per square meter distribution (left: raw, right: log-transformed) — log-normal distribution confirms SQM pricing follows a multiplicative structure</w:t>
      </w:r>
    </w:p>
    <w:p w14:paraId="06BC19CC" w14:textId="77777777" w:rsidR="00D04C28" w:rsidRDefault="00D04C2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04C28" w14:paraId="24E61AF3" w14:textId="77777777">
        <w:tc>
          <w:tcPr>
            <w:tcW w:w="9360" w:type="dxa"/>
            <w:tcBorders>
              <w:top w:val="single" w:sz="4" w:space="0" w:color="8B0000"/>
              <w:left w:val="single" w:sz="4" w:space="0" w:color="8B0000"/>
              <w:bottom w:val="single" w:sz="1" w:space="0" w:color="CCCCCC"/>
              <w:right w:val="single" w:sz="1" w:space="0" w:color="CCCCCC"/>
            </w:tcBorders>
            <w:shd w:val="clear" w:color="auto" w:fill="FFF5F5"/>
            <w:tcMar>
              <w:top w:w="100" w:type="dxa"/>
              <w:left w:w="160" w:type="dxa"/>
              <w:bottom w:w="100" w:type="dxa"/>
              <w:right w:w="160" w:type="dxa"/>
            </w:tcMar>
          </w:tcPr>
          <w:p w14:paraId="79364DFE" w14:textId="77777777" w:rsidR="00D04C28" w:rsidRDefault="00000000">
            <w:pPr>
              <w:spacing w:after="80"/>
            </w:pPr>
            <w:r>
              <w:rPr>
                <w:b/>
                <w:bCs/>
                <w:color w:val="8B0000"/>
                <w:sz w:val="21"/>
                <w:szCs w:val="21"/>
              </w:rPr>
              <w:t>🔍 Price Distribution Findings</w:t>
            </w:r>
          </w:p>
          <w:p w14:paraId="335B13E4" w14:textId="77777777" w:rsidR="00D04C28" w:rsidRDefault="00000000">
            <w:pPr>
              <w:pStyle w:val="ListParagraph"/>
              <w:numPr>
                <w:ilvl w:val="0"/>
                <w:numId w:val="2"/>
              </w:numPr>
              <w:spacing w:before="40" w:after="40"/>
            </w:pPr>
            <w:r>
              <w:rPr>
                <w:color w:val="1A1A1A"/>
                <w:sz w:val="19"/>
                <w:szCs w:val="19"/>
              </w:rPr>
              <w:t>Most properties are modestly priced; a small luxury segment pulls average prices significantly above medians.</w:t>
            </w:r>
          </w:p>
          <w:p w14:paraId="4816ED2A" w14:textId="77777777" w:rsidR="00D04C28" w:rsidRDefault="00000000">
            <w:pPr>
              <w:pStyle w:val="ListParagraph"/>
              <w:numPr>
                <w:ilvl w:val="0"/>
                <w:numId w:val="2"/>
              </w:numPr>
              <w:spacing w:before="40" w:after="40"/>
            </w:pPr>
            <w:r>
              <w:rPr>
                <w:color w:val="1A1A1A"/>
                <w:sz w:val="19"/>
                <w:szCs w:val="19"/>
              </w:rPr>
              <w:lastRenderedPageBreak/>
              <w:t>The log-normal distribution of both purchase price and SQM price validates the use of median (not mean) as the representative price metric.</w:t>
            </w:r>
          </w:p>
          <w:p w14:paraId="32954E35" w14:textId="77777777" w:rsidR="00D04C28" w:rsidRDefault="00000000">
            <w:pPr>
              <w:pStyle w:val="ListParagraph"/>
              <w:numPr>
                <w:ilvl w:val="0"/>
                <w:numId w:val="2"/>
              </w:numPr>
              <w:spacing w:before="40" w:after="40"/>
            </w:pPr>
            <w:r>
              <w:rPr>
                <w:color w:val="1A1A1A"/>
                <w:sz w:val="19"/>
                <w:szCs w:val="19"/>
              </w:rPr>
              <w:t>Price per SQM shows less extreme variation than total price, making it a more reliable cross-property comparison metric.</w:t>
            </w:r>
          </w:p>
        </w:tc>
      </w:tr>
    </w:tbl>
    <w:p w14:paraId="2AA4B1FF" w14:textId="77777777" w:rsidR="00D04C28" w:rsidRDefault="00D04C28">
      <w:pPr>
        <w:spacing w:after="80"/>
      </w:pPr>
    </w:p>
    <w:p w14:paraId="0B4D55B0" w14:textId="77777777" w:rsidR="00D04C28" w:rsidRDefault="00000000">
      <w:pPr>
        <w:pStyle w:val="Heading2"/>
      </w:pPr>
      <w:r>
        <w:t>4.2 House Type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560"/>
        <w:gridCol w:w="1560"/>
        <w:gridCol w:w="1560"/>
        <w:gridCol w:w="1560"/>
        <w:gridCol w:w="780"/>
      </w:tblGrid>
      <w:tr w:rsidR="00D04C28" w14:paraId="5E09A84D" w14:textId="77777777">
        <w:tc>
          <w:tcPr>
            <w:tcW w:w="234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40" w:type="dxa"/>
              <w:bottom w:w="80" w:type="dxa"/>
              <w:right w:w="140" w:type="dxa"/>
            </w:tcMar>
            <w:vAlign w:val="center"/>
          </w:tcPr>
          <w:p w14:paraId="30DCF071" w14:textId="77777777" w:rsidR="00D04C28" w:rsidRDefault="00000000">
            <w:pPr>
              <w:jc w:val="center"/>
            </w:pPr>
            <w:r>
              <w:rPr>
                <w:b/>
                <w:bCs/>
                <w:color w:val="FFFFFF"/>
                <w:sz w:val="18"/>
                <w:szCs w:val="18"/>
              </w:rPr>
              <w:t>House Type</w:t>
            </w:r>
          </w:p>
        </w:tc>
        <w:tc>
          <w:tcPr>
            <w:tcW w:w="15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40" w:type="dxa"/>
              <w:bottom w:w="80" w:type="dxa"/>
              <w:right w:w="140" w:type="dxa"/>
            </w:tcMar>
            <w:vAlign w:val="center"/>
          </w:tcPr>
          <w:p w14:paraId="2700FF09" w14:textId="77777777" w:rsidR="00D04C28" w:rsidRDefault="00000000">
            <w:pPr>
              <w:jc w:val="center"/>
            </w:pPr>
            <w:r>
              <w:rPr>
                <w:b/>
                <w:bCs/>
                <w:color w:val="FFFFFF"/>
                <w:sz w:val="18"/>
                <w:szCs w:val="18"/>
              </w:rPr>
              <w:t>Count</w:t>
            </w:r>
          </w:p>
        </w:tc>
        <w:tc>
          <w:tcPr>
            <w:tcW w:w="15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40" w:type="dxa"/>
              <w:bottom w:w="80" w:type="dxa"/>
              <w:right w:w="140" w:type="dxa"/>
            </w:tcMar>
            <w:vAlign w:val="center"/>
          </w:tcPr>
          <w:p w14:paraId="6C44C9E5" w14:textId="77777777" w:rsidR="00D04C28" w:rsidRDefault="00000000">
            <w:pPr>
              <w:jc w:val="center"/>
            </w:pPr>
            <w:r>
              <w:rPr>
                <w:b/>
                <w:bCs/>
                <w:color w:val="FFFFFF"/>
                <w:sz w:val="18"/>
                <w:szCs w:val="18"/>
              </w:rPr>
              <w:t>Share</w:t>
            </w:r>
          </w:p>
        </w:tc>
        <w:tc>
          <w:tcPr>
            <w:tcW w:w="15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40" w:type="dxa"/>
              <w:bottom w:w="80" w:type="dxa"/>
              <w:right w:w="140" w:type="dxa"/>
            </w:tcMar>
            <w:vAlign w:val="center"/>
          </w:tcPr>
          <w:p w14:paraId="260236ED" w14:textId="77777777" w:rsidR="00D04C28" w:rsidRDefault="00000000">
            <w:pPr>
              <w:jc w:val="center"/>
            </w:pPr>
            <w:r>
              <w:rPr>
                <w:b/>
                <w:bCs/>
                <w:color w:val="FFFFFF"/>
                <w:sz w:val="18"/>
                <w:szCs w:val="18"/>
              </w:rPr>
              <w:t>Mean Price</w:t>
            </w:r>
          </w:p>
        </w:tc>
        <w:tc>
          <w:tcPr>
            <w:tcW w:w="15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40" w:type="dxa"/>
              <w:bottom w:w="80" w:type="dxa"/>
              <w:right w:w="140" w:type="dxa"/>
            </w:tcMar>
            <w:vAlign w:val="center"/>
          </w:tcPr>
          <w:p w14:paraId="3E01E8C1" w14:textId="77777777" w:rsidR="00D04C28" w:rsidRDefault="00000000">
            <w:pPr>
              <w:jc w:val="center"/>
            </w:pPr>
            <w:r>
              <w:rPr>
                <w:b/>
                <w:bCs/>
                <w:color w:val="FFFFFF"/>
                <w:sz w:val="18"/>
                <w:szCs w:val="18"/>
              </w:rPr>
              <w:t>Median Price</w:t>
            </w:r>
          </w:p>
        </w:tc>
        <w:tc>
          <w:tcPr>
            <w:tcW w:w="78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40" w:type="dxa"/>
              <w:bottom w:w="80" w:type="dxa"/>
              <w:right w:w="140" w:type="dxa"/>
            </w:tcMar>
            <w:vAlign w:val="center"/>
          </w:tcPr>
          <w:p w14:paraId="6A4B18F7" w14:textId="77777777" w:rsidR="00D04C28" w:rsidRDefault="00000000">
            <w:pPr>
              <w:jc w:val="center"/>
            </w:pPr>
            <w:r>
              <w:rPr>
                <w:b/>
                <w:bCs/>
                <w:color w:val="FFFFFF"/>
                <w:sz w:val="18"/>
                <w:szCs w:val="18"/>
              </w:rPr>
              <w:t>M/Md Ratio</w:t>
            </w:r>
          </w:p>
        </w:tc>
      </w:tr>
      <w:tr w:rsidR="00D04C28" w14:paraId="7FE82B5E"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38A7361" w14:textId="77777777" w:rsidR="00D04C28" w:rsidRDefault="00000000">
            <w:r>
              <w:rPr>
                <w:b/>
                <w:bCs/>
                <w:color w:val="1A1A1A"/>
                <w:sz w:val="18"/>
                <w:szCs w:val="18"/>
              </w:rPr>
              <w:t>Villa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1792F2C" w14:textId="77777777" w:rsidR="00D04C28" w:rsidRDefault="00000000">
            <w:r>
              <w:rPr>
                <w:color w:val="1A1A1A"/>
                <w:sz w:val="18"/>
                <w:szCs w:val="18"/>
              </w:rPr>
              <w:t>54,210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1138A26" w14:textId="77777777" w:rsidR="00D04C28" w:rsidRDefault="00000000">
            <w:r>
              <w:rPr>
                <w:color w:val="1A1A1A"/>
                <w:sz w:val="18"/>
                <w:szCs w:val="18"/>
              </w:rPr>
              <w:t>54.2%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5A77B24" w14:textId="77777777" w:rsidR="00D04C28" w:rsidRDefault="00000000">
            <w:r>
              <w:rPr>
                <w:color w:val="1A1A1A"/>
                <w:sz w:val="18"/>
                <w:szCs w:val="18"/>
              </w:rPr>
              <w:t>1,785,136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52BFBC7" w14:textId="77777777" w:rsidR="00D04C28" w:rsidRDefault="00000000">
            <w:r>
              <w:rPr>
                <w:color w:val="1A1A1A"/>
                <w:sz w:val="18"/>
                <w:szCs w:val="18"/>
              </w:rPr>
              <w:t>1,300,000</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366F594" w14:textId="77777777" w:rsidR="00D04C28" w:rsidRDefault="00000000">
            <w:r>
              <w:rPr>
                <w:color w:val="1A1A1A"/>
                <w:sz w:val="18"/>
                <w:szCs w:val="18"/>
              </w:rPr>
              <w:t>1.37</w:t>
            </w:r>
          </w:p>
        </w:tc>
      </w:tr>
      <w:tr w:rsidR="00D04C28" w14:paraId="1E9D1326"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8D4B7FA" w14:textId="77777777" w:rsidR="00D04C28" w:rsidRDefault="00000000">
            <w:r>
              <w:rPr>
                <w:b/>
                <w:bCs/>
                <w:color w:val="1A1A1A"/>
                <w:sz w:val="18"/>
                <w:szCs w:val="18"/>
              </w:rPr>
              <w:t>Apartment</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3A2AAFD" w14:textId="77777777" w:rsidR="00D04C28" w:rsidRDefault="00000000">
            <w:r>
              <w:rPr>
                <w:color w:val="1A1A1A"/>
                <w:sz w:val="18"/>
                <w:szCs w:val="18"/>
              </w:rPr>
              <w:t>19,354</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2869C73" w14:textId="77777777" w:rsidR="00D04C28" w:rsidRDefault="00000000">
            <w:r>
              <w:rPr>
                <w:color w:val="1A1A1A"/>
                <w:sz w:val="18"/>
                <w:szCs w:val="18"/>
              </w:rPr>
              <w:t>19.4%</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12CE13D" w14:textId="77777777" w:rsidR="00D04C28" w:rsidRDefault="00000000">
            <w:r>
              <w:rPr>
                <w:color w:val="1A1A1A"/>
                <w:sz w:val="18"/>
                <w:szCs w:val="18"/>
              </w:rPr>
              <w:t>2,433,244</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1C9A592" w14:textId="77777777" w:rsidR="00D04C28" w:rsidRDefault="00000000">
            <w:r>
              <w:rPr>
                <w:color w:val="1A1A1A"/>
                <w:sz w:val="18"/>
                <w:szCs w:val="18"/>
              </w:rPr>
              <w:t>1,950,000</w:t>
            </w:r>
          </w:p>
        </w:tc>
        <w:tc>
          <w:tcPr>
            <w:tcW w:w="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FE1A5A9" w14:textId="77777777" w:rsidR="00D04C28" w:rsidRDefault="00000000">
            <w:r>
              <w:rPr>
                <w:color w:val="1A1A1A"/>
                <w:sz w:val="18"/>
                <w:szCs w:val="18"/>
              </w:rPr>
              <w:t>1.25</w:t>
            </w:r>
          </w:p>
        </w:tc>
      </w:tr>
      <w:tr w:rsidR="00D04C28" w14:paraId="318A5006"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AF4489D" w14:textId="77777777" w:rsidR="00D04C28" w:rsidRDefault="00000000">
            <w:r>
              <w:rPr>
                <w:b/>
                <w:bCs/>
                <w:color w:val="1A1A1A"/>
                <w:sz w:val="18"/>
                <w:szCs w:val="18"/>
              </w:rPr>
              <w:t>Summerhouse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8925E2A" w14:textId="77777777" w:rsidR="00D04C28" w:rsidRDefault="00000000">
            <w:r>
              <w:rPr>
                <w:color w:val="1A1A1A"/>
                <w:sz w:val="18"/>
                <w:szCs w:val="18"/>
              </w:rPr>
              <w:t>11,339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23354C4" w14:textId="77777777" w:rsidR="00D04C28" w:rsidRDefault="00000000">
            <w:r>
              <w:rPr>
                <w:color w:val="1A1A1A"/>
                <w:sz w:val="18"/>
                <w:szCs w:val="18"/>
              </w:rPr>
              <w:t>11.3%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6479F13" w14:textId="77777777" w:rsidR="00D04C28" w:rsidRDefault="00000000">
            <w:r>
              <w:rPr>
                <w:color w:val="1A1A1A"/>
                <w:sz w:val="18"/>
                <w:szCs w:val="18"/>
              </w:rPr>
              <w:t>1,219,568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4AE5468" w14:textId="77777777" w:rsidR="00D04C28" w:rsidRDefault="00000000">
            <w:r>
              <w:rPr>
                <w:color w:val="1A1A1A"/>
                <w:sz w:val="18"/>
                <w:szCs w:val="18"/>
              </w:rPr>
              <w:t>977,500</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EE8BC3E" w14:textId="77777777" w:rsidR="00D04C28" w:rsidRDefault="00000000">
            <w:r>
              <w:rPr>
                <w:color w:val="1A1A1A"/>
                <w:sz w:val="18"/>
                <w:szCs w:val="18"/>
              </w:rPr>
              <w:t>1.25</w:t>
            </w:r>
          </w:p>
        </w:tc>
      </w:tr>
      <w:tr w:rsidR="00D04C28" w14:paraId="478FA1FD"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22CBD4A" w14:textId="77777777" w:rsidR="00D04C28" w:rsidRDefault="00000000">
            <w:r>
              <w:rPr>
                <w:b/>
                <w:bCs/>
                <w:color w:val="1A1A1A"/>
                <w:sz w:val="18"/>
                <w:szCs w:val="18"/>
              </w:rPr>
              <w:t>Townhouse</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96681D2" w14:textId="77777777" w:rsidR="00D04C28" w:rsidRDefault="00000000">
            <w:r>
              <w:rPr>
                <w:color w:val="1A1A1A"/>
                <w:sz w:val="18"/>
                <w:szCs w:val="18"/>
              </w:rPr>
              <w:t>10,184</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C8F2922" w14:textId="77777777" w:rsidR="00D04C28" w:rsidRDefault="00000000">
            <w:r>
              <w:rPr>
                <w:color w:val="1A1A1A"/>
                <w:sz w:val="18"/>
                <w:szCs w:val="18"/>
              </w:rPr>
              <w:t>10.2%</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B29E101" w14:textId="77777777" w:rsidR="00D04C28" w:rsidRDefault="00000000">
            <w:r>
              <w:rPr>
                <w:color w:val="1A1A1A"/>
                <w:sz w:val="18"/>
                <w:szCs w:val="18"/>
              </w:rPr>
              <w:t>2,107,443</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0A9D389" w14:textId="77777777" w:rsidR="00D04C28" w:rsidRDefault="00000000">
            <w:r>
              <w:rPr>
                <w:color w:val="1A1A1A"/>
                <w:sz w:val="18"/>
                <w:szCs w:val="18"/>
              </w:rPr>
              <w:t>1,720,000</w:t>
            </w:r>
          </w:p>
        </w:tc>
        <w:tc>
          <w:tcPr>
            <w:tcW w:w="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E24DF19" w14:textId="77777777" w:rsidR="00D04C28" w:rsidRDefault="00000000">
            <w:r>
              <w:rPr>
                <w:color w:val="1A1A1A"/>
                <w:sz w:val="18"/>
                <w:szCs w:val="18"/>
              </w:rPr>
              <w:t>1.23</w:t>
            </w:r>
          </w:p>
        </w:tc>
      </w:tr>
      <w:tr w:rsidR="00D04C28" w14:paraId="190D3CBE"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C4653EE" w14:textId="77777777" w:rsidR="00D04C28" w:rsidRDefault="00000000">
            <w:r>
              <w:rPr>
                <w:b/>
                <w:bCs/>
                <w:color w:val="1A1A1A"/>
                <w:sz w:val="18"/>
                <w:szCs w:val="18"/>
              </w:rPr>
              <w:t>Farm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10EB650" w14:textId="77777777" w:rsidR="00D04C28" w:rsidRDefault="00000000">
            <w:r>
              <w:rPr>
                <w:color w:val="1A1A1A"/>
                <w:sz w:val="18"/>
                <w:szCs w:val="18"/>
              </w:rPr>
              <w:t>4,902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C7507C9" w14:textId="77777777" w:rsidR="00D04C28" w:rsidRDefault="00000000">
            <w:r>
              <w:rPr>
                <w:color w:val="1A1A1A"/>
                <w:sz w:val="18"/>
                <w:szCs w:val="18"/>
              </w:rPr>
              <w:t>4.9%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0B87301" w14:textId="77777777" w:rsidR="00D04C28" w:rsidRDefault="00000000">
            <w:r>
              <w:rPr>
                <w:color w:val="1A1A1A"/>
                <w:sz w:val="18"/>
                <w:szCs w:val="18"/>
              </w:rPr>
              <w:t>2,740,145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F209DB1" w14:textId="77777777" w:rsidR="00D04C28" w:rsidRDefault="00000000">
            <w:r>
              <w:rPr>
                <w:color w:val="1A1A1A"/>
                <w:sz w:val="18"/>
                <w:szCs w:val="18"/>
              </w:rPr>
              <w:t>1,700,000</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14E6F35" w14:textId="77777777" w:rsidR="00D04C28" w:rsidRDefault="00000000">
            <w:r>
              <w:rPr>
                <w:color w:val="1A1A1A"/>
                <w:sz w:val="18"/>
                <w:szCs w:val="18"/>
              </w:rPr>
              <w:t>1.61</w:t>
            </w:r>
          </w:p>
        </w:tc>
      </w:tr>
    </w:tbl>
    <w:p w14:paraId="2BDFFB7F" w14:textId="77777777" w:rsidR="00D04C28" w:rsidRDefault="00D04C2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560"/>
        <w:gridCol w:w="1560"/>
        <w:gridCol w:w="1560"/>
        <w:gridCol w:w="1560"/>
        <w:gridCol w:w="780"/>
      </w:tblGrid>
      <w:tr w:rsidR="00D04C28" w14:paraId="0D29E10C" w14:textId="77777777">
        <w:tc>
          <w:tcPr>
            <w:tcW w:w="234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40" w:type="dxa"/>
              <w:bottom w:w="80" w:type="dxa"/>
              <w:right w:w="140" w:type="dxa"/>
            </w:tcMar>
            <w:vAlign w:val="center"/>
          </w:tcPr>
          <w:p w14:paraId="4AC01300" w14:textId="77777777" w:rsidR="00D04C28" w:rsidRDefault="00000000">
            <w:pPr>
              <w:jc w:val="center"/>
            </w:pPr>
            <w:r>
              <w:rPr>
                <w:b/>
                <w:bCs/>
                <w:color w:val="FFFFFF"/>
                <w:sz w:val="18"/>
                <w:szCs w:val="18"/>
              </w:rPr>
              <w:t>House Type</w:t>
            </w:r>
          </w:p>
        </w:tc>
        <w:tc>
          <w:tcPr>
            <w:tcW w:w="15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40" w:type="dxa"/>
              <w:bottom w:w="80" w:type="dxa"/>
              <w:right w:w="140" w:type="dxa"/>
            </w:tcMar>
            <w:vAlign w:val="center"/>
          </w:tcPr>
          <w:p w14:paraId="45A5B500" w14:textId="77777777" w:rsidR="00D04C28" w:rsidRDefault="00000000">
            <w:pPr>
              <w:jc w:val="center"/>
            </w:pPr>
            <w:r>
              <w:rPr>
                <w:b/>
                <w:bCs/>
                <w:color w:val="FFFFFF"/>
                <w:sz w:val="18"/>
                <w:szCs w:val="18"/>
              </w:rPr>
              <w:t>Median SQM (m²)</w:t>
            </w:r>
          </w:p>
        </w:tc>
        <w:tc>
          <w:tcPr>
            <w:tcW w:w="15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40" w:type="dxa"/>
              <w:bottom w:w="80" w:type="dxa"/>
              <w:right w:w="140" w:type="dxa"/>
            </w:tcMar>
            <w:vAlign w:val="center"/>
          </w:tcPr>
          <w:p w14:paraId="011D9E37" w14:textId="77777777" w:rsidR="00D04C28" w:rsidRDefault="00000000">
            <w:pPr>
              <w:jc w:val="center"/>
            </w:pPr>
            <w:r>
              <w:rPr>
                <w:b/>
                <w:bCs/>
                <w:color w:val="FFFFFF"/>
                <w:sz w:val="18"/>
                <w:szCs w:val="18"/>
              </w:rPr>
              <w:t>Median SQM Price</w:t>
            </w:r>
          </w:p>
        </w:tc>
        <w:tc>
          <w:tcPr>
            <w:tcW w:w="15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40" w:type="dxa"/>
              <w:bottom w:w="80" w:type="dxa"/>
              <w:right w:w="140" w:type="dxa"/>
            </w:tcMar>
            <w:vAlign w:val="center"/>
          </w:tcPr>
          <w:p w14:paraId="684B55F5" w14:textId="77777777" w:rsidR="00D04C28" w:rsidRDefault="00000000">
            <w:pPr>
              <w:jc w:val="center"/>
            </w:pPr>
            <w:r>
              <w:rPr>
                <w:b/>
                <w:bCs/>
                <w:color w:val="FFFFFF"/>
                <w:sz w:val="18"/>
                <w:szCs w:val="18"/>
              </w:rPr>
              <w:t>Max Price</w:t>
            </w:r>
          </w:p>
        </w:tc>
        <w:tc>
          <w:tcPr>
            <w:tcW w:w="15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40" w:type="dxa"/>
              <w:bottom w:w="80" w:type="dxa"/>
              <w:right w:w="140" w:type="dxa"/>
            </w:tcMar>
            <w:vAlign w:val="center"/>
          </w:tcPr>
          <w:p w14:paraId="2D2D77C4" w14:textId="77777777" w:rsidR="00D04C28" w:rsidRDefault="00000000">
            <w:pPr>
              <w:jc w:val="center"/>
            </w:pPr>
            <w:r>
              <w:rPr>
                <w:b/>
                <w:bCs/>
                <w:color w:val="FFFFFF"/>
                <w:sz w:val="18"/>
                <w:szCs w:val="18"/>
              </w:rPr>
              <w:t>Min Price</w:t>
            </w:r>
          </w:p>
        </w:tc>
        <w:tc>
          <w:tcPr>
            <w:tcW w:w="78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40" w:type="dxa"/>
              <w:bottom w:w="80" w:type="dxa"/>
              <w:right w:w="140" w:type="dxa"/>
            </w:tcMar>
            <w:vAlign w:val="center"/>
          </w:tcPr>
          <w:p w14:paraId="44585E63" w14:textId="77777777" w:rsidR="00D04C28" w:rsidRDefault="00D04C28">
            <w:pPr>
              <w:jc w:val="center"/>
            </w:pPr>
          </w:p>
        </w:tc>
      </w:tr>
      <w:tr w:rsidR="00D04C28" w14:paraId="37889BC5"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AAB3E1D" w14:textId="77777777" w:rsidR="00D04C28" w:rsidRDefault="00000000">
            <w:r>
              <w:rPr>
                <w:b/>
                <w:bCs/>
                <w:color w:val="1A1A1A"/>
                <w:sz w:val="18"/>
                <w:szCs w:val="18"/>
              </w:rPr>
              <w:t>Apartment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67A8D37" w14:textId="77777777" w:rsidR="00D04C28" w:rsidRDefault="00000000">
            <w:r>
              <w:rPr>
                <w:color w:val="1A1A1A"/>
                <w:sz w:val="18"/>
                <w:szCs w:val="18"/>
              </w:rPr>
              <w:t>79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688570B" w14:textId="77777777" w:rsidR="00D04C28" w:rsidRDefault="00000000">
            <w:r>
              <w:rPr>
                <w:color w:val="1A1A1A"/>
                <w:sz w:val="18"/>
                <w:szCs w:val="18"/>
              </w:rPr>
              <w:t>25,437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77FEF3B" w14:textId="77777777" w:rsidR="00D04C28" w:rsidRDefault="00000000">
            <w:r>
              <w:rPr>
                <w:color w:val="1A1A1A"/>
                <w:sz w:val="18"/>
                <w:szCs w:val="18"/>
              </w:rPr>
              <w:t>34,402,208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20960AE" w14:textId="77777777" w:rsidR="00D04C28" w:rsidRDefault="00000000">
            <w:r>
              <w:rPr>
                <w:color w:val="1A1A1A"/>
                <w:sz w:val="18"/>
                <w:szCs w:val="18"/>
              </w:rPr>
              <w:t>250,750</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CCEE088" w14:textId="77777777" w:rsidR="00D04C28" w:rsidRDefault="00D04C28"/>
        </w:tc>
      </w:tr>
      <w:tr w:rsidR="00D04C28" w14:paraId="53FB1509"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ECCB0A8" w14:textId="77777777" w:rsidR="00D04C28" w:rsidRDefault="00000000">
            <w:r>
              <w:rPr>
                <w:b/>
                <w:bCs/>
                <w:color w:val="1A1A1A"/>
                <w:sz w:val="18"/>
                <w:szCs w:val="18"/>
              </w:rPr>
              <w:t>Farm</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DA1D992" w14:textId="77777777" w:rsidR="00D04C28" w:rsidRDefault="00000000">
            <w:r>
              <w:rPr>
                <w:color w:val="1A1A1A"/>
                <w:sz w:val="18"/>
                <w:szCs w:val="18"/>
              </w:rPr>
              <w:t>186</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524AD40" w14:textId="77777777" w:rsidR="00D04C28" w:rsidRDefault="00000000">
            <w:r>
              <w:rPr>
                <w:color w:val="1A1A1A"/>
                <w:sz w:val="18"/>
                <w:szCs w:val="18"/>
              </w:rPr>
              <w:t>9,415</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B1749B8" w14:textId="77777777" w:rsidR="00D04C28" w:rsidRDefault="00000000">
            <w:r>
              <w:rPr>
                <w:color w:val="1A1A1A"/>
                <w:sz w:val="18"/>
                <w:szCs w:val="18"/>
              </w:rPr>
              <w:t>37,250,000</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773C6AD" w14:textId="77777777" w:rsidR="00D04C28" w:rsidRDefault="00000000">
            <w:r>
              <w:rPr>
                <w:color w:val="1A1A1A"/>
                <w:sz w:val="18"/>
                <w:szCs w:val="18"/>
              </w:rPr>
              <w:t>250,536</w:t>
            </w:r>
          </w:p>
        </w:tc>
        <w:tc>
          <w:tcPr>
            <w:tcW w:w="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F99A27A" w14:textId="77777777" w:rsidR="00D04C28" w:rsidRDefault="00D04C28"/>
        </w:tc>
      </w:tr>
      <w:tr w:rsidR="00D04C28" w14:paraId="2F2BC63E"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262D7A1" w14:textId="77777777" w:rsidR="00D04C28" w:rsidRDefault="00000000">
            <w:r>
              <w:rPr>
                <w:b/>
                <w:bCs/>
                <w:color w:val="1A1A1A"/>
                <w:sz w:val="18"/>
                <w:szCs w:val="18"/>
              </w:rPr>
              <w:t>Summerhouse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4F721C5" w14:textId="77777777" w:rsidR="00D04C28" w:rsidRDefault="00000000">
            <w:r>
              <w:rPr>
                <w:color w:val="1A1A1A"/>
                <w:sz w:val="18"/>
                <w:szCs w:val="18"/>
              </w:rPr>
              <w:t>76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7D733B9" w14:textId="77777777" w:rsidR="00D04C28" w:rsidRDefault="00000000">
            <w:r>
              <w:rPr>
                <w:color w:val="1A1A1A"/>
                <w:sz w:val="18"/>
                <w:szCs w:val="18"/>
              </w:rPr>
              <w:t>12,944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5E7F9AE" w14:textId="77777777" w:rsidR="00D04C28" w:rsidRDefault="00000000">
            <w:r>
              <w:rPr>
                <w:color w:val="1A1A1A"/>
                <w:sz w:val="18"/>
                <w:szCs w:val="18"/>
              </w:rPr>
              <w:t>45,955,000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F6247E7" w14:textId="77777777" w:rsidR="00D04C28" w:rsidRDefault="00000000">
            <w:r>
              <w:rPr>
                <w:color w:val="1A1A1A"/>
                <w:sz w:val="18"/>
                <w:szCs w:val="18"/>
              </w:rPr>
              <w:t>250,750</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86D2B88" w14:textId="77777777" w:rsidR="00D04C28" w:rsidRDefault="00D04C28"/>
        </w:tc>
      </w:tr>
      <w:tr w:rsidR="00D04C28" w14:paraId="2E092B1B"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D60F717" w14:textId="77777777" w:rsidR="00D04C28" w:rsidRDefault="00000000">
            <w:r>
              <w:rPr>
                <w:b/>
                <w:bCs/>
                <w:color w:val="1A1A1A"/>
                <w:sz w:val="18"/>
                <w:szCs w:val="18"/>
              </w:rPr>
              <w:t>Townhouse</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BF3FA88" w14:textId="77777777" w:rsidR="00D04C28" w:rsidRDefault="00000000">
            <w:r>
              <w:rPr>
                <w:color w:val="1A1A1A"/>
                <w:sz w:val="18"/>
                <w:szCs w:val="18"/>
              </w:rPr>
              <w:t>107</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9DF10B1" w14:textId="77777777" w:rsidR="00D04C28" w:rsidRDefault="00000000">
            <w:r>
              <w:rPr>
                <w:color w:val="1A1A1A"/>
                <w:sz w:val="18"/>
                <w:szCs w:val="18"/>
              </w:rPr>
              <w:t>16,526</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D90359C" w14:textId="77777777" w:rsidR="00D04C28" w:rsidRDefault="00000000">
            <w:r>
              <w:rPr>
                <w:color w:val="1A1A1A"/>
                <w:sz w:val="18"/>
                <w:szCs w:val="18"/>
              </w:rPr>
              <w:t>18,750,000</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0657D50" w14:textId="77777777" w:rsidR="00D04C28" w:rsidRDefault="00000000">
            <w:r>
              <w:rPr>
                <w:color w:val="1A1A1A"/>
                <w:sz w:val="18"/>
                <w:szCs w:val="18"/>
              </w:rPr>
              <w:t>252,000</w:t>
            </w:r>
          </w:p>
        </w:tc>
        <w:tc>
          <w:tcPr>
            <w:tcW w:w="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0851F29" w14:textId="77777777" w:rsidR="00D04C28" w:rsidRDefault="00D04C28"/>
        </w:tc>
      </w:tr>
      <w:tr w:rsidR="00D04C28" w14:paraId="70163774"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0C78207" w14:textId="77777777" w:rsidR="00D04C28" w:rsidRDefault="00000000">
            <w:r>
              <w:rPr>
                <w:b/>
                <w:bCs/>
                <w:color w:val="1A1A1A"/>
                <w:sz w:val="18"/>
                <w:szCs w:val="18"/>
              </w:rPr>
              <w:t>Villa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0D40A80" w14:textId="77777777" w:rsidR="00D04C28" w:rsidRDefault="00000000">
            <w:r>
              <w:rPr>
                <w:color w:val="1A1A1A"/>
                <w:sz w:val="18"/>
                <w:szCs w:val="18"/>
              </w:rPr>
              <w:t>147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1A3C70A" w14:textId="77777777" w:rsidR="00D04C28" w:rsidRDefault="00000000">
            <w:r>
              <w:rPr>
                <w:color w:val="1A1A1A"/>
                <w:sz w:val="18"/>
                <w:szCs w:val="18"/>
              </w:rPr>
              <w:t>9,109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3178BE5" w14:textId="77777777" w:rsidR="00D04C28" w:rsidRDefault="00000000">
            <w:r>
              <w:rPr>
                <w:color w:val="1A1A1A"/>
                <w:sz w:val="18"/>
                <w:szCs w:val="18"/>
              </w:rPr>
              <w:t>34,000,000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95EB20C" w14:textId="77777777" w:rsidR="00D04C28" w:rsidRDefault="00000000">
            <w:r>
              <w:rPr>
                <w:color w:val="1A1A1A"/>
                <w:sz w:val="18"/>
                <w:szCs w:val="18"/>
              </w:rPr>
              <w:t>250,200</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0E158BD" w14:textId="77777777" w:rsidR="00D04C28" w:rsidRDefault="00D04C28"/>
        </w:tc>
      </w:tr>
    </w:tbl>
    <w:p w14:paraId="1F5A5374" w14:textId="77777777" w:rsidR="00D04C28" w:rsidRDefault="00D04C28">
      <w:pPr>
        <w:spacing w:after="80"/>
      </w:pPr>
    </w:p>
    <w:p w14:paraId="67405BC9" w14:textId="77777777" w:rsidR="00D04C28" w:rsidRDefault="00000000">
      <w:pPr>
        <w:spacing w:before="120" w:after="120"/>
        <w:jc w:val="center"/>
      </w:pPr>
      <w:r>
        <w:rPr>
          <w:noProof/>
        </w:rPr>
        <w:drawing>
          <wp:inline distT="0" distB="0" distL="0" distR="0" wp14:anchorId="6136C8FD" wp14:editId="0DC96FB9">
            <wp:extent cx="6096000" cy="1666875"/>
            <wp:effectExtent l="0" t="0" r="0" b="0"/>
            <wp:docPr id="1913291535" name="Picture 1913291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0" cy="1666875"/>
                    </a:xfrm>
                    <a:prstGeom prst="rect">
                      <a:avLst/>
                    </a:prstGeom>
                  </pic:spPr>
                </pic:pic>
              </a:graphicData>
            </a:graphic>
          </wp:inline>
        </w:drawing>
      </w:r>
    </w:p>
    <w:p w14:paraId="2B0E1546" w14:textId="77777777" w:rsidR="00D04C28" w:rsidRDefault="00000000">
      <w:pPr>
        <w:spacing w:before="40" w:after="160"/>
        <w:jc w:val="center"/>
      </w:pPr>
      <w:r>
        <w:rPr>
          <w:i/>
          <w:iCs/>
          <w:color w:val="555555"/>
          <w:sz w:val="18"/>
          <w:szCs w:val="18"/>
        </w:rPr>
        <w:t>Figure 5: Boxplots — Villa and Apartment price distributions, showing presence of high-value outliers in both segments</w:t>
      </w:r>
    </w:p>
    <w:p w14:paraId="5652DD71" w14:textId="77777777" w:rsidR="00D04C28" w:rsidRDefault="00000000">
      <w:pPr>
        <w:spacing w:before="120" w:after="120"/>
        <w:jc w:val="center"/>
      </w:pPr>
      <w:r>
        <w:rPr>
          <w:noProof/>
        </w:rPr>
        <w:lastRenderedPageBreak/>
        <w:drawing>
          <wp:inline distT="0" distB="0" distL="0" distR="0" wp14:anchorId="03CFCF92" wp14:editId="565AD2D4">
            <wp:extent cx="6096000" cy="1666875"/>
            <wp:effectExtent l="0" t="0" r="0" b="0"/>
            <wp:docPr id="1734378045" name="Picture 1734378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6000" cy="1666875"/>
                    </a:xfrm>
                    <a:prstGeom prst="rect">
                      <a:avLst/>
                    </a:prstGeom>
                  </pic:spPr>
                </pic:pic>
              </a:graphicData>
            </a:graphic>
          </wp:inline>
        </w:drawing>
      </w:r>
    </w:p>
    <w:p w14:paraId="44062F09" w14:textId="77777777" w:rsidR="00D04C28" w:rsidRDefault="00000000">
      <w:pPr>
        <w:spacing w:before="40" w:after="160"/>
        <w:jc w:val="center"/>
      </w:pPr>
      <w:r>
        <w:rPr>
          <w:i/>
          <w:iCs/>
          <w:color w:val="555555"/>
          <w:sz w:val="18"/>
          <w:szCs w:val="18"/>
        </w:rPr>
        <w:t>Figure 6: Boxplots — Summerhouse and Townhouse, with Summerhouse showing an extreme outlier at ~DKK 46M (likely coastal premium property)</w:t>
      </w:r>
    </w:p>
    <w:p w14:paraId="3C475731" w14:textId="77777777" w:rsidR="00D04C28" w:rsidRDefault="00D04C2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04C28" w14:paraId="2E61942C" w14:textId="77777777">
        <w:tc>
          <w:tcPr>
            <w:tcW w:w="9360" w:type="dxa"/>
            <w:tcBorders>
              <w:top w:val="single" w:sz="4" w:space="0" w:color="8B0000"/>
              <w:left w:val="single" w:sz="4" w:space="0" w:color="8B0000"/>
              <w:bottom w:val="single" w:sz="1" w:space="0" w:color="CCCCCC"/>
              <w:right w:val="single" w:sz="1" w:space="0" w:color="CCCCCC"/>
            </w:tcBorders>
            <w:shd w:val="clear" w:color="auto" w:fill="FFF5F5"/>
            <w:tcMar>
              <w:top w:w="100" w:type="dxa"/>
              <w:left w:w="160" w:type="dxa"/>
              <w:bottom w:w="100" w:type="dxa"/>
              <w:right w:w="160" w:type="dxa"/>
            </w:tcMar>
          </w:tcPr>
          <w:p w14:paraId="17E8D45C" w14:textId="77777777" w:rsidR="00D04C28" w:rsidRDefault="00000000">
            <w:pPr>
              <w:spacing w:after="80"/>
            </w:pPr>
            <w:r>
              <w:rPr>
                <w:b/>
                <w:bCs/>
                <w:color w:val="8B0000"/>
                <w:sz w:val="21"/>
                <w:szCs w:val="21"/>
              </w:rPr>
              <w:t>🔍 House Type Key Insights</w:t>
            </w:r>
          </w:p>
          <w:p w14:paraId="5A2793EE" w14:textId="77777777" w:rsidR="00D04C28" w:rsidRDefault="00000000">
            <w:pPr>
              <w:pStyle w:val="ListParagraph"/>
              <w:numPr>
                <w:ilvl w:val="0"/>
                <w:numId w:val="2"/>
              </w:numPr>
              <w:spacing w:before="40" w:after="40"/>
            </w:pPr>
            <w:r>
              <w:rPr>
                <w:color w:val="1A1A1A"/>
                <w:sz w:val="19"/>
                <w:szCs w:val="19"/>
              </w:rPr>
              <w:t>Villas dominate the market (54.2% of all transactions), making them the benchmark property type.</w:t>
            </w:r>
          </w:p>
          <w:p w14:paraId="3B62E861" w14:textId="77777777" w:rsidR="00D04C28" w:rsidRDefault="00000000">
            <w:pPr>
              <w:pStyle w:val="ListParagraph"/>
              <w:numPr>
                <w:ilvl w:val="0"/>
                <w:numId w:val="2"/>
              </w:numPr>
              <w:spacing w:before="40" w:after="40"/>
            </w:pPr>
            <w:r>
              <w:rPr>
                <w:color w:val="1A1A1A"/>
                <w:sz w:val="19"/>
                <w:szCs w:val="19"/>
              </w:rPr>
              <w:t>Apartments command the highest SQM price (DKK 25,437/m²) despite being the smallest — reflecting prime urban location premiums.</w:t>
            </w:r>
          </w:p>
          <w:p w14:paraId="5C799FB0" w14:textId="77777777" w:rsidR="00D04C28" w:rsidRDefault="00000000">
            <w:pPr>
              <w:pStyle w:val="ListParagraph"/>
              <w:numPr>
                <w:ilvl w:val="0"/>
                <w:numId w:val="2"/>
              </w:numPr>
              <w:spacing w:before="40" w:after="40"/>
            </w:pPr>
            <w:r>
              <w:rPr>
                <w:color w:val="1A1A1A"/>
                <w:sz w:val="19"/>
                <w:szCs w:val="19"/>
              </w:rPr>
              <w:t>Farms have the widest Mean/Median ratio (1.61), indicating a highly skewed market with a few extremely expensive agricultural estates.</w:t>
            </w:r>
          </w:p>
          <w:p w14:paraId="40F00398" w14:textId="77777777" w:rsidR="00D04C28" w:rsidRDefault="00000000">
            <w:pPr>
              <w:pStyle w:val="ListParagraph"/>
              <w:numPr>
                <w:ilvl w:val="0"/>
                <w:numId w:val="2"/>
              </w:numPr>
              <w:spacing w:before="40" w:after="40"/>
            </w:pPr>
            <w:r>
              <w:rPr>
                <w:color w:val="1A1A1A"/>
                <w:sz w:val="19"/>
                <w:szCs w:val="19"/>
              </w:rPr>
              <w:t>Townhouses show the most consistent pricing (lowest M/Md ratio at 1.23) — suitable for stable investment.</w:t>
            </w:r>
          </w:p>
          <w:p w14:paraId="52C6C432" w14:textId="77777777" w:rsidR="00D04C28" w:rsidRDefault="00000000">
            <w:pPr>
              <w:pStyle w:val="ListParagraph"/>
              <w:numPr>
                <w:ilvl w:val="0"/>
                <w:numId w:val="2"/>
              </w:numPr>
              <w:spacing w:before="40" w:after="40"/>
            </w:pPr>
            <w:r>
              <w:rPr>
                <w:color w:val="1A1A1A"/>
                <w:sz w:val="19"/>
                <w:szCs w:val="19"/>
              </w:rPr>
              <w:t>Summerhouses have the highest recorded transaction (DKK 45.9M), likely coastal luxury vacation properties.</w:t>
            </w:r>
          </w:p>
        </w:tc>
      </w:tr>
    </w:tbl>
    <w:p w14:paraId="707E25F0" w14:textId="77777777" w:rsidR="00D04C28" w:rsidRDefault="00D04C28">
      <w:pPr>
        <w:spacing w:after="80"/>
      </w:pPr>
    </w:p>
    <w:p w14:paraId="32824CBE" w14:textId="77777777" w:rsidR="00D04C28" w:rsidRDefault="00000000">
      <w:pPr>
        <w:pStyle w:val="Heading2"/>
      </w:pPr>
      <w:r>
        <w:t>4.3 Regional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2"/>
        <w:gridCol w:w="1311"/>
        <w:gridCol w:w="1210"/>
        <w:gridCol w:w="1631"/>
        <w:gridCol w:w="1520"/>
        <w:gridCol w:w="885"/>
        <w:gridCol w:w="1151"/>
      </w:tblGrid>
      <w:tr w:rsidR="00D04C28" w14:paraId="07683387" w14:textId="77777777">
        <w:tc>
          <w:tcPr>
            <w:tcW w:w="18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40" w:type="dxa"/>
              <w:bottom w:w="80" w:type="dxa"/>
              <w:right w:w="140" w:type="dxa"/>
            </w:tcMar>
            <w:vAlign w:val="center"/>
          </w:tcPr>
          <w:p w14:paraId="4BC6E5DF" w14:textId="77777777" w:rsidR="00D04C28" w:rsidRDefault="00000000">
            <w:pPr>
              <w:jc w:val="center"/>
            </w:pPr>
            <w:r>
              <w:rPr>
                <w:b/>
                <w:bCs/>
                <w:color w:val="FFFFFF"/>
                <w:sz w:val="18"/>
                <w:szCs w:val="18"/>
              </w:rPr>
              <w:t>Region</w:t>
            </w:r>
          </w:p>
        </w:tc>
        <w:tc>
          <w:tcPr>
            <w:tcW w:w="132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40" w:type="dxa"/>
              <w:bottom w:w="80" w:type="dxa"/>
              <w:right w:w="140" w:type="dxa"/>
            </w:tcMar>
            <w:vAlign w:val="center"/>
          </w:tcPr>
          <w:p w14:paraId="286D757A" w14:textId="77777777" w:rsidR="00D04C28" w:rsidRDefault="00000000">
            <w:pPr>
              <w:jc w:val="center"/>
            </w:pPr>
            <w:r>
              <w:rPr>
                <w:b/>
                <w:bCs/>
                <w:color w:val="FFFFFF"/>
                <w:sz w:val="18"/>
                <w:szCs w:val="18"/>
              </w:rPr>
              <w:t>Apartments</w:t>
            </w:r>
          </w:p>
        </w:tc>
        <w:tc>
          <w:tcPr>
            <w:tcW w:w="132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40" w:type="dxa"/>
              <w:bottom w:w="80" w:type="dxa"/>
              <w:right w:w="140" w:type="dxa"/>
            </w:tcMar>
            <w:vAlign w:val="center"/>
          </w:tcPr>
          <w:p w14:paraId="0A409E84" w14:textId="77777777" w:rsidR="00D04C28" w:rsidRDefault="00000000">
            <w:pPr>
              <w:jc w:val="center"/>
            </w:pPr>
            <w:r>
              <w:rPr>
                <w:b/>
                <w:bCs/>
                <w:color w:val="FFFFFF"/>
                <w:sz w:val="18"/>
                <w:szCs w:val="18"/>
              </w:rPr>
              <w:t>Farms</w:t>
            </w:r>
          </w:p>
        </w:tc>
        <w:tc>
          <w:tcPr>
            <w:tcW w:w="15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40" w:type="dxa"/>
              <w:bottom w:w="80" w:type="dxa"/>
              <w:right w:w="140" w:type="dxa"/>
            </w:tcMar>
            <w:vAlign w:val="center"/>
          </w:tcPr>
          <w:p w14:paraId="6C0DF595" w14:textId="77777777" w:rsidR="00D04C28" w:rsidRDefault="00000000">
            <w:pPr>
              <w:jc w:val="center"/>
            </w:pPr>
            <w:r>
              <w:rPr>
                <w:b/>
                <w:bCs/>
                <w:color w:val="FFFFFF"/>
                <w:sz w:val="18"/>
                <w:szCs w:val="18"/>
              </w:rPr>
              <w:t>Summerhouses</w:t>
            </w:r>
          </w:p>
        </w:tc>
        <w:tc>
          <w:tcPr>
            <w:tcW w:w="15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40" w:type="dxa"/>
              <w:bottom w:w="80" w:type="dxa"/>
              <w:right w:w="140" w:type="dxa"/>
            </w:tcMar>
            <w:vAlign w:val="center"/>
          </w:tcPr>
          <w:p w14:paraId="6E9347D7" w14:textId="77777777" w:rsidR="00D04C28" w:rsidRDefault="00000000">
            <w:pPr>
              <w:jc w:val="center"/>
            </w:pPr>
            <w:r>
              <w:rPr>
                <w:b/>
                <w:bCs/>
                <w:color w:val="FFFFFF"/>
                <w:sz w:val="18"/>
                <w:szCs w:val="18"/>
              </w:rPr>
              <w:t>Townhouses</w:t>
            </w:r>
          </w:p>
        </w:tc>
        <w:tc>
          <w:tcPr>
            <w:tcW w:w="9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40" w:type="dxa"/>
              <w:bottom w:w="80" w:type="dxa"/>
              <w:right w:w="140" w:type="dxa"/>
            </w:tcMar>
            <w:vAlign w:val="center"/>
          </w:tcPr>
          <w:p w14:paraId="233806E8" w14:textId="77777777" w:rsidR="00D04C28" w:rsidRDefault="00000000">
            <w:pPr>
              <w:jc w:val="center"/>
            </w:pPr>
            <w:r>
              <w:rPr>
                <w:b/>
                <w:bCs/>
                <w:color w:val="FFFFFF"/>
                <w:sz w:val="18"/>
                <w:szCs w:val="18"/>
              </w:rPr>
              <w:t>Villas</w:t>
            </w:r>
          </w:p>
        </w:tc>
        <w:tc>
          <w:tcPr>
            <w:tcW w:w="9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40" w:type="dxa"/>
              <w:bottom w:w="80" w:type="dxa"/>
              <w:right w:w="140" w:type="dxa"/>
            </w:tcMar>
            <w:vAlign w:val="center"/>
          </w:tcPr>
          <w:p w14:paraId="376DB93D" w14:textId="77777777" w:rsidR="00D04C28" w:rsidRDefault="00000000">
            <w:pPr>
              <w:jc w:val="center"/>
            </w:pPr>
            <w:r>
              <w:rPr>
                <w:b/>
                <w:bCs/>
                <w:color w:val="FFFFFF"/>
                <w:sz w:val="18"/>
                <w:szCs w:val="18"/>
              </w:rPr>
              <w:t>Distress%</w:t>
            </w:r>
          </w:p>
        </w:tc>
      </w:tr>
      <w:tr w:rsidR="00D04C28" w14:paraId="25961C9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38D77C4" w14:textId="77777777" w:rsidR="00D04C28" w:rsidRDefault="00000000">
            <w:r>
              <w:rPr>
                <w:b/>
                <w:bCs/>
                <w:color w:val="1A1A1A"/>
                <w:sz w:val="18"/>
                <w:szCs w:val="18"/>
              </w:rPr>
              <w:t>Zealand</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5387D1C" w14:textId="77777777" w:rsidR="00D04C28" w:rsidRDefault="00000000">
            <w:r>
              <w:rPr>
                <w:color w:val="1A1A1A"/>
                <w:sz w:val="18"/>
                <w:szCs w:val="18"/>
              </w:rPr>
              <w:t>10,139</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3246C06" w14:textId="77777777" w:rsidR="00D04C28" w:rsidRDefault="00000000">
            <w:r>
              <w:rPr>
                <w:color w:val="1A1A1A"/>
                <w:sz w:val="18"/>
                <w:szCs w:val="18"/>
              </w:rPr>
              <w:t>1,089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750D548" w14:textId="77777777" w:rsidR="00D04C28" w:rsidRDefault="00000000">
            <w:r>
              <w:rPr>
                <w:color w:val="1A1A1A"/>
                <w:sz w:val="18"/>
                <w:szCs w:val="18"/>
              </w:rPr>
              <w:t>4,910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313005A" w14:textId="77777777" w:rsidR="00D04C28" w:rsidRDefault="00000000">
            <w:r>
              <w:rPr>
                <w:color w:val="1A1A1A"/>
                <w:sz w:val="18"/>
                <w:szCs w:val="18"/>
              </w:rPr>
              <w:t>4,926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B015B54" w14:textId="77777777" w:rsidR="00D04C28" w:rsidRDefault="00000000">
            <w:r>
              <w:rPr>
                <w:color w:val="1A1A1A"/>
                <w:sz w:val="18"/>
                <w:szCs w:val="18"/>
              </w:rPr>
              <w:t>18,676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E198F2A" w14:textId="77777777" w:rsidR="00D04C28" w:rsidRDefault="00000000">
            <w:r>
              <w:rPr>
                <w:color w:val="1A1A1A"/>
                <w:sz w:val="18"/>
                <w:szCs w:val="18"/>
              </w:rPr>
              <w:t>2.10%</w:t>
            </w:r>
          </w:p>
        </w:tc>
      </w:tr>
      <w:tr w:rsidR="00D04C28" w14:paraId="533BE004"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AD3C0FF" w14:textId="77777777" w:rsidR="00D04C28" w:rsidRDefault="00000000">
            <w:r>
              <w:rPr>
                <w:b/>
                <w:bCs/>
                <w:color w:val="1A1A1A"/>
                <w:sz w:val="18"/>
                <w:szCs w:val="18"/>
              </w:rPr>
              <w:t>Jutland</w:t>
            </w:r>
          </w:p>
        </w:tc>
        <w:tc>
          <w:tcPr>
            <w:tcW w:w="1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89FBEF0" w14:textId="77777777" w:rsidR="00D04C28" w:rsidRDefault="00000000">
            <w:r>
              <w:rPr>
                <w:color w:val="1A1A1A"/>
                <w:sz w:val="18"/>
                <w:szCs w:val="18"/>
              </w:rPr>
              <w:t>7,864</w:t>
            </w:r>
          </w:p>
        </w:tc>
        <w:tc>
          <w:tcPr>
            <w:tcW w:w="1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36D0842" w14:textId="77777777" w:rsidR="00D04C28" w:rsidRDefault="00000000">
            <w:r>
              <w:rPr>
                <w:color w:val="1A1A1A"/>
                <w:sz w:val="18"/>
                <w:szCs w:val="18"/>
              </w:rPr>
              <w:t>3,224</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8E28440" w14:textId="77777777" w:rsidR="00D04C28" w:rsidRDefault="00000000">
            <w:r>
              <w:rPr>
                <w:color w:val="1A1A1A"/>
                <w:sz w:val="18"/>
                <w:szCs w:val="18"/>
              </w:rPr>
              <w:t>5,554</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4F84E8A" w14:textId="77777777" w:rsidR="00D04C28" w:rsidRDefault="00000000">
            <w:r>
              <w:rPr>
                <w:color w:val="1A1A1A"/>
                <w:sz w:val="18"/>
                <w:szCs w:val="18"/>
              </w:rPr>
              <w:t>3,876</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4E9BBF5" w14:textId="77777777" w:rsidR="00D04C28" w:rsidRDefault="00000000">
            <w:r>
              <w:rPr>
                <w:color w:val="1A1A1A"/>
                <w:sz w:val="18"/>
                <w:szCs w:val="18"/>
              </w:rPr>
              <w:t>29,408</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5DC65D7" w14:textId="77777777" w:rsidR="00D04C28" w:rsidRDefault="00000000">
            <w:r>
              <w:rPr>
                <w:color w:val="1A1A1A"/>
                <w:sz w:val="18"/>
                <w:szCs w:val="18"/>
              </w:rPr>
              <w:t>2.90%</w:t>
            </w:r>
          </w:p>
        </w:tc>
      </w:tr>
      <w:tr w:rsidR="00D04C28" w14:paraId="340DB80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B0DDD68" w14:textId="77777777" w:rsidR="00D04C28" w:rsidRDefault="00000000">
            <w:r>
              <w:rPr>
                <w:b/>
                <w:bCs/>
                <w:color w:val="1A1A1A"/>
                <w:sz w:val="18"/>
                <w:szCs w:val="18"/>
              </w:rPr>
              <w:t>Fyn &amp; Islands</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DF3C476" w14:textId="77777777" w:rsidR="00D04C28" w:rsidRDefault="00000000">
            <w:r>
              <w:rPr>
                <w:color w:val="1A1A1A"/>
                <w:sz w:val="18"/>
                <w:szCs w:val="18"/>
              </w:rPr>
              <w:t>1,300</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BC4A900" w14:textId="77777777" w:rsidR="00D04C28" w:rsidRDefault="00000000">
            <w:r>
              <w:rPr>
                <w:color w:val="1A1A1A"/>
                <w:sz w:val="18"/>
                <w:szCs w:val="18"/>
              </w:rPr>
              <w:t>529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2943F71" w14:textId="77777777" w:rsidR="00D04C28" w:rsidRDefault="00000000">
            <w:r>
              <w:rPr>
                <w:color w:val="1A1A1A"/>
                <w:sz w:val="18"/>
                <w:szCs w:val="18"/>
              </w:rPr>
              <w:t>660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C528EBD" w14:textId="77777777" w:rsidR="00D04C28" w:rsidRDefault="00000000">
            <w:r>
              <w:rPr>
                <w:color w:val="1A1A1A"/>
                <w:sz w:val="18"/>
                <w:szCs w:val="18"/>
              </w:rPr>
              <w:t>1,192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63AEDD0" w14:textId="77777777" w:rsidR="00D04C28" w:rsidRDefault="00000000">
            <w:r>
              <w:rPr>
                <w:color w:val="1A1A1A"/>
                <w:sz w:val="18"/>
                <w:szCs w:val="18"/>
              </w:rPr>
              <w:t>5,583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DC1EF80" w14:textId="77777777" w:rsidR="00D04C28" w:rsidRDefault="00000000">
            <w:r>
              <w:rPr>
                <w:color w:val="1A1A1A"/>
                <w:sz w:val="18"/>
                <w:szCs w:val="18"/>
              </w:rPr>
              <w:t>3.65%</w:t>
            </w:r>
          </w:p>
        </w:tc>
      </w:tr>
      <w:tr w:rsidR="00D04C28" w14:paraId="5327535C"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D5A8731" w14:textId="77777777" w:rsidR="00D04C28" w:rsidRDefault="00000000">
            <w:r>
              <w:rPr>
                <w:b/>
                <w:bCs/>
                <w:color w:val="1A1A1A"/>
                <w:sz w:val="18"/>
                <w:szCs w:val="18"/>
              </w:rPr>
              <w:t>Bornholm</w:t>
            </w:r>
          </w:p>
        </w:tc>
        <w:tc>
          <w:tcPr>
            <w:tcW w:w="1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5012CAE" w14:textId="77777777" w:rsidR="00D04C28" w:rsidRDefault="00000000">
            <w:r>
              <w:rPr>
                <w:color w:val="1A1A1A"/>
                <w:sz w:val="18"/>
                <w:szCs w:val="18"/>
              </w:rPr>
              <w:t>51</w:t>
            </w:r>
          </w:p>
        </w:tc>
        <w:tc>
          <w:tcPr>
            <w:tcW w:w="1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91BECCB" w14:textId="77777777" w:rsidR="00D04C28" w:rsidRDefault="00000000">
            <w:r>
              <w:rPr>
                <w:color w:val="1A1A1A"/>
                <w:sz w:val="18"/>
                <w:szCs w:val="18"/>
              </w:rPr>
              <w:t>60</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F5822EE" w14:textId="77777777" w:rsidR="00D04C28" w:rsidRDefault="00000000">
            <w:r>
              <w:rPr>
                <w:color w:val="1A1A1A"/>
                <w:sz w:val="18"/>
                <w:szCs w:val="18"/>
              </w:rPr>
              <w:t>215</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340CF9D" w14:textId="77777777" w:rsidR="00D04C28" w:rsidRDefault="00000000">
            <w:r>
              <w:rPr>
                <w:color w:val="1A1A1A"/>
                <w:sz w:val="18"/>
                <w:szCs w:val="18"/>
              </w:rPr>
              <w:t>190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8699AFE" w14:textId="77777777" w:rsidR="00D04C28" w:rsidRDefault="00000000">
            <w:r>
              <w:rPr>
                <w:color w:val="1A1A1A"/>
                <w:sz w:val="18"/>
                <w:szCs w:val="18"/>
              </w:rPr>
              <w:t>543</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66BDDC2" w14:textId="77777777" w:rsidR="00D04C28" w:rsidRDefault="00000000">
            <w:r>
              <w:rPr>
                <w:color w:val="1A1A1A"/>
                <w:sz w:val="18"/>
                <w:szCs w:val="18"/>
              </w:rPr>
              <w:t>3.97%</w:t>
            </w:r>
          </w:p>
        </w:tc>
      </w:tr>
    </w:tbl>
    <w:p w14:paraId="26B5E23D" w14:textId="77777777" w:rsidR="00D04C28" w:rsidRDefault="00D04C28">
      <w:pPr>
        <w:spacing w:after="80"/>
      </w:pPr>
    </w:p>
    <w:p w14:paraId="2AB514A1" w14:textId="77777777" w:rsidR="00D04C28" w:rsidRDefault="00000000">
      <w:pPr>
        <w:spacing w:before="120" w:after="120"/>
        <w:jc w:val="center"/>
      </w:pPr>
      <w:r>
        <w:rPr>
          <w:noProof/>
        </w:rPr>
        <w:drawing>
          <wp:inline distT="0" distB="0" distL="0" distR="0" wp14:anchorId="7556F118" wp14:editId="236C1D02">
            <wp:extent cx="6096000" cy="2095500"/>
            <wp:effectExtent l="0" t="0" r="0" b="0"/>
            <wp:docPr id="1002658555" name="Picture 1002658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96000" cy="2095500"/>
                    </a:xfrm>
                    <a:prstGeom prst="rect">
                      <a:avLst/>
                    </a:prstGeom>
                  </pic:spPr>
                </pic:pic>
              </a:graphicData>
            </a:graphic>
          </wp:inline>
        </w:drawing>
      </w:r>
    </w:p>
    <w:p w14:paraId="7FE52F7D" w14:textId="77777777" w:rsidR="00D04C28" w:rsidRDefault="00000000">
      <w:pPr>
        <w:spacing w:before="40" w:after="160"/>
        <w:jc w:val="center"/>
      </w:pPr>
      <w:r>
        <w:rPr>
          <w:i/>
          <w:iCs/>
          <w:color w:val="555555"/>
          <w:sz w:val="18"/>
          <w:szCs w:val="18"/>
        </w:rPr>
        <w:lastRenderedPageBreak/>
        <w:t>Figure 7: SQM price distribution for Jutland (left) and Bornholm (right) — both right-skewed, Bornholm shows higher SQM concentration at lower values</w:t>
      </w:r>
    </w:p>
    <w:p w14:paraId="165BC7CC" w14:textId="77777777" w:rsidR="00D04C28" w:rsidRDefault="00000000">
      <w:pPr>
        <w:spacing w:before="120" w:after="120"/>
        <w:jc w:val="center"/>
      </w:pPr>
      <w:r>
        <w:rPr>
          <w:noProof/>
        </w:rPr>
        <w:drawing>
          <wp:inline distT="0" distB="0" distL="0" distR="0" wp14:anchorId="05A18FCD" wp14:editId="2216562F">
            <wp:extent cx="6096000" cy="2095500"/>
            <wp:effectExtent l="0" t="0" r="0" b="0"/>
            <wp:docPr id="618005200" name="Picture 618005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96000" cy="2095500"/>
                    </a:xfrm>
                    <a:prstGeom prst="rect">
                      <a:avLst/>
                    </a:prstGeom>
                  </pic:spPr>
                </pic:pic>
              </a:graphicData>
            </a:graphic>
          </wp:inline>
        </w:drawing>
      </w:r>
    </w:p>
    <w:p w14:paraId="5A0C9A79" w14:textId="77777777" w:rsidR="00D04C28" w:rsidRDefault="00000000">
      <w:pPr>
        <w:spacing w:before="40" w:after="160"/>
        <w:jc w:val="center"/>
      </w:pPr>
      <w:r>
        <w:rPr>
          <w:i/>
          <w:iCs/>
          <w:color w:val="555555"/>
          <w:sz w:val="18"/>
          <w:szCs w:val="18"/>
        </w:rPr>
        <w:t>Figure 8: SQM price distribution for Zealand (left) and Fyn &amp; Islands (right) — Zealand shows a broader, higher-value distribution indicating premium pricing</w:t>
      </w:r>
    </w:p>
    <w:p w14:paraId="308F0B18" w14:textId="77777777" w:rsidR="00D04C28" w:rsidRDefault="00D04C2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04C28" w14:paraId="22AB7D90" w14:textId="77777777">
        <w:tc>
          <w:tcPr>
            <w:tcW w:w="9360" w:type="dxa"/>
            <w:tcBorders>
              <w:top w:val="single" w:sz="4" w:space="0" w:color="8B0000"/>
              <w:left w:val="single" w:sz="4" w:space="0" w:color="8B0000"/>
              <w:bottom w:val="single" w:sz="1" w:space="0" w:color="CCCCCC"/>
              <w:right w:val="single" w:sz="1" w:space="0" w:color="CCCCCC"/>
            </w:tcBorders>
            <w:shd w:val="clear" w:color="auto" w:fill="FFF5F5"/>
            <w:tcMar>
              <w:top w:w="100" w:type="dxa"/>
              <w:left w:w="160" w:type="dxa"/>
              <w:bottom w:w="100" w:type="dxa"/>
              <w:right w:w="160" w:type="dxa"/>
            </w:tcMar>
          </w:tcPr>
          <w:p w14:paraId="7AA96A36" w14:textId="77777777" w:rsidR="00D04C28" w:rsidRDefault="00000000">
            <w:pPr>
              <w:spacing w:after="80"/>
            </w:pPr>
            <w:r>
              <w:rPr>
                <w:b/>
                <w:bCs/>
                <w:color w:val="8B0000"/>
                <w:sz w:val="21"/>
                <w:szCs w:val="21"/>
              </w:rPr>
              <w:t>🔍 Regional Performance Insights</w:t>
            </w:r>
          </w:p>
          <w:p w14:paraId="505C994B" w14:textId="77777777" w:rsidR="00D04C28" w:rsidRDefault="00000000">
            <w:pPr>
              <w:pStyle w:val="ListParagraph"/>
              <w:numPr>
                <w:ilvl w:val="0"/>
                <w:numId w:val="2"/>
              </w:numPr>
              <w:spacing w:before="40" w:after="40"/>
            </w:pPr>
            <w:r>
              <w:rPr>
                <w:color w:val="1A1A1A"/>
                <w:sz w:val="19"/>
                <w:szCs w:val="19"/>
              </w:rPr>
              <w:t>Zealand is the largest and most premium market (40K transactions, IQR spread DKK 2.1M) with the lowest distressed sale rate (2.10%) — indicating strong demand and market health.</w:t>
            </w:r>
          </w:p>
          <w:p w14:paraId="0B71BFDF" w14:textId="77777777" w:rsidR="00D04C28" w:rsidRDefault="00000000">
            <w:pPr>
              <w:pStyle w:val="ListParagraph"/>
              <w:numPr>
                <w:ilvl w:val="0"/>
                <w:numId w:val="2"/>
              </w:numPr>
              <w:spacing w:before="40" w:after="40"/>
            </w:pPr>
            <w:r>
              <w:rPr>
                <w:color w:val="1A1A1A"/>
                <w:sz w:val="19"/>
                <w:szCs w:val="19"/>
              </w:rPr>
              <w:t>Jutland is the most active region overall (50K transactions) but shows more price variability with a moderate distress rate of 2.90%.</w:t>
            </w:r>
          </w:p>
          <w:p w14:paraId="25DA7786" w14:textId="77777777" w:rsidR="00D04C28" w:rsidRDefault="00000000">
            <w:pPr>
              <w:pStyle w:val="ListParagraph"/>
              <w:numPr>
                <w:ilvl w:val="0"/>
                <w:numId w:val="2"/>
              </w:numPr>
              <w:spacing w:before="40" w:after="40"/>
            </w:pPr>
            <w:r>
              <w:rPr>
                <w:color w:val="1A1A1A"/>
                <w:sz w:val="19"/>
                <w:szCs w:val="19"/>
              </w:rPr>
              <w:t>Bornholm has the smallest market but the highest distress rate (3.97%), suggesting weaker demand and lower liquidity — higher-risk investment territory.</w:t>
            </w:r>
          </w:p>
          <w:p w14:paraId="49281B48" w14:textId="77777777" w:rsidR="00D04C28" w:rsidRDefault="00000000">
            <w:pPr>
              <w:pStyle w:val="ListParagraph"/>
              <w:numPr>
                <w:ilvl w:val="0"/>
                <w:numId w:val="2"/>
              </w:numPr>
              <w:spacing w:before="40" w:after="40"/>
            </w:pPr>
            <w:r>
              <w:rPr>
                <w:color w:val="1A1A1A"/>
                <w:sz w:val="19"/>
                <w:szCs w:val="19"/>
              </w:rPr>
              <w:t>Fyn &amp; Islands is a mid-tier market with solid volume but higher distress than the top two regions.</w:t>
            </w:r>
          </w:p>
        </w:tc>
      </w:tr>
    </w:tbl>
    <w:p w14:paraId="27FCC013" w14:textId="77777777" w:rsidR="00D04C28" w:rsidRDefault="00D04C28">
      <w:pPr>
        <w:spacing w:after="80"/>
      </w:pPr>
    </w:p>
    <w:p w14:paraId="26616CAD" w14:textId="77777777" w:rsidR="00D04C28" w:rsidRDefault="00000000">
      <w:pPr>
        <w:pStyle w:val="Heading2"/>
      </w:pPr>
      <w:r>
        <w:t>4.4 Build Era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560"/>
        <w:gridCol w:w="5460"/>
      </w:tblGrid>
      <w:tr w:rsidR="00D04C28" w14:paraId="18E95FEF" w14:textId="77777777">
        <w:tc>
          <w:tcPr>
            <w:tcW w:w="234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40" w:type="dxa"/>
              <w:bottom w:w="80" w:type="dxa"/>
              <w:right w:w="140" w:type="dxa"/>
            </w:tcMar>
            <w:vAlign w:val="center"/>
          </w:tcPr>
          <w:p w14:paraId="0292DF2D" w14:textId="77777777" w:rsidR="00D04C28" w:rsidRDefault="00000000">
            <w:pPr>
              <w:jc w:val="center"/>
            </w:pPr>
            <w:r>
              <w:rPr>
                <w:b/>
                <w:bCs/>
                <w:color w:val="FFFFFF"/>
                <w:sz w:val="18"/>
                <w:szCs w:val="18"/>
              </w:rPr>
              <w:t>Build Era</w:t>
            </w:r>
          </w:p>
        </w:tc>
        <w:tc>
          <w:tcPr>
            <w:tcW w:w="15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40" w:type="dxa"/>
              <w:bottom w:w="80" w:type="dxa"/>
              <w:right w:w="140" w:type="dxa"/>
            </w:tcMar>
            <w:vAlign w:val="center"/>
          </w:tcPr>
          <w:p w14:paraId="578868E9" w14:textId="77777777" w:rsidR="00D04C28" w:rsidRDefault="00000000">
            <w:pPr>
              <w:jc w:val="center"/>
            </w:pPr>
            <w:r>
              <w:rPr>
                <w:b/>
                <w:bCs/>
                <w:color w:val="FFFFFF"/>
                <w:sz w:val="18"/>
                <w:szCs w:val="18"/>
              </w:rPr>
              <w:t>Median SQM Price (DKK)</w:t>
            </w:r>
          </w:p>
        </w:tc>
        <w:tc>
          <w:tcPr>
            <w:tcW w:w="54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40" w:type="dxa"/>
              <w:bottom w:w="80" w:type="dxa"/>
              <w:right w:w="140" w:type="dxa"/>
            </w:tcMar>
            <w:vAlign w:val="center"/>
          </w:tcPr>
          <w:p w14:paraId="272D88E4" w14:textId="77777777" w:rsidR="00D04C28" w:rsidRDefault="00000000">
            <w:pPr>
              <w:jc w:val="center"/>
            </w:pPr>
            <w:r>
              <w:rPr>
                <w:b/>
                <w:bCs/>
                <w:color w:val="FFFFFF"/>
                <w:sz w:val="18"/>
                <w:szCs w:val="18"/>
              </w:rPr>
              <w:t>Count</w:t>
            </w:r>
          </w:p>
        </w:tc>
      </w:tr>
      <w:tr w:rsidR="00D04C28" w14:paraId="6DAFCE92"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C1203C7" w14:textId="77777777" w:rsidR="00D04C28" w:rsidRDefault="00000000">
            <w:r>
              <w:rPr>
                <w:b/>
                <w:bCs/>
                <w:color w:val="1A1A1A"/>
                <w:sz w:val="18"/>
                <w:szCs w:val="18"/>
              </w:rPr>
              <w:t>Pre-1900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A27CCB8" w14:textId="77777777" w:rsidR="00D04C28" w:rsidRDefault="00000000">
            <w:r>
              <w:rPr>
                <w:color w:val="1A1A1A"/>
                <w:sz w:val="18"/>
                <w:szCs w:val="18"/>
              </w:rPr>
              <w:t>10,154</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3E5B079" w14:textId="77777777" w:rsidR="00D04C28" w:rsidRDefault="00000000">
            <w:r>
              <w:rPr>
                <w:color w:val="1A1A1A"/>
                <w:sz w:val="18"/>
                <w:szCs w:val="18"/>
              </w:rPr>
              <w:t>11,535</w:t>
            </w:r>
          </w:p>
        </w:tc>
      </w:tr>
      <w:tr w:rsidR="00D04C28" w14:paraId="5B4ACA56"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C94B539" w14:textId="77777777" w:rsidR="00D04C28" w:rsidRDefault="00000000">
            <w:r>
              <w:rPr>
                <w:b/>
                <w:bCs/>
                <w:color w:val="1A1A1A"/>
                <w:sz w:val="18"/>
                <w:szCs w:val="18"/>
              </w:rPr>
              <w:t>1900s</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FF8FAB0" w14:textId="77777777" w:rsidR="00D04C28" w:rsidRDefault="00000000">
            <w:r>
              <w:rPr>
                <w:color w:val="1A1A1A"/>
                <w:sz w:val="18"/>
                <w:szCs w:val="18"/>
              </w:rPr>
              <w:t>13,014</w:t>
            </w:r>
          </w:p>
        </w:tc>
        <w:tc>
          <w:tcPr>
            <w:tcW w:w="5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DB60781" w14:textId="77777777" w:rsidR="00D04C28" w:rsidRDefault="00000000">
            <w:r>
              <w:rPr>
                <w:color w:val="1A1A1A"/>
                <w:sz w:val="18"/>
                <w:szCs w:val="18"/>
              </w:rPr>
              <w:t>20,444</w:t>
            </w:r>
          </w:p>
        </w:tc>
      </w:tr>
      <w:tr w:rsidR="00D04C28" w14:paraId="69081A91"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F41235A" w14:textId="77777777" w:rsidR="00D04C28" w:rsidRDefault="00000000">
            <w:r>
              <w:rPr>
                <w:b/>
                <w:bCs/>
                <w:color w:val="1A1A1A"/>
                <w:sz w:val="18"/>
                <w:szCs w:val="18"/>
              </w:rPr>
              <w:t>Mid-century (1940–60s)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0F612ED" w14:textId="77777777" w:rsidR="00D04C28" w:rsidRDefault="00000000">
            <w:r>
              <w:rPr>
                <w:color w:val="1A1A1A"/>
                <w:sz w:val="18"/>
                <w:szCs w:val="18"/>
              </w:rPr>
              <w:t>11,261</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B410921" w14:textId="77777777" w:rsidR="00D04C28" w:rsidRDefault="00000000">
            <w:r>
              <w:rPr>
                <w:color w:val="1A1A1A"/>
                <w:sz w:val="18"/>
                <w:szCs w:val="18"/>
              </w:rPr>
              <w:t>26,707</w:t>
            </w:r>
          </w:p>
        </w:tc>
      </w:tr>
      <w:tr w:rsidR="00D04C28" w14:paraId="60DF95B0"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6F015DF" w14:textId="77777777" w:rsidR="00D04C28" w:rsidRDefault="00000000">
            <w:r>
              <w:rPr>
                <w:b/>
                <w:bCs/>
                <w:color w:val="1A1A1A"/>
                <w:sz w:val="18"/>
                <w:szCs w:val="18"/>
              </w:rPr>
              <w:t>70s</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3840D1C" w14:textId="77777777" w:rsidR="00D04C28" w:rsidRDefault="00000000">
            <w:r>
              <w:rPr>
                <w:color w:val="1A1A1A"/>
                <w:sz w:val="18"/>
                <w:szCs w:val="18"/>
              </w:rPr>
              <w:t>10,986</w:t>
            </w:r>
          </w:p>
        </w:tc>
        <w:tc>
          <w:tcPr>
            <w:tcW w:w="5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BF7EA2D" w14:textId="77777777" w:rsidR="00D04C28" w:rsidRDefault="00000000">
            <w:r>
              <w:rPr>
                <w:color w:val="1A1A1A"/>
                <w:sz w:val="18"/>
                <w:szCs w:val="18"/>
              </w:rPr>
              <w:t>22,950</w:t>
            </w:r>
          </w:p>
        </w:tc>
      </w:tr>
      <w:tr w:rsidR="00D04C28" w14:paraId="7E3AE59D"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C7E7CDE" w14:textId="77777777" w:rsidR="00D04C28" w:rsidRDefault="00000000">
            <w:r>
              <w:rPr>
                <w:b/>
                <w:bCs/>
                <w:color w:val="1A1A1A"/>
                <w:sz w:val="18"/>
                <w:szCs w:val="18"/>
              </w:rPr>
              <w:t>80-90s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B893B20" w14:textId="77777777" w:rsidR="00D04C28" w:rsidRDefault="00000000">
            <w:r>
              <w:rPr>
                <w:color w:val="1A1A1A"/>
                <w:sz w:val="18"/>
                <w:szCs w:val="18"/>
              </w:rPr>
              <w:t>13,987</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AADF271" w14:textId="77777777" w:rsidR="00D04C28" w:rsidRDefault="00000000">
            <w:r>
              <w:rPr>
                <w:color w:val="1A1A1A"/>
                <w:sz w:val="18"/>
                <w:szCs w:val="18"/>
              </w:rPr>
              <w:t>3,393</w:t>
            </w:r>
          </w:p>
        </w:tc>
      </w:tr>
      <w:tr w:rsidR="00D04C28" w14:paraId="705A0D89"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487AEF3" w14:textId="77777777" w:rsidR="00D04C28" w:rsidRDefault="00000000">
            <w:r>
              <w:rPr>
                <w:b/>
                <w:bCs/>
                <w:color w:val="1A1A1A"/>
                <w:sz w:val="18"/>
                <w:szCs w:val="18"/>
              </w:rPr>
              <w:t>2000s</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44F5DF1" w14:textId="77777777" w:rsidR="00D04C28" w:rsidRDefault="00000000">
            <w:r>
              <w:rPr>
                <w:color w:val="1A1A1A"/>
                <w:sz w:val="18"/>
                <w:szCs w:val="18"/>
              </w:rPr>
              <w:t>15,950</w:t>
            </w:r>
          </w:p>
        </w:tc>
        <w:tc>
          <w:tcPr>
            <w:tcW w:w="5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3D3D333" w14:textId="77777777" w:rsidR="00D04C28" w:rsidRDefault="00000000">
            <w:r>
              <w:rPr>
                <w:color w:val="1A1A1A"/>
                <w:sz w:val="18"/>
                <w:szCs w:val="18"/>
              </w:rPr>
              <w:t>7,335</w:t>
            </w:r>
          </w:p>
        </w:tc>
      </w:tr>
      <w:tr w:rsidR="00D04C28" w14:paraId="0DEA1B1A"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9C641F2" w14:textId="77777777" w:rsidR="00D04C28" w:rsidRDefault="00000000">
            <w:r>
              <w:rPr>
                <w:b/>
                <w:bCs/>
                <w:color w:val="1A1A1A"/>
                <w:sz w:val="18"/>
                <w:szCs w:val="18"/>
              </w:rPr>
              <w:t>Modern (Post-2010)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5DCC072" w14:textId="77777777" w:rsidR="00D04C28" w:rsidRDefault="00000000">
            <w:r>
              <w:rPr>
                <w:color w:val="1A1A1A"/>
                <w:sz w:val="18"/>
                <w:szCs w:val="18"/>
              </w:rPr>
              <w:t>17,348</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0CFC5F6" w14:textId="77777777" w:rsidR="00D04C28" w:rsidRDefault="00000000">
            <w:r>
              <w:rPr>
                <w:color w:val="1A1A1A"/>
                <w:sz w:val="18"/>
                <w:szCs w:val="18"/>
              </w:rPr>
              <w:t>7,625</w:t>
            </w:r>
          </w:p>
        </w:tc>
      </w:tr>
    </w:tbl>
    <w:p w14:paraId="691E78C7" w14:textId="77777777" w:rsidR="00D04C28" w:rsidRDefault="00D04C2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04C28" w14:paraId="5F13D10B" w14:textId="77777777">
        <w:tc>
          <w:tcPr>
            <w:tcW w:w="9360" w:type="dxa"/>
            <w:tcBorders>
              <w:top w:val="single" w:sz="4" w:space="0" w:color="8B0000"/>
              <w:left w:val="single" w:sz="4" w:space="0" w:color="8B0000"/>
              <w:bottom w:val="single" w:sz="1" w:space="0" w:color="CCCCCC"/>
              <w:right w:val="single" w:sz="1" w:space="0" w:color="CCCCCC"/>
            </w:tcBorders>
            <w:shd w:val="clear" w:color="auto" w:fill="FFF5F5"/>
            <w:tcMar>
              <w:top w:w="100" w:type="dxa"/>
              <w:left w:w="160" w:type="dxa"/>
              <w:bottom w:w="100" w:type="dxa"/>
              <w:right w:w="160" w:type="dxa"/>
            </w:tcMar>
          </w:tcPr>
          <w:p w14:paraId="510C5D4F" w14:textId="77777777" w:rsidR="00D04C28" w:rsidRDefault="00000000">
            <w:pPr>
              <w:spacing w:after="80"/>
            </w:pPr>
            <w:r>
              <w:rPr>
                <w:b/>
                <w:bCs/>
                <w:color w:val="8B0000"/>
                <w:sz w:val="21"/>
                <w:szCs w:val="21"/>
              </w:rPr>
              <w:t>🔍 Build Era Insights</w:t>
            </w:r>
          </w:p>
          <w:p w14:paraId="62647291" w14:textId="77777777" w:rsidR="00D04C28" w:rsidRDefault="00000000">
            <w:pPr>
              <w:pStyle w:val="ListParagraph"/>
              <w:numPr>
                <w:ilvl w:val="0"/>
                <w:numId w:val="2"/>
              </w:numPr>
              <w:spacing w:before="40" w:after="40"/>
            </w:pPr>
            <w:r>
              <w:rPr>
                <w:color w:val="1A1A1A"/>
                <w:sz w:val="19"/>
                <w:szCs w:val="19"/>
              </w:rPr>
              <w:t>Modern properties (post-2010) command the highest premium at DKK 17,348/m² — reflecting energy efficiency, modern amenities, and current building standards.</w:t>
            </w:r>
          </w:p>
          <w:p w14:paraId="428C20D5" w14:textId="77777777" w:rsidR="00D04C28" w:rsidRDefault="00000000">
            <w:pPr>
              <w:pStyle w:val="ListParagraph"/>
              <w:numPr>
                <w:ilvl w:val="0"/>
                <w:numId w:val="2"/>
              </w:numPr>
              <w:spacing w:before="40" w:after="40"/>
            </w:pPr>
            <w:r>
              <w:rPr>
                <w:color w:val="1A1A1A"/>
                <w:sz w:val="19"/>
                <w:szCs w:val="19"/>
              </w:rPr>
              <w:lastRenderedPageBreak/>
              <w:t>The 2000s and Modern eras together represent a premium segment despite lower absolute transaction counts.</w:t>
            </w:r>
          </w:p>
          <w:p w14:paraId="14D46466" w14:textId="77777777" w:rsidR="00D04C28" w:rsidRDefault="00000000">
            <w:pPr>
              <w:pStyle w:val="ListParagraph"/>
              <w:numPr>
                <w:ilvl w:val="0"/>
                <w:numId w:val="2"/>
              </w:numPr>
              <w:spacing w:before="40" w:after="40"/>
            </w:pPr>
            <w:r>
              <w:rPr>
                <w:color w:val="1A1A1A"/>
                <w:sz w:val="19"/>
                <w:szCs w:val="19"/>
              </w:rPr>
              <w:t>Mid-century (1940–60s) and 70s builds have lower SQM prices, likely requiring renovation investment.</w:t>
            </w:r>
          </w:p>
          <w:p w14:paraId="331C4870" w14:textId="77777777" w:rsidR="00D04C28" w:rsidRDefault="00000000">
            <w:pPr>
              <w:pStyle w:val="ListParagraph"/>
              <w:numPr>
                <w:ilvl w:val="0"/>
                <w:numId w:val="2"/>
              </w:numPr>
              <w:spacing w:before="40" w:after="40"/>
            </w:pPr>
            <w:r>
              <w:rPr>
                <w:color w:val="1A1A1A"/>
                <w:sz w:val="19"/>
                <w:szCs w:val="19"/>
              </w:rPr>
              <w:t>Surprisingly, 1900s properties have higher SQM values than pre-1900 — possibly due to historical/character value in prime city locations.</w:t>
            </w:r>
          </w:p>
        </w:tc>
      </w:tr>
    </w:tbl>
    <w:p w14:paraId="16478377" w14:textId="77777777" w:rsidR="00D04C28" w:rsidRDefault="00D04C28">
      <w:pPr>
        <w:spacing w:after="80"/>
      </w:pPr>
    </w:p>
    <w:p w14:paraId="508B385B" w14:textId="77777777" w:rsidR="00D04C28" w:rsidRDefault="00000000">
      <w:pPr>
        <w:pStyle w:val="Heading2"/>
      </w:pPr>
      <w:r>
        <w:t xml:space="preserve">4.5 Negotiation </w:t>
      </w:r>
      <w:proofErr w:type="spellStart"/>
      <w:r>
        <w:t>Behavior</w:t>
      </w:r>
      <w:proofErr w:type="spellEnd"/>
      <w:r>
        <w:t xml:space="preserv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560"/>
        <w:gridCol w:w="1560"/>
        <w:gridCol w:w="1560"/>
        <w:gridCol w:w="2340"/>
      </w:tblGrid>
      <w:tr w:rsidR="00D04C28" w14:paraId="75E023BC" w14:textId="77777777">
        <w:tc>
          <w:tcPr>
            <w:tcW w:w="234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40" w:type="dxa"/>
              <w:bottom w:w="80" w:type="dxa"/>
              <w:right w:w="140" w:type="dxa"/>
            </w:tcMar>
            <w:vAlign w:val="center"/>
          </w:tcPr>
          <w:p w14:paraId="07FDE9E2" w14:textId="77777777" w:rsidR="00D04C28" w:rsidRDefault="00000000">
            <w:pPr>
              <w:jc w:val="center"/>
            </w:pPr>
            <w:r>
              <w:rPr>
                <w:b/>
                <w:bCs/>
                <w:color w:val="FFFFFF"/>
                <w:sz w:val="18"/>
                <w:szCs w:val="18"/>
              </w:rPr>
              <w:t>House Type</w:t>
            </w:r>
          </w:p>
        </w:tc>
        <w:tc>
          <w:tcPr>
            <w:tcW w:w="15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40" w:type="dxa"/>
              <w:bottom w:w="80" w:type="dxa"/>
              <w:right w:w="140" w:type="dxa"/>
            </w:tcMar>
            <w:vAlign w:val="center"/>
          </w:tcPr>
          <w:p w14:paraId="33022904" w14:textId="77777777" w:rsidR="00D04C28" w:rsidRDefault="00000000">
            <w:pPr>
              <w:jc w:val="center"/>
            </w:pPr>
            <w:r>
              <w:rPr>
                <w:b/>
                <w:bCs/>
                <w:color w:val="FFFFFF"/>
                <w:sz w:val="18"/>
                <w:szCs w:val="18"/>
              </w:rPr>
              <w:t>Zero Neg. %</w:t>
            </w:r>
          </w:p>
        </w:tc>
        <w:tc>
          <w:tcPr>
            <w:tcW w:w="15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40" w:type="dxa"/>
              <w:bottom w:w="80" w:type="dxa"/>
              <w:right w:w="140" w:type="dxa"/>
            </w:tcMar>
            <w:vAlign w:val="center"/>
          </w:tcPr>
          <w:p w14:paraId="74EC54D8" w14:textId="77777777" w:rsidR="00D04C28" w:rsidRDefault="00000000">
            <w:pPr>
              <w:jc w:val="center"/>
            </w:pPr>
            <w:r>
              <w:rPr>
                <w:b/>
                <w:bCs/>
                <w:color w:val="FFFFFF"/>
                <w:sz w:val="18"/>
                <w:szCs w:val="18"/>
              </w:rPr>
              <w:t>Mean Gap (DKK)</w:t>
            </w:r>
          </w:p>
        </w:tc>
        <w:tc>
          <w:tcPr>
            <w:tcW w:w="15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40" w:type="dxa"/>
              <w:bottom w:w="80" w:type="dxa"/>
              <w:right w:w="140" w:type="dxa"/>
            </w:tcMar>
            <w:vAlign w:val="center"/>
          </w:tcPr>
          <w:p w14:paraId="297FCCDE" w14:textId="77777777" w:rsidR="00D04C28" w:rsidRDefault="00D04C28">
            <w:pPr>
              <w:jc w:val="center"/>
            </w:pPr>
          </w:p>
        </w:tc>
        <w:tc>
          <w:tcPr>
            <w:tcW w:w="234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40" w:type="dxa"/>
              <w:bottom w:w="80" w:type="dxa"/>
              <w:right w:w="140" w:type="dxa"/>
            </w:tcMar>
            <w:vAlign w:val="center"/>
          </w:tcPr>
          <w:p w14:paraId="26E337CB" w14:textId="77777777" w:rsidR="00D04C28" w:rsidRDefault="00000000">
            <w:pPr>
              <w:jc w:val="center"/>
            </w:pPr>
            <w:r>
              <w:rPr>
                <w:b/>
                <w:bCs/>
                <w:color w:val="FFFFFF"/>
                <w:sz w:val="18"/>
                <w:szCs w:val="18"/>
              </w:rPr>
              <w:t>Interpretation</w:t>
            </w:r>
          </w:p>
        </w:tc>
      </w:tr>
      <w:tr w:rsidR="00D04C28" w14:paraId="658D12F2"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2C7DDF5" w14:textId="77777777" w:rsidR="00D04C28" w:rsidRDefault="00000000">
            <w:r>
              <w:rPr>
                <w:b/>
                <w:bCs/>
                <w:color w:val="1A1A1A"/>
                <w:sz w:val="18"/>
                <w:szCs w:val="18"/>
              </w:rPr>
              <w:t>Farm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89AC0D1" w14:textId="77777777" w:rsidR="00D04C28" w:rsidRDefault="00000000">
            <w:r>
              <w:rPr>
                <w:color w:val="1A1A1A"/>
                <w:sz w:val="18"/>
                <w:szCs w:val="18"/>
              </w:rPr>
              <w:t>80.7%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3E3F056" w14:textId="77777777" w:rsidR="00D04C28" w:rsidRDefault="00000000">
            <w:r>
              <w:rPr>
                <w:color w:val="1A1A1A"/>
                <w:sz w:val="18"/>
                <w:szCs w:val="18"/>
              </w:rPr>
              <w:t>-237,182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A87E7FC" w14:textId="77777777" w:rsidR="00D04C28" w:rsidRDefault="00D04C28"/>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ADB9918" w14:textId="77777777" w:rsidR="00D04C28" w:rsidRDefault="00000000">
            <w:r>
              <w:rPr>
                <w:color w:val="1A1A1A"/>
                <w:sz w:val="18"/>
                <w:szCs w:val="18"/>
              </w:rPr>
              <w:t>Rare but deep discounts</w:t>
            </w:r>
          </w:p>
        </w:tc>
      </w:tr>
      <w:tr w:rsidR="00D04C28" w14:paraId="25A65CE5"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01CB6F6" w14:textId="77777777" w:rsidR="00D04C28" w:rsidRDefault="00000000">
            <w:r>
              <w:rPr>
                <w:b/>
                <w:bCs/>
                <w:color w:val="1A1A1A"/>
                <w:sz w:val="18"/>
                <w:szCs w:val="18"/>
              </w:rPr>
              <w:t>Apartment</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8A3EE89" w14:textId="77777777" w:rsidR="00D04C28" w:rsidRDefault="00000000">
            <w:r>
              <w:rPr>
                <w:color w:val="1A1A1A"/>
                <w:sz w:val="18"/>
                <w:szCs w:val="18"/>
              </w:rPr>
              <w:t>69.1%</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402B849" w14:textId="77777777" w:rsidR="00D04C28" w:rsidRDefault="00000000">
            <w:r>
              <w:rPr>
                <w:color w:val="1A1A1A"/>
                <w:sz w:val="18"/>
                <w:szCs w:val="18"/>
              </w:rPr>
              <w:t>-104,608</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764C367" w14:textId="77777777" w:rsidR="00D04C28" w:rsidRDefault="00D04C28"/>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FA91C0F" w14:textId="77777777" w:rsidR="00D04C28" w:rsidRDefault="00000000">
            <w:r>
              <w:rPr>
                <w:color w:val="1A1A1A"/>
                <w:sz w:val="18"/>
                <w:szCs w:val="18"/>
              </w:rPr>
              <w:t>Urban demand keeps sellers firm</w:t>
            </w:r>
          </w:p>
        </w:tc>
      </w:tr>
      <w:tr w:rsidR="00D04C28" w14:paraId="499CC704"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A4670D0" w14:textId="77777777" w:rsidR="00D04C28" w:rsidRDefault="00000000">
            <w:r>
              <w:rPr>
                <w:b/>
                <w:bCs/>
                <w:color w:val="1A1A1A"/>
                <w:sz w:val="18"/>
                <w:szCs w:val="18"/>
              </w:rPr>
              <w:t>Townhouse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B62E188" w14:textId="77777777" w:rsidR="00D04C28" w:rsidRDefault="00000000">
            <w:r>
              <w:rPr>
                <w:color w:val="1A1A1A"/>
                <w:sz w:val="18"/>
                <w:szCs w:val="18"/>
              </w:rPr>
              <w:t>66.4%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B7315EB" w14:textId="77777777" w:rsidR="00D04C28" w:rsidRDefault="00000000">
            <w:r>
              <w:rPr>
                <w:color w:val="1A1A1A"/>
                <w:sz w:val="18"/>
                <w:szCs w:val="18"/>
              </w:rPr>
              <w:t>-100,377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91CA76C" w14:textId="77777777" w:rsidR="00D04C28" w:rsidRDefault="00D04C28"/>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B4FA5E9" w14:textId="77777777" w:rsidR="00D04C28" w:rsidRDefault="00000000">
            <w:r>
              <w:rPr>
                <w:color w:val="1A1A1A"/>
                <w:sz w:val="18"/>
                <w:szCs w:val="18"/>
              </w:rPr>
              <w:t>Moderate negotiation activity</w:t>
            </w:r>
          </w:p>
        </w:tc>
      </w:tr>
      <w:tr w:rsidR="00D04C28" w14:paraId="2685F948"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E8BC975" w14:textId="77777777" w:rsidR="00D04C28" w:rsidRDefault="00000000">
            <w:r>
              <w:rPr>
                <w:b/>
                <w:bCs/>
                <w:color w:val="1A1A1A"/>
                <w:sz w:val="18"/>
                <w:szCs w:val="18"/>
              </w:rPr>
              <w:t>Villa</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3BC61A5" w14:textId="77777777" w:rsidR="00D04C28" w:rsidRDefault="00000000">
            <w:r>
              <w:rPr>
                <w:color w:val="1A1A1A"/>
                <w:sz w:val="18"/>
                <w:szCs w:val="18"/>
              </w:rPr>
              <w:t>61.1%</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CFAF679" w14:textId="77777777" w:rsidR="00D04C28" w:rsidRDefault="00000000">
            <w:r>
              <w:rPr>
                <w:color w:val="1A1A1A"/>
                <w:sz w:val="18"/>
                <w:szCs w:val="18"/>
              </w:rPr>
              <w:t>-125,792</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2CE396D" w14:textId="77777777" w:rsidR="00D04C28" w:rsidRDefault="00D04C28"/>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C7DF0A7" w14:textId="77777777" w:rsidR="00D04C28" w:rsidRDefault="00000000">
            <w:r>
              <w:rPr>
                <w:color w:val="1A1A1A"/>
                <w:sz w:val="18"/>
                <w:szCs w:val="18"/>
              </w:rPr>
              <w:t>Active negotiation, large gaps</w:t>
            </w:r>
          </w:p>
        </w:tc>
      </w:tr>
      <w:tr w:rsidR="00D04C28" w14:paraId="0009E557"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CB904FC" w14:textId="77777777" w:rsidR="00D04C28" w:rsidRDefault="00000000">
            <w:r>
              <w:rPr>
                <w:b/>
                <w:bCs/>
                <w:color w:val="1A1A1A"/>
                <w:sz w:val="18"/>
                <w:szCs w:val="18"/>
              </w:rPr>
              <w:t>Summerhouse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10142D6" w14:textId="77777777" w:rsidR="00D04C28" w:rsidRDefault="00000000">
            <w:r>
              <w:rPr>
                <w:color w:val="1A1A1A"/>
                <w:sz w:val="18"/>
                <w:szCs w:val="18"/>
              </w:rPr>
              <w:t>59.6%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86DFF5C" w14:textId="77777777" w:rsidR="00D04C28" w:rsidRDefault="00000000">
            <w:r>
              <w:rPr>
                <w:color w:val="1A1A1A"/>
                <w:sz w:val="18"/>
                <w:szCs w:val="18"/>
              </w:rPr>
              <w:t>-94,530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EEA2A4F" w14:textId="77777777" w:rsidR="00D04C28" w:rsidRDefault="00D04C28"/>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8661A3F" w14:textId="77777777" w:rsidR="00D04C28" w:rsidRDefault="00000000">
            <w:r>
              <w:rPr>
                <w:color w:val="1A1A1A"/>
                <w:sz w:val="18"/>
                <w:szCs w:val="18"/>
              </w:rPr>
              <w:t>Most negotiated, smallest gaps</w:t>
            </w:r>
          </w:p>
        </w:tc>
      </w:tr>
    </w:tbl>
    <w:p w14:paraId="16AFF73A" w14:textId="77777777" w:rsidR="00D04C28" w:rsidRDefault="00D04C2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04C28" w14:paraId="4436337E" w14:textId="77777777">
        <w:tc>
          <w:tcPr>
            <w:tcW w:w="9360" w:type="dxa"/>
            <w:tcBorders>
              <w:top w:val="single" w:sz="4" w:space="0" w:color="8B0000"/>
              <w:left w:val="single" w:sz="4" w:space="0" w:color="8B0000"/>
              <w:bottom w:val="single" w:sz="1" w:space="0" w:color="CCCCCC"/>
              <w:right w:val="single" w:sz="1" w:space="0" w:color="CCCCCC"/>
            </w:tcBorders>
            <w:shd w:val="clear" w:color="auto" w:fill="FFF5F5"/>
            <w:tcMar>
              <w:top w:w="100" w:type="dxa"/>
              <w:left w:w="160" w:type="dxa"/>
              <w:bottom w:w="100" w:type="dxa"/>
              <w:right w:w="160" w:type="dxa"/>
            </w:tcMar>
          </w:tcPr>
          <w:p w14:paraId="77AC1D85" w14:textId="77777777" w:rsidR="00D04C28" w:rsidRDefault="00000000">
            <w:pPr>
              <w:spacing w:after="80"/>
            </w:pPr>
            <w:r>
              <w:rPr>
                <w:b/>
                <w:bCs/>
                <w:color w:val="8B0000"/>
                <w:sz w:val="21"/>
                <w:szCs w:val="21"/>
              </w:rPr>
              <w:t xml:space="preserve">🔍 Negotiation </w:t>
            </w:r>
            <w:proofErr w:type="spellStart"/>
            <w:r>
              <w:rPr>
                <w:b/>
                <w:bCs/>
                <w:color w:val="8B0000"/>
                <w:sz w:val="21"/>
                <w:szCs w:val="21"/>
              </w:rPr>
              <w:t>Behavior</w:t>
            </w:r>
            <w:proofErr w:type="spellEnd"/>
            <w:r>
              <w:rPr>
                <w:b/>
                <w:bCs/>
                <w:color w:val="8B0000"/>
                <w:sz w:val="21"/>
                <w:szCs w:val="21"/>
              </w:rPr>
              <w:t xml:space="preserve"> Insights</w:t>
            </w:r>
          </w:p>
          <w:p w14:paraId="20F580AE" w14:textId="77777777" w:rsidR="00D04C28" w:rsidRDefault="00000000">
            <w:pPr>
              <w:pStyle w:val="ListParagraph"/>
              <w:numPr>
                <w:ilvl w:val="0"/>
                <w:numId w:val="2"/>
              </w:numPr>
              <w:spacing w:before="40" w:after="40"/>
            </w:pPr>
            <w:r>
              <w:rPr>
                <w:color w:val="1A1A1A"/>
                <w:sz w:val="19"/>
                <w:szCs w:val="19"/>
              </w:rPr>
              <w:t>63.96% of all transactions (63,957 out of 99,989) have zero negotiation gap — sellers and buyers agree on the offer price outright.</w:t>
            </w:r>
          </w:p>
          <w:p w14:paraId="05566350" w14:textId="77777777" w:rsidR="00D04C28" w:rsidRDefault="00000000">
            <w:pPr>
              <w:pStyle w:val="ListParagraph"/>
              <w:numPr>
                <w:ilvl w:val="0"/>
                <w:numId w:val="2"/>
              </w:numPr>
              <w:spacing w:before="40" w:after="40"/>
            </w:pPr>
            <w:r>
              <w:rPr>
                <w:color w:val="1A1A1A"/>
                <w:sz w:val="19"/>
                <w:szCs w:val="19"/>
              </w:rPr>
              <w:t>Farms have the lowest negotiation frequency (80.7% zero-gap) but the largest average discount when negotiation occurs (DKK -237,182).</w:t>
            </w:r>
          </w:p>
          <w:p w14:paraId="5E2CAE35" w14:textId="77777777" w:rsidR="00D04C28" w:rsidRDefault="00000000">
            <w:pPr>
              <w:pStyle w:val="ListParagraph"/>
              <w:numPr>
                <w:ilvl w:val="0"/>
                <w:numId w:val="2"/>
              </w:numPr>
              <w:spacing w:before="40" w:after="40"/>
            </w:pPr>
            <w:r>
              <w:rPr>
                <w:color w:val="1A1A1A"/>
                <w:sz w:val="19"/>
                <w:szCs w:val="19"/>
              </w:rPr>
              <w:t>Summerhouse buyers are the most active negotiators (40.4% of transactions have a gap), though discount amounts are the smallest.</w:t>
            </w:r>
          </w:p>
          <w:p w14:paraId="7323FF4B" w14:textId="77777777" w:rsidR="00D04C28" w:rsidRDefault="00000000">
            <w:pPr>
              <w:pStyle w:val="ListParagraph"/>
              <w:numPr>
                <w:ilvl w:val="0"/>
                <w:numId w:val="2"/>
              </w:numPr>
              <w:spacing w:before="40" w:after="40"/>
            </w:pPr>
            <w:r>
              <w:rPr>
                <w:color w:val="1A1A1A"/>
                <w:sz w:val="19"/>
                <w:szCs w:val="19"/>
              </w:rPr>
              <w:t>The extreme left skew (skewness = -16.1) confirms rare but massive discounts drag the mean far below zero.</w:t>
            </w:r>
          </w:p>
          <w:p w14:paraId="4705CA7F" w14:textId="77777777" w:rsidR="00D04C28" w:rsidRDefault="00000000">
            <w:pPr>
              <w:pStyle w:val="ListParagraph"/>
              <w:numPr>
                <w:ilvl w:val="0"/>
                <w:numId w:val="2"/>
              </w:numPr>
              <w:spacing w:before="40" w:after="40"/>
            </w:pPr>
            <w:r>
              <w:rPr>
                <w:color w:val="1A1A1A"/>
                <w:sz w:val="19"/>
                <w:szCs w:val="19"/>
              </w:rPr>
              <w:t>Villas, despite dominating the market, see meaningful negotiation in ~39% of cases with substantial discounts averaging DKK -125,792.</w:t>
            </w:r>
          </w:p>
        </w:tc>
      </w:tr>
    </w:tbl>
    <w:p w14:paraId="6E623BF1" w14:textId="77777777" w:rsidR="00D04C28" w:rsidRDefault="00000000">
      <w:r>
        <w:br w:type="page"/>
      </w:r>
    </w:p>
    <w:p w14:paraId="49A27E37" w14:textId="77777777" w:rsidR="00D04C28" w:rsidRDefault="00000000">
      <w:pPr>
        <w:pStyle w:val="Heading1"/>
        <w:pBdr>
          <w:bottom w:val="single" w:sz="6" w:space="4" w:color="C0392B"/>
        </w:pBdr>
      </w:pPr>
      <w:r>
        <w:lastRenderedPageBreak/>
        <w:t>5. Data Analysis Using SQL (MySQL)</w:t>
      </w:r>
    </w:p>
    <w:p w14:paraId="79D0F2F2" w14:textId="77777777" w:rsidR="00D04C28" w:rsidRDefault="00000000">
      <w:pPr>
        <w:spacing w:before="60" w:after="100"/>
        <w:jc w:val="both"/>
      </w:pPr>
      <w:r>
        <w:rPr>
          <w:color w:val="1A1A1A"/>
        </w:rPr>
        <w:t xml:space="preserve">Eighteen targeted business questions were answered using structured SQL queries on the cleaned property sales dataset loaded into MySQL. Queries covered pricing trends, regional comparisons, interest rate impact, negotiation </w:t>
      </w:r>
      <w:proofErr w:type="spellStart"/>
      <w:r>
        <w:rPr>
          <w:color w:val="1A1A1A"/>
        </w:rPr>
        <w:t>behavior</w:t>
      </w:r>
      <w:proofErr w:type="spellEnd"/>
      <w:r>
        <w:rPr>
          <w:color w:val="1A1A1A"/>
        </w:rPr>
        <w:t>, and investment screening.</w:t>
      </w:r>
    </w:p>
    <w:p w14:paraId="60052E7D" w14:textId="77777777" w:rsidR="00D04C28" w:rsidRDefault="00D04C28">
      <w:pPr>
        <w:spacing w:after="80"/>
      </w:pPr>
    </w:p>
    <w:p w14:paraId="41D565ED" w14:textId="77777777" w:rsidR="00D04C28" w:rsidRDefault="00000000">
      <w:pPr>
        <w:pStyle w:val="Heading2"/>
      </w:pPr>
      <w:r>
        <w:t>5.1 Geographic &amp; Pricing Analysis</w:t>
      </w:r>
    </w:p>
    <w:p w14:paraId="32B3F9E2" w14:textId="77777777" w:rsidR="00D04C28" w:rsidRDefault="00000000">
      <w:pPr>
        <w:pStyle w:val="Heading3"/>
      </w:pPr>
      <w:r>
        <w:t>Q1 — Top 10 Cities by Average Purchase Price</w:t>
      </w:r>
    </w:p>
    <w:p w14:paraId="3D862333" w14:textId="77777777" w:rsidR="00D04C28" w:rsidRDefault="00000000">
      <w:pPr>
        <w:spacing w:before="60" w:after="100"/>
        <w:jc w:val="both"/>
      </w:pPr>
      <w:r>
        <w:rPr>
          <w:color w:val="1A1A1A"/>
        </w:rPr>
        <w:t xml:space="preserve">The query retrieved the 10 highest-valued cities by mean purchase price. The Power BI dashboard confirms Rungsted Kyst leads at DKK 6.1M average, followed by Nordhavn (6.0M), </w:t>
      </w:r>
      <w:proofErr w:type="spellStart"/>
      <w:r>
        <w:rPr>
          <w:color w:val="1A1A1A"/>
        </w:rPr>
        <w:t>Klampenborg</w:t>
      </w:r>
      <w:proofErr w:type="spellEnd"/>
      <w:r>
        <w:rPr>
          <w:color w:val="1A1A1A"/>
        </w:rPr>
        <w:t xml:space="preserve"> (6.0M), and Vedbæk (5.8M). All top cities are concentrated in the affluent North Zealand coastal area near Copenhagen.</w:t>
      </w:r>
    </w:p>
    <w:p w14:paraId="5E013C09" w14:textId="77777777" w:rsidR="00D04C28" w:rsidRDefault="00D04C28">
      <w:pPr>
        <w:spacing w:after="80"/>
      </w:pPr>
    </w:p>
    <w:p w14:paraId="7068FD4F" w14:textId="77777777" w:rsidR="00D04C28" w:rsidRDefault="00000000">
      <w:pPr>
        <w:pStyle w:val="Heading3"/>
      </w:pPr>
      <w:r>
        <w:t>Q2 — Average SQM Price by Region</w:t>
      </w:r>
    </w:p>
    <w:p w14:paraId="06CAA9F4" w14:textId="77777777" w:rsidR="00D04C28" w:rsidRDefault="00000000">
      <w:pPr>
        <w:spacing w:before="60" w:after="100"/>
        <w:jc w:val="both"/>
      </w:pPr>
      <w:r>
        <w:rPr>
          <w:color w:val="1A1A1A"/>
        </w:rPr>
        <w:t>Zealand commands the highest average SQM price among all regions, consistent with its role as the premium market. Jutland leads in raw volume but trails in per-square-meter valuation. The query confirms geographic price hierarchy across Denmark's four regions.</w:t>
      </w:r>
    </w:p>
    <w:p w14:paraId="27E698A2" w14:textId="77777777" w:rsidR="00D04C28" w:rsidRDefault="00D04C28">
      <w:pPr>
        <w:spacing w:after="80"/>
      </w:pPr>
    </w:p>
    <w:p w14:paraId="547A5205" w14:textId="77777777" w:rsidR="00D04C28" w:rsidRDefault="00000000">
      <w:pPr>
        <w:pStyle w:val="Heading2"/>
      </w:pPr>
      <w:r>
        <w:t>5.2 Temporal Trend Analysis</w:t>
      </w:r>
    </w:p>
    <w:p w14:paraId="73A97B7B" w14:textId="77777777" w:rsidR="00D04C28" w:rsidRDefault="00000000">
      <w:pPr>
        <w:pStyle w:val="Heading3"/>
      </w:pPr>
      <w:r>
        <w:t>Q3 — Average Purchase Price by Quarter &amp; Year</w:t>
      </w:r>
    </w:p>
    <w:p w14:paraId="47F30C94" w14:textId="77777777" w:rsidR="00D04C28" w:rsidRDefault="00000000">
      <w:pPr>
        <w:spacing w:before="120" w:after="120"/>
        <w:jc w:val="center"/>
      </w:pPr>
      <w:r>
        <w:rPr>
          <w:noProof/>
        </w:rPr>
        <w:lastRenderedPageBreak/>
        <w:drawing>
          <wp:inline distT="0" distB="0" distL="0" distR="0" wp14:anchorId="4DF51114" wp14:editId="4D9D1B75">
            <wp:extent cx="2857500" cy="4095750"/>
            <wp:effectExtent l="0" t="0" r="0" b="0"/>
            <wp:docPr id="1432191596" name="Picture 1432191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857500" cy="4095750"/>
                    </a:xfrm>
                    <a:prstGeom prst="rect">
                      <a:avLst/>
                    </a:prstGeom>
                  </pic:spPr>
                </pic:pic>
              </a:graphicData>
            </a:graphic>
          </wp:inline>
        </w:drawing>
      </w:r>
    </w:p>
    <w:p w14:paraId="52365D03" w14:textId="77777777" w:rsidR="00D04C28" w:rsidRDefault="00000000">
      <w:pPr>
        <w:spacing w:before="40" w:after="160"/>
        <w:jc w:val="center"/>
      </w:pPr>
      <w:r>
        <w:rPr>
          <w:i/>
          <w:iCs/>
          <w:color w:val="555555"/>
          <w:sz w:val="18"/>
          <w:szCs w:val="18"/>
        </w:rPr>
        <w:t>Figure 9: Quarterly average purchase price trend (partial view) — prices in recent years (2019–2024) range DKK 2.1M to 2.7M with consistent seasonal patterns</w:t>
      </w:r>
    </w:p>
    <w:p w14:paraId="0A9B0E5D" w14:textId="77777777" w:rsidR="00D04C28" w:rsidRDefault="00D04C28">
      <w:pPr>
        <w:spacing w:after="80"/>
      </w:pPr>
    </w:p>
    <w:p w14:paraId="7982CA31" w14:textId="77777777" w:rsidR="00D04C28" w:rsidRDefault="00000000">
      <w:pPr>
        <w:spacing w:before="60" w:after="100"/>
        <w:jc w:val="both"/>
      </w:pPr>
      <w:r>
        <w:rPr>
          <w:color w:val="1A1A1A"/>
        </w:rPr>
        <w:t>The data shows consistent upward price movement over the analysis period. Recent years (2020–2024) show average prices between DKK 2.1M and DKK 2.7M. Q1 2022 stands as one of the highest averages at DKK 2.68M, before moderating in 2023–24 as interest rates rose sharply.</w:t>
      </w:r>
    </w:p>
    <w:p w14:paraId="2993B3C9" w14:textId="77777777" w:rsidR="00D04C28" w:rsidRDefault="00D04C28">
      <w:pPr>
        <w:spacing w:after="80"/>
      </w:pPr>
    </w:p>
    <w:p w14:paraId="2264F4C5" w14:textId="77777777" w:rsidR="00D04C28" w:rsidRDefault="00000000">
      <w:pPr>
        <w:pStyle w:val="Heading3"/>
      </w:pPr>
      <w:r>
        <w:t>Q4 — Highest Sales Volume by Quarter</w:t>
      </w:r>
    </w:p>
    <w:p w14:paraId="160EFFBD" w14:textId="77777777" w:rsidR="00D04C28" w:rsidRDefault="00000000">
      <w:pPr>
        <w:spacing w:before="120" w:after="120"/>
        <w:jc w:val="center"/>
      </w:pPr>
      <w:r>
        <w:rPr>
          <w:noProof/>
        </w:rPr>
        <w:lastRenderedPageBreak/>
        <w:drawing>
          <wp:inline distT="0" distB="0" distL="0" distR="0" wp14:anchorId="1F3346A0" wp14:editId="0D2929EA">
            <wp:extent cx="2667000" cy="4095750"/>
            <wp:effectExtent l="0" t="0" r="0" b="0"/>
            <wp:docPr id="698540278" name="Picture 698540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667000" cy="4095750"/>
                    </a:xfrm>
                    <a:prstGeom prst="rect">
                      <a:avLst/>
                    </a:prstGeom>
                  </pic:spPr>
                </pic:pic>
              </a:graphicData>
            </a:graphic>
          </wp:inline>
        </w:drawing>
      </w:r>
    </w:p>
    <w:p w14:paraId="5875A4CA" w14:textId="77777777" w:rsidR="00D04C28" w:rsidRDefault="00000000">
      <w:pPr>
        <w:spacing w:before="40" w:after="160"/>
        <w:jc w:val="center"/>
      </w:pPr>
      <w:r>
        <w:rPr>
          <w:i/>
          <w:iCs/>
          <w:color w:val="555555"/>
          <w:sz w:val="18"/>
          <w:szCs w:val="18"/>
        </w:rPr>
        <w:t>Figure 10: Sale volume by quarter — 2021 Q1 and Q2 show peak volumes, coinciding with the post-pandemic property boom in Denmark</w:t>
      </w:r>
    </w:p>
    <w:p w14:paraId="343FBCE3" w14:textId="77777777" w:rsidR="00D04C28" w:rsidRDefault="00D04C2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04C28" w14:paraId="493873B4" w14:textId="77777777">
        <w:tc>
          <w:tcPr>
            <w:tcW w:w="9360" w:type="dxa"/>
            <w:tcBorders>
              <w:top w:val="single" w:sz="4" w:space="0" w:color="8B0000"/>
              <w:left w:val="single" w:sz="4" w:space="0" w:color="8B0000"/>
              <w:bottom w:val="single" w:sz="1" w:space="0" w:color="CCCCCC"/>
              <w:right w:val="single" w:sz="1" w:space="0" w:color="CCCCCC"/>
            </w:tcBorders>
            <w:shd w:val="clear" w:color="auto" w:fill="FFF5F5"/>
            <w:tcMar>
              <w:top w:w="100" w:type="dxa"/>
              <w:left w:w="160" w:type="dxa"/>
              <w:bottom w:w="100" w:type="dxa"/>
              <w:right w:w="160" w:type="dxa"/>
            </w:tcMar>
          </w:tcPr>
          <w:p w14:paraId="0C3E32B3" w14:textId="77777777" w:rsidR="00D04C28" w:rsidRDefault="00000000">
            <w:pPr>
              <w:spacing w:after="80"/>
            </w:pPr>
            <w:r>
              <w:rPr>
                <w:b/>
                <w:bCs/>
                <w:color w:val="8B0000"/>
                <w:sz w:val="21"/>
                <w:szCs w:val="21"/>
              </w:rPr>
              <w:t>🔍 Temporal Trend Insights</w:t>
            </w:r>
          </w:p>
          <w:p w14:paraId="492BB586" w14:textId="77777777" w:rsidR="00D04C28" w:rsidRDefault="00000000">
            <w:pPr>
              <w:pStyle w:val="ListParagraph"/>
              <w:numPr>
                <w:ilvl w:val="0"/>
                <w:numId w:val="2"/>
              </w:numPr>
              <w:spacing w:before="40" w:after="40"/>
            </w:pPr>
            <w:r>
              <w:rPr>
                <w:color w:val="1A1A1A"/>
                <w:sz w:val="19"/>
                <w:szCs w:val="19"/>
              </w:rPr>
              <w:t>2021 Q1 recorded the highest single-quarter sale volume (2,263 transactions, DKK 5.9Bn) — driven by post-pandemic demand surge and historically low interest rates.</w:t>
            </w:r>
          </w:p>
          <w:p w14:paraId="2CDFADDF" w14:textId="77777777" w:rsidR="00D04C28" w:rsidRDefault="00000000">
            <w:pPr>
              <w:pStyle w:val="ListParagraph"/>
              <w:numPr>
                <w:ilvl w:val="0"/>
                <w:numId w:val="2"/>
              </w:numPr>
              <w:spacing w:before="40" w:after="40"/>
            </w:pPr>
            <w:r>
              <w:rPr>
                <w:color w:val="1A1A1A"/>
                <w:sz w:val="19"/>
                <w:szCs w:val="19"/>
              </w:rPr>
              <w:t>Prices showed steady growth from 1992 through 2022, with the most aggressive appreciation between 2010 and 2022.</w:t>
            </w:r>
          </w:p>
          <w:p w14:paraId="1C1E15D6" w14:textId="77777777" w:rsidR="00D04C28" w:rsidRDefault="00000000">
            <w:pPr>
              <w:pStyle w:val="ListParagraph"/>
              <w:numPr>
                <w:ilvl w:val="0"/>
                <w:numId w:val="2"/>
              </w:numPr>
              <w:spacing w:before="40" w:after="40"/>
            </w:pPr>
            <w:r>
              <w:rPr>
                <w:color w:val="1A1A1A"/>
                <w:sz w:val="19"/>
                <w:szCs w:val="19"/>
              </w:rPr>
              <w:t>2023 and 2024 saw moderation in both price growth and volume, consistent with rising real interest rates in this period.</w:t>
            </w:r>
          </w:p>
        </w:tc>
      </w:tr>
    </w:tbl>
    <w:p w14:paraId="15BBACBD" w14:textId="77777777" w:rsidR="00D04C28" w:rsidRDefault="00D04C28">
      <w:pPr>
        <w:spacing w:after="80"/>
      </w:pPr>
    </w:p>
    <w:p w14:paraId="5BDE9B29" w14:textId="77777777" w:rsidR="00D04C28" w:rsidRDefault="00000000">
      <w:pPr>
        <w:pStyle w:val="Heading2"/>
      </w:pPr>
      <w:r>
        <w:t>5.3 Property Characteristics Analysis</w:t>
      </w:r>
    </w:p>
    <w:p w14:paraId="05F35F32" w14:textId="77777777" w:rsidR="00D04C28" w:rsidRDefault="00000000">
      <w:pPr>
        <w:pStyle w:val="Heading3"/>
      </w:pPr>
      <w:r>
        <w:t>Q5 — House Type with Highest Average Purchase Price</w:t>
      </w:r>
    </w:p>
    <w:p w14:paraId="6497B8D5" w14:textId="77777777" w:rsidR="00D04C28" w:rsidRDefault="00000000">
      <w:pPr>
        <w:spacing w:before="60" w:after="100"/>
        <w:jc w:val="both"/>
      </w:pPr>
      <w:r>
        <w:rPr>
          <w:color w:val="1A1A1A"/>
        </w:rPr>
        <w:t>Farms rank as the highest-priced property type by average purchase price (DKK 2.74M), despite having the lowest SQM price. This reflects large land parcels and the overall size of farm estates. However, the mean is skewed by a small number of exceptionally expensive agricultural properties.</w:t>
      </w:r>
    </w:p>
    <w:p w14:paraId="2B9AC202" w14:textId="77777777" w:rsidR="00D04C28" w:rsidRDefault="00D04C28">
      <w:pPr>
        <w:spacing w:after="80"/>
      </w:pPr>
    </w:p>
    <w:p w14:paraId="6B119F84" w14:textId="77777777" w:rsidR="00D04C28" w:rsidRDefault="00000000">
      <w:pPr>
        <w:pStyle w:val="Heading3"/>
      </w:pPr>
      <w:r>
        <w:t>Q6 — Number of Rooms vs. Average Price</w:t>
      </w:r>
    </w:p>
    <w:p w14:paraId="1E216E29" w14:textId="77777777" w:rsidR="00D04C28" w:rsidRDefault="00000000">
      <w:pPr>
        <w:spacing w:before="60" w:after="100"/>
        <w:jc w:val="both"/>
      </w:pPr>
      <w:r>
        <w:rPr>
          <w:color w:val="1A1A1A"/>
        </w:rPr>
        <w:lastRenderedPageBreak/>
        <w:t>A near-linear positive relationship exists between room count and average purchase price, as confirmed by the Power BI chart. Properties with 15+ rooms reach average prices above DKK 6M, while 1-2 room properties average around DKK 1.5–1.8M. This validates room count as a reliable price predictor.</w:t>
      </w:r>
    </w:p>
    <w:p w14:paraId="038BE142" w14:textId="77777777" w:rsidR="00D04C28" w:rsidRDefault="00D04C28">
      <w:pPr>
        <w:spacing w:after="80"/>
      </w:pPr>
    </w:p>
    <w:p w14:paraId="284D4398" w14:textId="77777777" w:rsidR="00D04C28" w:rsidRDefault="00000000">
      <w:pPr>
        <w:pStyle w:val="Heading3"/>
      </w:pPr>
      <w:r>
        <w:t>Q7 &amp; Q9 — Build Era and SQM Price</w:t>
      </w:r>
    </w:p>
    <w:p w14:paraId="3726F4E9" w14:textId="77777777" w:rsidR="00D04C28" w:rsidRDefault="00000000">
      <w:pPr>
        <w:spacing w:before="120" w:after="120"/>
        <w:jc w:val="center"/>
      </w:pPr>
      <w:r>
        <w:rPr>
          <w:noProof/>
        </w:rPr>
        <w:drawing>
          <wp:inline distT="0" distB="0" distL="0" distR="0" wp14:anchorId="7F39BBEA" wp14:editId="64EAEBE7">
            <wp:extent cx="4286250" cy="5143500"/>
            <wp:effectExtent l="0" t="0" r="0" b="0"/>
            <wp:docPr id="364730699" name="Picture 364730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286250" cy="5143500"/>
                    </a:xfrm>
                    <a:prstGeom prst="rect">
                      <a:avLst/>
                    </a:prstGeom>
                  </pic:spPr>
                </pic:pic>
              </a:graphicData>
            </a:graphic>
          </wp:inline>
        </w:drawing>
      </w:r>
    </w:p>
    <w:p w14:paraId="6C8E6E8D" w14:textId="77777777" w:rsidR="00D04C28" w:rsidRDefault="00000000">
      <w:pPr>
        <w:spacing w:before="40" w:after="160"/>
        <w:jc w:val="center"/>
      </w:pPr>
      <w:r>
        <w:rPr>
          <w:i/>
          <w:iCs/>
          <w:color w:val="555555"/>
          <w:sz w:val="18"/>
          <w:szCs w:val="18"/>
        </w:rPr>
        <w:t>Figure 11: Average SQM price by build era and house type — Apartments consistently command higher SQM prices across all eras; 2000s and Modern eras show premiums</w:t>
      </w:r>
    </w:p>
    <w:p w14:paraId="2F34043F" w14:textId="77777777" w:rsidR="00D04C28" w:rsidRDefault="00D04C2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04C28" w14:paraId="5CD1A920" w14:textId="77777777">
        <w:tc>
          <w:tcPr>
            <w:tcW w:w="9360" w:type="dxa"/>
            <w:tcBorders>
              <w:top w:val="single" w:sz="4" w:space="0" w:color="8B0000"/>
              <w:left w:val="single" w:sz="4" w:space="0" w:color="8B0000"/>
              <w:bottom w:val="single" w:sz="1" w:space="0" w:color="CCCCCC"/>
              <w:right w:val="single" w:sz="1" w:space="0" w:color="CCCCCC"/>
            </w:tcBorders>
            <w:shd w:val="clear" w:color="auto" w:fill="FFF5F5"/>
            <w:tcMar>
              <w:top w:w="100" w:type="dxa"/>
              <w:left w:w="160" w:type="dxa"/>
              <w:bottom w:w="100" w:type="dxa"/>
              <w:right w:w="160" w:type="dxa"/>
            </w:tcMar>
          </w:tcPr>
          <w:p w14:paraId="7993A373" w14:textId="77777777" w:rsidR="00D04C28" w:rsidRDefault="00000000">
            <w:pPr>
              <w:spacing w:after="80"/>
            </w:pPr>
            <w:r>
              <w:rPr>
                <w:b/>
                <w:bCs/>
                <w:color w:val="8B0000"/>
                <w:sz w:val="21"/>
                <w:szCs w:val="21"/>
              </w:rPr>
              <w:t>🔍 Build Era &amp; Type Cross-Analysis Insights</w:t>
            </w:r>
          </w:p>
          <w:p w14:paraId="2FF26651" w14:textId="77777777" w:rsidR="00D04C28" w:rsidRDefault="00000000">
            <w:pPr>
              <w:pStyle w:val="ListParagraph"/>
              <w:numPr>
                <w:ilvl w:val="0"/>
                <w:numId w:val="2"/>
              </w:numPr>
              <w:spacing w:before="40" w:after="40"/>
            </w:pPr>
            <w:r>
              <w:rPr>
                <w:color w:val="1A1A1A"/>
                <w:sz w:val="19"/>
                <w:szCs w:val="19"/>
              </w:rPr>
              <w:t>Across every build era, Apartments consistently hold the highest SQM price — peaking at DKK 31,425/m² for 2000s-built apartments.</w:t>
            </w:r>
          </w:p>
          <w:p w14:paraId="014C0EDE" w14:textId="77777777" w:rsidR="00D04C28" w:rsidRDefault="00000000">
            <w:pPr>
              <w:pStyle w:val="ListParagraph"/>
              <w:numPr>
                <w:ilvl w:val="0"/>
                <w:numId w:val="2"/>
              </w:numPr>
              <w:spacing w:before="40" w:after="40"/>
            </w:pPr>
            <w:r>
              <w:rPr>
                <w:color w:val="1A1A1A"/>
                <w:sz w:val="19"/>
                <w:szCs w:val="19"/>
              </w:rPr>
              <w:t>Modern-era Villas (DKK ~15,000/m²) and Townhouses (DKK ~20,000/m²) are the best-performing non-apartment segments.</w:t>
            </w:r>
          </w:p>
          <w:p w14:paraId="5DE2FB2A" w14:textId="77777777" w:rsidR="00D04C28" w:rsidRDefault="00000000">
            <w:pPr>
              <w:pStyle w:val="ListParagraph"/>
              <w:numPr>
                <w:ilvl w:val="0"/>
                <w:numId w:val="2"/>
              </w:numPr>
              <w:spacing w:before="40" w:after="40"/>
            </w:pPr>
            <w:r>
              <w:rPr>
                <w:color w:val="1A1A1A"/>
                <w:sz w:val="19"/>
                <w:szCs w:val="19"/>
              </w:rPr>
              <w:t>Farm SQM prices remain low across all eras (DKK 9,000–16,000/m²), reinforcing that farm value lies in land area, not SQM price.</w:t>
            </w:r>
          </w:p>
          <w:p w14:paraId="67CA7404" w14:textId="77777777" w:rsidR="00D04C28" w:rsidRDefault="00000000">
            <w:pPr>
              <w:pStyle w:val="ListParagraph"/>
              <w:numPr>
                <w:ilvl w:val="0"/>
                <w:numId w:val="2"/>
              </w:numPr>
              <w:spacing w:before="40" w:after="40"/>
            </w:pPr>
            <w:r>
              <w:rPr>
                <w:color w:val="1A1A1A"/>
                <w:sz w:val="19"/>
                <w:szCs w:val="19"/>
              </w:rPr>
              <w:lastRenderedPageBreak/>
              <w:t>80-90s builds show a value dip across types — suggesting structural or maintenance issues that buyers discount for.</w:t>
            </w:r>
          </w:p>
        </w:tc>
      </w:tr>
    </w:tbl>
    <w:p w14:paraId="72520B23" w14:textId="77777777" w:rsidR="00D04C28" w:rsidRDefault="00D04C28">
      <w:pPr>
        <w:spacing w:after="80"/>
      </w:pPr>
    </w:p>
    <w:p w14:paraId="508227BD" w14:textId="77777777" w:rsidR="00D04C28" w:rsidRDefault="00000000">
      <w:pPr>
        <w:pStyle w:val="Heading3"/>
      </w:pPr>
      <w:r>
        <w:t>Q8 — City with Largest Villas</w:t>
      </w:r>
    </w:p>
    <w:p w14:paraId="2C3B5866" w14:textId="77777777" w:rsidR="00D04C28" w:rsidRDefault="00000000">
      <w:pPr>
        <w:spacing w:before="60" w:after="100"/>
        <w:jc w:val="both"/>
      </w:pPr>
      <w:r>
        <w:rPr>
          <w:color w:val="1A1A1A"/>
        </w:rPr>
        <w:t>SQL analysis identifies the city with the highest average SQM for villas, highlighting which markets have the largest villa properties — useful for investors targeting premium-size villa segments.</w:t>
      </w:r>
    </w:p>
    <w:p w14:paraId="7BBB199E" w14:textId="77777777" w:rsidR="00D04C28" w:rsidRDefault="00D04C28">
      <w:pPr>
        <w:spacing w:after="80"/>
      </w:pPr>
    </w:p>
    <w:p w14:paraId="53D2B710" w14:textId="77777777" w:rsidR="00D04C28" w:rsidRDefault="00000000">
      <w:pPr>
        <w:pStyle w:val="Heading2"/>
      </w:pPr>
      <w:r>
        <w:t>5.4 Economic &amp; Macro Analysis</w:t>
      </w:r>
    </w:p>
    <w:p w14:paraId="55C5B39B" w14:textId="77777777" w:rsidR="00D04C28" w:rsidRDefault="00000000">
      <w:pPr>
        <w:pStyle w:val="Heading3"/>
      </w:pPr>
      <w:r>
        <w:t>Q10 — Nominal Interest Rate vs. Average Purchase Price</w:t>
      </w:r>
    </w:p>
    <w:p w14:paraId="1C883680" w14:textId="77777777" w:rsidR="00D04C28" w:rsidRDefault="00000000">
      <w:pPr>
        <w:spacing w:before="120" w:after="120"/>
        <w:jc w:val="center"/>
      </w:pPr>
      <w:r>
        <w:rPr>
          <w:noProof/>
        </w:rPr>
        <w:drawing>
          <wp:inline distT="0" distB="0" distL="0" distR="0" wp14:anchorId="2368EC57" wp14:editId="0B3F7CE8">
            <wp:extent cx="4762500" cy="4095750"/>
            <wp:effectExtent l="0" t="0" r="0" b="0"/>
            <wp:docPr id="1821070326" name="Picture 1821070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62500" cy="4095750"/>
                    </a:xfrm>
                    <a:prstGeom prst="rect">
                      <a:avLst/>
                    </a:prstGeom>
                  </pic:spPr>
                </pic:pic>
              </a:graphicData>
            </a:graphic>
          </wp:inline>
        </w:drawing>
      </w:r>
    </w:p>
    <w:p w14:paraId="309F8346" w14:textId="77777777" w:rsidR="00D04C28" w:rsidRDefault="00000000">
      <w:pPr>
        <w:spacing w:before="40" w:after="160"/>
        <w:jc w:val="center"/>
      </w:pPr>
      <w:r>
        <w:rPr>
          <w:i/>
          <w:iCs/>
          <w:color w:val="555555"/>
          <w:sz w:val="18"/>
          <w:szCs w:val="18"/>
        </w:rPr>
        <w:t>Figure 12: Nominal interest rate vs. average purchase price (1992–1998 shown) — early 1990s show high interest rates (9.5%) with relatively low property prices, confirming inverse relationship</w:t>
      </w:r>
    </w:p>
    <w:p w14:paraId="727BE5CD" w14:textId="77777777" w:rsidR="00D04C28" w:rsidRDefault="00D04C28">
      <w:pPr>
        <w:spacing w:after="80"/>
      </w:pPr>
    </w:p>
    <w:p w14:paraId="162BCD5B" w14:textId="77777777" w:rsidR="00D04C28" w:rsidRDefault="00000000">
      <w:pPr>
        <w:spacing w:before="60" w:after="100"/>
        <w:jc w:val="both"/>
      </w:pPr>
      <w:r>
        <w:rPr>
          <w:color w:val="1A1A1A"/>
        </w:rPr>
        <w:t>The data clearly shows that as nominal interest rates fell from 9.5% in 1992 toward 3.25% by the late 1990s, average purchase prices rose from around DKK 820K to DKK 1.05M. This inverse relationship holds throughout the full dataset, with the lowest rates in 2020–21 coinciding with price peaks.</w:t>
      </w:r>
    </w:p>
    <w:p w14:paraId="2971D47B" w14:textId="77777777" w:rsidR="00D04C28" w:rsidRDefault="00D04C28">
      <w:pPr>
        <w:spacing w:after="80"/>
      </w:pPr>
    </w:p>
    <w:p w14:paraId="0EF143E9" w14:textId="77777777" w:rsidR="00D04C28" w:rsidRDefault="00000000">
      <w:pPr>
        <w:pStyle w:val="Heading3"/>
      </w:pPr>
      <w:r>
        <w:t>Q11 — Real Interest Rate vs. SQM Price</w:t>
      </w:r>
    </w:p>
    <w:p w14:paraId="58C6F139" w14:textId="77777777" w:rsidR="00D04C28" w:rsidRDefault="00000000">
      <w:pPr>
        <w:spacing w:before="120" w:after="120"/>
        <w:jc w:val="center"/>
      </w:pPr>
      <w:r>
        <w:rPr>
          <w:noProof/>
        </w:rPr>
        <w:lastRenderedPageBreak/>
        <w:drawing>
          <wp:inline distT="0" distB="0" distL="0" distR="0" wp14:anchorId="1DA785B5" wp14:editId="3EC137C9">
            <wp:extent cx="4572000" cy="3238500"/>
            <wp:effectExtent l="0" t="0" r="0" b="0"/>
            <wp:docPr id="938455323" name="Picture 938455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72000" cy="3238500"/>
                    </a:xfrm>
                    <a:prstGeom prst="rect">
                      <a:avLst/>
                    </a:prstGeom>
                  </pic:spPr>
                </pic:pic>
              </a:graphicData>
            </a:graphic>
          </wp:inline>
        </w:drawing>
      </w:r>
    </w:p>
    <w:p w14:paraId="6320FEA8" w14:textId="77777777" w:rsidR="00D04C28" w:rsidRDefault="00000000">
      <w:pPr>
        <w:spacing w:before="40" w:after="160"/>
        <w:jc w:val="center"/>
      </w:pPr>
      <w:r>
        <w:rPr>
          <w:i/>
          <w:iCs/>
          <w:color w:val="555555"/>
          <w:sz w:val="18"/>
          <w:szCs w:val="18"/>
        </w:rPr>
        <w:t>Figure 13: Real interest rate vs. average SQM price by quarter (2020–2024) — negative real rates in 2022 coincide with peak SQM prices; as real rates turned positive in 2023, SQM growth moderated</w:t>
      </w:r>
    </w:p>
    <w:p w14:paraId="03D662E7" w14:textId="77777777" w:rsidR="00D04C28" w:rsidRDefault="00D04C2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04C28" w14:paraId="27E8474E" w14:textId="77777777">
        <w:tc>
          <w:tcPr>
            <w:tcW w:w="9360" w:type="dxa"/>
            <w:tcBorders>
              <w:top w:val="single" w:sz="4" w:space="0" w:color="8B0000"/>
              <w:left w:val="single" w:sz="4" w:space="0" w:color="8B0000"/>
              <w:bottom w:val="single" w:sz="1" w:space="0" w:color="CCCCCC"/>
              <w:right w:val="single" w:sz="1" w:space="0" w:color="CCCCCC"/>
            </w:tcBorders>
            <w:shd w:val="clear" w:color="auto" w:fill="FFF5F5"/>
            <w:tcMar>
              <w:top w:w="100" w:type="dxa"/>
              <w:left w:w="160" w:type="dxa"/>
              <w:bottom w:w="100" w:type="dxa"/>
              <w:right w:w="160" w:type="dxa"/>
            </w:tcMar>
          </w:tcPr>
          <w:p w14:paraId="529CF2A9" w14:textId="77777777" w:rsidR="00D04C28" w:rsidRDefault="00000000">
            <w:pPr>
              <w:spacing w:after="80"/>
            </w:pPr>
            <w:r>
              <w:rPr>
                <w:b/>
                <w:bCs/>
                <w:color w:val="8B0000"/>
                <w:sz w:val="21"/>
                <w:szCs w:val="21"/>
              </w:rPr>
              <w:t>🔍 Interest Rate Impact Insights</w:t>
            </w:r>
          </w:p>
          <w:p w14:paraId="6A1626D1" w14:textId="77777777" w:rsidR="00D04C28" w:rsidRDefault="00000000">
            <w:pPr>
              <w:pStyle w:val="ListParagraph"/>
              <w:numPr>
                <w:ilvl w:val="0"/>
                <w:numId w:val="2"/>
              </w:numPr>
              <w:spacing w:before="40" w:after="40"/>
            </w:pPr>
            <w:r>
              <w:rPr>
                <w:color w:val="1A1A1A"/>
                <w:sz w:val="19"/>
                <w:szCs w:val="19"/>
              </w:rPr>
              <w:t>A clear inverse relationship exists between interest rates and property prices — lower rates accelerate price growth, higher rates compress it.</w:t>
            </w:r>
          </w:p>
          <w:p w14:paraId="6EDC0F91" w14:textId="77777777" w:rsidR="00D04C28" w:rsidRDefault="00000000">
            <w:pPr>
              <w:pStyle w:val="ListParagraph"/>
              <w:numPr>
                <w:ilvl w:val="0"/>
                <w:numId w:val="2"/>
              </w:numPr>
              <w:spacing w:before="40" w:after="40"/>
            </w:pPr>
            <w:r>
              <w:rPr>
                <w:color w:val="1A1A1A"/>
                <w:sz w:val="19"/>
                <w:szCs w:val="19"/>
              </w:rPr>
              <w:t>The 2022 period of sharply negative real interest rates (nominal rate &lt; inflation) was a major driver of the 2021-22 price surge.</w:t>
            </w:r>
          </w:p>
          <w:p w14:paraId="0B4E203F" w14:textId="77777777" w:rsidR="00D04C28" w:rsidRDefault="00000000">
            <w:pPr>
              <w:pStyle w:val="ListParagraph"/>
              <w:numPr>
                <w:ilvl w:val="0"/>
                <w:numId w:val="2"/>
              </w:numPr>
              <w:spacing w:before="40" w:after="40"/>
            </w:pPr>
            <w:r>
              <w:rPr>
                <w:color w:val="1A1A1A"/>
                <w:sz w:val="19"/>
                <w:szCs w:val="19"/>
              </w:rPr>
              <w:t>As real interest rates turned positive in 2023-24 (reaching 1.28% by Q4 2024), SQM price growth plateaued at DKK ~22,000–22,500/m².</w:t>
            </w:r>
          </w:p>
          <w:p w14:paraId="4F37BA06" w14:textId="77777777" w:rsidR="00D04C28" w:rsidRDefault="00000000">
            <w:pPr>
              <w:pStyle w:val="ListParagraph"/>
              <w:numPr>
                <w:ilvl w:val="0"/>
                <w:numId w:val="2"/>
              </w:numPr>
              <w:spacing w:before="40" w:after="40"/>
            </w:pPr>
            <w:r>
              <w:rPr>
                <w:color w:val="1A1A1A"/>
                <w:sz w:val="19"/>
                <w:szCs w:val="19"/>
              </w:rPr>
              <w:t>This relationship is critical for investment timing: periods of low-to-negative real rates are historically associated with price acceleration.</w:t>
            </w:r>
          </w:p>
        </w:tc>
      </w:tr>
    </w:tbl>
    <w:p w14:paraId="15044DFC" w14:textId="77777777" w:rsidR="00D04C28" w:rsidRDefault="00D04C28">
      <w:pPr>
        <w:spacing w:after="80"/>
      </w:pPr>
    </w:p>
    <w:p w14:paraId="61307D6F" w14:textId="77777777" w:rsidR="00D04C28" w:rsidRDefault="00000000">
      <w:pPr>
        <w:pStyle w:val="Heading3"/>
      </w:pPr>
      <w:r>
        <w:t>Q12 — Inflation Regimes vs. Property Prices</w:t>
      </w:r>
    </w:p>
    <w:p w14:paraId="1C48F0B4" w14:textId="77777777" w:rsidR="00D04C28" w:rsidRDefault="00000000">
      <w:pPr>
        <w:spacing w:before="60" w:after="100"/>
        <w:jc w:val="both"/>
      </w:pPr>
      <w:r>
        <w:rPr>
          <w:color w:val="1A1A1A"/>
        </w:rPr>
        <w:t>The SQL analysis categorized transactions into three inflation regimes. High inflation periods (above 3%) are associated with strong purchase price levels as property is used as an inflation hedge. However, analysis is partial as the output covers a subset of data — full conclusions require the complete dataset view.</w:t>
      </w:r>
    </w:p>
    <w:p w14:paraId="3546FA04" w14:textId="77777777" w:rsidR="00D04C28" w:rsidRDefault="00D04C28">
      <w:pPr>
        <w:spacing w:after="80"/>
      </w:pPr>
    </w:p>
    <w:p w14:paraId="7EF23002" w14:textId="77777777" w:rsidR="00D04C28" w:rsidRDefault="00000000">
      <w:pPr>
        <w:pStyle w:val="Heading2"/>
      </w:pPr>
      <w:r>
        <w:t>5.5 Negotiation &amp; Pricing Gap Analysis</w:t>
      </w:r>
    </w:p>
    <w:p w14:paraId="2C28C4A6" w14:textId="77777777" w:rsidR="00D04C28" w:rsidRDefault="00000000">
      <w:pPr>
        <w:pStyle w:val="Heading3"/>
      </w:pPr>
      <w:r>
        <w:t>Q13 — Offer-to-Purchase Discount by Region</w:t>
      </w:r>
    </w:p>
    <w:p w14:paraId="330CDAF7" w14:textId="77777777" w:rsidR="00D04C28" w:rsidRDefault="00000000">
      <w:pPr>
        <w:spacing w:before="60" w:after="100"/>
        <w:jc w:val="both"/>
      </w:pPr>
      <w:r>
        <w:rPr>
          <w:color w:val="1A1A1A"/>
        </w:rPr>
        <w:t>Average offer-to-purchase discount percentages vary by region. The Power BI dashboard shows Zealand buyers negotiate the largest absolute gap (</w:t>
      </w:r>
      <w:proofErr w:type="spellStart"/>
      <w:r>
        <w:rPr>
          <w:color w:val="1A1A1A"/>
        </w:rPr>
        <w:t>avg</w:t>
      </w:r>
      <w:proofErr w:type="spellEnd"/>
      <w:r>
        <w:rPr>
          <w:color w:val="1A1A1A"/>
        </w:rPr>
        <w:t xml:space="preserve"> -DKK 55K), followed by Fyn &amp; Islands (-DKK 39K), Jutland (-DKK 34K), and Bornholm (-DKK 19K). Higher-value markets see larger absolute negotiation gaps.</w:t>
      </w:r>
    </w:p>
    <w:p w14:paraId="0F38F439" w14:textId="77777777" w:rsidR="00D04C28" w:rsidRDefault="00D04C28">
      <w:pPr>
        <w:spacing w:after="80"/>
      </w:pPr>
    </w:p>
    <w:p w14:paraId="16FDF4EB" w14:textId="77777777" w:rsidR="00D04C28" w:rsidRDefault="00000000">
      <w:pPr>
        <w:pStyle w:val="Heading3"/>
      </w:pPr>
      <w:r>
        <w:lastRenderedPageBreak/>
        <w:t>Q14 — Cities with Highest Negotiation Gap</w:t>
      </w:r>
    </w:p>
    <w:p w14:paraId="27A9966B" w14:textId="77777777" w:rsidR="00D04C28" w:rsidRDefault="00000000">
      <w:pPr>
        <w:spacing w:before="60" w:after="100"/>
        <w:jc w:val="both"/>
      </w:pPr>
      <w:r>
        <w:rPr>
          <w:color w:val="1A1A1A"/>
        </w:rPr>
        <w:t>The top 5 cities with the most extreme negotiation gaps represent high-value markets where the spread between asking and final price is largest. These cities likely have longer days-on-market and more motivated sellers, creating opportunities for buyers.</w:t>
      </w:r>
    </w:p>
    <w:p w14:paraId="2FFC3F71" w14:textId="77777777" w:rsidR="00D04C28" w:rsidRDefault="00D04C28">
      <w:pPr>
        <w:spacing w:after="80"/>
      </w:pPr>
    </w:p>
    <w:p w14:paraId="7B1AB135" w14:textId="77777777" w:rsidR="00D04C28" w:rsidRDefault="00000000">
      <w:pPr>
        <w:pStyle w:val="Heading3"/>
      </w:pPr>
      <w:r>
        <w:t>Q15 — Negotiation Gap by Price Segment</w:t>
      </w:r>
    </w:p>
    <w:p w14:paraId="4A0D3251" w14:textId="77777777" w:rsidR="00D04C28" w:rsidRDefault="00000000">
      <w:pPr>
        <w:spacing w:before="60" w:after="100"/>
        <w:jc w:val="both"/>
      </w:pPr>
      <w:r>
        <w:rPr>
          <w:color w:val="1A1A1A"/>
        </w:rPr>
        <w:t>Premium and Ultra-Luxury segments exhibit larger average negotiation gaps, consistent with the general principle that higher-priced assets have more pricing flexibility. Budget segment buyers face near-zero negotiation gaps, indicating tight competition in entry-level markets.</w:t>
      </w:r>
    </w:p>
    <w:p w14:paraId="77503533" w14:textId="77777777" w:rsidR="00D04C28" w:rsidRDefault="00D04C28">
      <w:pPr>
        <w:spacing w:after="80"/>
      </w:pPr>
    </w:p>
    <w:p w14:paraId="5B15D552" w14:textId="77777777" w:rsidR="00D04C28" w:rsidRDefault="00000000">
      <w:pPr>
        <w:pStyle w:val="Heading2"/>
      </w:pPr>
      <w:r>
        <w:t>5.6 Advanced Analysis: Growth &amp; Value Screening</w:t>
      </w:r>
    </w:p>
    <w:p w14:paraId="6FA584ED" w14:textId="77777777" w:rsidR="00D04C28" w:rsidRDefault="00000000">
      <w:pPr>
        <w:pStyle w:val="Heading3"/>
      </w:pPr>
      <w:r>
        <w:t>Q16 — Year-over-Year City Price Growth</w:t>
      </w:r>
    </w:p>
    <w:p w14:paraId="3BE965A5" w14:textId="77777777" w:rsidR="00D04C28" w:rsidRDefault="00000000">
      <w:pPr>
        <w:spacing w:before="120" w:after="120"/>
        <w:jc w:val="center"/>
      </w:pPr>
      <w:r>
        <w:rPr>
          <w:noProof/>
        </w:rPr>
        <w:drawing>
          <wp:inline distT="0" distB="0" distL="0" distR="0" wp14:anchorId="1585FB5B" wp14:editId="500883A9">
            <wp:extent cx="4572000" cy="4095750"/>
            <wp:effectExtent l="0" t="0" r="0" b="0"/>
            <wp:docPr id="1880016624" name="Picture 1880016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572000" cy="4095750"/>
                    </a:xfrm>
                    <a:prstGeom prst="rect">
                      <a:avLst/>
                    </a:prstGeom>
                  </pic:spPr>
                </pic:pic>
              </a:graphicData>
            </a:graphic>
          </wp:inline>
        </w:drawing>
      </w:r>
    </w:p>
    <w:p w14:paraId="03ED3400" w14:textId="77777777" w:rsidR="00D04C28" w:rsidRDefault="00000000">
      <w:pPr>
        <w:spacing w:before="40" w:after="160"/>
        <w:jc w:val="center"/>
      </w:pPr>
      <w:r>
        <w:rPr>
          <w:i/>
          <w:iCs/>
          <w:color w:val="555555"/>
          <w:sz w:val="18"/>
          <w:szCs w:val="18"/>
        </w:rPr>
        <w:t>Figure 14: Year-over-year price growth by city (partial view) — Aarhus C shows 12.1% growth in 2016 and 17.5% in 2020; Aalborg shows 12.1% growth in 2018; some years show negative growth indicating market corrections</w:t>
      </w:r>
    </w:p>
    <w:p w14:paraId="3DF09B4C" w14:textId="77777777" w:rsidR="00D04C28" w:rsidRDefault="00D04C2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04C28" w14:paraId="112FA515" w14:textId="77777777">
        <w:tc>
          <w:tcPr>
            <w:tcW w:w="9360" w:type="dxa"/>
            <w:tcBorders>
              <w:top w:val="single" w:sz="4" w:space="0" w:color="8B0000"/>
              <w:left w:val="single" w:sz="4" w:space="0" w:color="8B0000"/>
              <w:bottom w:val="single" w:sz="1" w:space="0" w:color="CCCCCC"/>
              <w:right w:val="single" w:sz="1" w:space="0" w:color="CCCCCC"/>
            </w:tcBorders>
            <w:shd w:val="clear" w:color="auto" w:fill="FFF5F5"/>
            <w:tcMar>
              <w:top w:w="100" w:type="dxa"/>
              <w:left w:w="160" w:type="dxa"/>
              <w:bottom w:w="100" w:type="dxa"/>
              <w:right w:w="160" w:type="dxa"/>
            </w:tcMar>
          </w:tcPr>
          <w:p w14:paraId="52828E65" w14:textId="77777777" w:rsidR="00D04C28" w:rsidRDefault="00000000">
            <w:pPr>
              <w:spacing w:after="80"/>
            </w:pPr>
            <w:r>
              <w:rPr>
                <w:b/>
                <w:bCs/>
                <w:color w:val="8B0000"/>
                <w:sz w:val="21"/>
                <w:szCs w:val="21"/>
              </w:rPr>
              <w:t>🔍 YOY Growth Insights</w:t>
            </w:r>
          </w:p>
          <w:p w14:paraId="759DA615" w14:textId="77777777" w:rsidR="00D04C28" w:rsidRDefault="00000000">
            <w:pPr>
              <w:pStyle w:val="ListParagraph"/>
              <w:numPr>
                <w:ilvl w:val="0"/>
                <w:numId w:val="2"/>
              </w:numPr>
              <w:spacing w:before="40" w:after="40"/>
            </w:pPr>
            <w:r>
              <w:rPr>
                <w:color w:val="1A1A1A"/>
                <w:sz w:val="19"/>
                <w:szCs w:val="19"/>
              </w:rPr>
              <w:t>Aarhus C shows strong YOY growth (12–17%) in multiple years, positioning it as a high-growth secondary market worth monitoring.</w:t>
            </w:r>
          </w:p>
          <w:p w14:paraId="3BF97B53" w14:textId="77777777" w:rsidR="00D04C28" w:rsidRDefault="00000000">
            <w:pPr>
              <w:pStyle w:val="ListParagraph"/>
              <w:numPr>
                <w:ilvl w:val="0"/>
                <w:numId w:val="2"/>
              </w:numPr>
              <w:spacing w:before="40" w:after="40"/>
            </w:pPr>
            <w:r>
              <w:rPr>
                <w:color w:val="1A1A1A"/>
                <w:sz w:val="19"/>
                <w:szCs w:val="19"/>
              </w:rPr>
              <w:lastRenderedPageBreak/>
              <w:t>Aalborg shows consistent positive growth with occasional dips, typical of a healthy but cyclical market.</w:t>
            </w:r>
          </w:p>
          <w:p w14:paraId="6CFCF731" w14:textId="77777777" w:rsidR="00D04C28" w:rsidRDefault="00000000">
            <w:pPr>
              <w:pStyle w:val="ListParagraph"/>
              <w:numPr>
                <w:ilvl w:val="0"/>
                <w:numId w:val="2"/>
              </w:numPr>
              <w:spacing w:before="40" w:after="40"/>
            </w:pPr>
            <w:r>
              <w:rPr>
                <w:color w:val="1A1A1A"/>
                <w:sz w:val="19"/>
                <w:szCs w:val="19"/>
              </w:rPr>
              <w:t>Frederiksberg shows a sharp reversal in 2021 (-20%) after a peak, highlighting the importance of entry timing in high-value markets.</w:t>
            </w:r>
          </w:p>
          <w:p w14:paraId="3FA3FD0D" w14:textId="77777777" w:rsidR="00D04C28" w:rsidRDefault="00000000">
            <w:pPr>
              <w:pStyle w:val="ListParagraph"/>
              <w:numPr>
                <w:ilvl w:val="0"/>
                <w:numId w:val="2"/>
              </w:numPr>
              <w:spacing w:before="40" w:after="40"/>
            </w:pPr>
            <w:r>
              <w:rPr>
                <w:color w:val="1A1A1A"/>
                <w:sz w:val="19"/>
                <w:szCs w:val="19"/>
              </w:rPr>
              <w:t>NULL next-year values represent the most recent year per city where forward comparison is unavailable — not data errors.</w:t>
            </w:r>
          </w:p>
        </w:tc>
      </w:tr>
    </w:tbl>
    <w:p w14:paraId="6BDCC36F" w14:textId="77777777" w:rsidR="00D04C28" w:rsidRDefault="00D04C28">
      <w:pPr>
        <w:spacing w:after="80"/>
      </w:pPr>
    </w:p>
    <w:p w14:paraId="0F426AFE" w14:textId="77777777" w:rsidR="00D04C28" w:rsidRDefault="00000000">
      <w:pPr>
        <w:pStyle w:val="Heading3"/>
      </w:pPr>
      <w:r>
        <w:t>Q17 — Properties Sold Above 20% Premium vs. City Average</w:t>
      </w:r>
    </w:p>
    <w:p w14:paraId="020F5AE2" w14:textId="77777777" w:rsidR="00D04C28" w:rsidRDefault="00000000">
      <w:pPr>
        <w:spacing w:before="120" w:after="120"/>
        <w:jc w:val="center"/>
      </w:pPr>
      <w:r>
        <w:rPr>
          <w:noProof/>
        </w:rPr>
        <w:drawing>
          <wp:inline distT="0" distB="0" distL="0" distR="0" wp14:anchorId="71AFCDAC" wp14:editId="0072332E">
            <wp:extent cx="4762500" cy="4095750"/>
            <wp:effectExtent l="0" t="0" r="0" b="0"/>
            <wp:docPr id="1612267736" name="Picture 1612267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62500" cy="4095750"/>
                    </a:xfrm>
                    <a:prstGeom prst="rect">
                      <a:avLst/>
                    </a:prstGeom>
                  </pic:spPr>
                </pic:pic>
              </a:graphicData>
            </a:graphic>
          </wp:inline>
        </w:drawing>
      </w:r>
    </w:p>
    <w:p w14:paraId="221E43F4" w14:textId="77777777" w:rsidR="00D04C28" w:rsidRDefault="00000000">
      <w:pPr>
        <w:spacing w:before="40" w:after="160"/>
        <w:jc w:val="center"/>
      </w:pPr>
      <w:r>
        <w:rPr>
          <w:i/>
          <w:iCs/>
          <w:color w:val="555555"/>
          <w:sz w:val="18"/>
          <w:szCs w:val="18"/>
        </w:rPr>
        <w:t xml:space="preserve">Figure 15: Properties with SQM price at least 20% above city average (partial view, </w:t>
      </w:r>
      <w:proofErr w:type="spellStart"/>
      <w:r>
        <w:rPr>
          <w:i/>
          <w:iCs/>
          <w:color w:val="555555"/>
          <w:sz w:val="18"/>
          <w:szCs w:val="18"/>
        </w:rPr>
        <w:t>Åbyhøj</w:t>
      </w:r>
      <w:proofErr w:type="spellEnd"/>
      <w:r>
        <w:rPr>
          <w:i/>
          <w:iCs/>
          <w:color w:val="555555"/>
          <w:sz w:val="18"/>
          <w:szCs w:val="18"/>
        </w:rPr>
        <w:t xml:space="preserve"> city shown) — individual </w:t>
      </w:r>
      <w:proofErr w:type="spellStart"/>
      <w:r>
        <w:rPr>
          <w:i/>
          <w:iCs/>
          <w:color w:val="555555"/>
          <w:sz w:val="18"/>
          <w:szCs w:val="18"/>
        </w:rPr>
        <w:t>house_ids</w:t>
      </w:r>
      <w:proofErr w:type="spellEnd"/>
      <w:r>
        <w:rPr>
          <w:i/>
          <w:iCs/>
          <w:color w:val="555555"/>
          <w:sz w:val="18"/>
          <w:szCs w:val="18"/>
        </w:rPr>
        <w:t xml:space="preserve"> with SQM prices ranging DKK 36K–74K vs city average of DKK 23,510/m²</w:t>
      </w:r>
    </w:p>
    <w:p w14:paraId="7E21B5CA" w14:textId="77777777" w:rsidR="00D04C28" w:rsidRDefault="00D04C28">
      <w:pPr>
        <w:spacing w:after="80"/>
      </w:pPr>
    </w:p>
    <w:p w14:paraId="6E480888" w14:textId="77777777" w:rsidR="00D04C28" w:rsidRDefault="00000000">
      <w:pPr>
        <w:spacing w:before="60" w:after="100"/>
        <w:jc w:val="both"/>
      </w:pPr>
      <w:r>
        <w:rPr>
          <w:color w:val="1A1A1A"/>
        </w:rPr>
        <w:t xml:space="preserve">This window function query identifies premium-performing properties — those commanding at least a 20% SQM price premium over their city's average. These represent either genuinely superior properties (location, condition, size) or outliers that merit investigation. In </w:t>
      </w:r>
      <w:proofErr w:type="spellStart"/>
      <w:r>
        <w:rPr>
          <w:color w:val="1A1A1A"/>
        </w:rPr>
        <w:t>Åbyhøj</w:t>
      </w:r>
      <w:proofErr w:type="spellEnd"/>
      <w:r>
        <w:rPr>
          <w:color w:val="1A1A1A"/>
        </w:rPr>
        <w:t>, the city average SQM price is DKK 23,510 while flagged properties range from DKK 36,111 to DKK 74,569 — showing the extent of premium pricing within the same city.</w:t>
      </w:r>
    </w:p>
    <w:p w14:paraId="5C7C36E0" w14:textId="77777777" w:rsidR="00D04C28" w:rsidRDefault="00D04C28">
      <w:pPr>
        <w:spacing w:after="80"/>
      </w:pPr>
    </w:p>
    <w:p w14:paraId="245217C1" w14:textId="77777777" w:rsidR="00D04C28" w:rsidRDefault="00000000">
      <w:pPr>
        <w:pStyle w:val="Heading3"/>
      </w:pPr>
      <w:r>
        <w:t>Q18 — Best Value House Type</w:t>
      </w:r>
    </w:p>
    <w:p w14:paraId="7C65FB8F" w14:textId="77777777" w:rsidR="00D04C28" w:rsidRDefault="00000000">
      <w:pPr>
        <w:spacing w:before="60" w:after="100"/>
        <w:jc w:val="both"/>
      </w:pPr>
      <w:r>
        <w:rPr>
          <w:color w:val="1A1A1A"/>
        </w:rPr>
        <w:t xml:space="preserve">This composite query evaluates all house types by average price, SQM price, room count, and price-per-room. Summerhouses offer the lowest entry price (DKK 1.22M </w:t>
      </w:r>
      <w:proofErr w:type="spellStart"/>
      <w:r>
        <w:rPr>
          <w:color w:val="1A1A1A"/>
        </w:rPr>
        <w:t>avg</w:t>
      </w:r>
      <w:proofErr w:type="spellEnd"/>
      <w:r>
        <w:rPr>
          <w:color w:val="1A1A1A"/>
        </w:rPr>
        <w:t>) with the lowest SQM price, making them accessible. Villas dominate by volume and offer the best price-per-room value relative to their total size, while Apartments offer premium location access at a higher SQM cost.</w:t>
      </w:r>
    </w:p>
    <w:p w14:paraId="6F70A2D8" w14:textId="77777777" w:rsidR="00D04C28" w:rsidRDefault="00000000">
      <w:r>
        <w:lastRenderedPageBreak/>
        <w:br w:type="page"/>
      </w:r>
    </w:p>
    <w:p w14:paraId="4F242916" w14:textId="77777777" w:rsidR="00D04C28" w:rsidRDefault="00000000">
      <w:pPr>
        <w:pStyle w:val="Heading1"/>
        <w:pBdr>
          <w:bottom w:val="single" w:sz="6" w:space="4" w:color="C0392B"/>
        </w:pBdr>
      </w:pPr>
      <w:r>
        <w:lastRenderedPageBreak/>
        <w:t>6. Power BI Dashboard</w:t>
      </w:r>
    </w:p>
    <w:p w14:paraId="39490B22" w14:textId="77777777" w:rsidR="00D04C28" w:rsidRDefault="00000000">
      <w:pPr>
        <w:spacing w:before="60" w:after="100"/>
        <w:jc w:val="both"/>
      </w:pPr>
      <w:r>
        <w:rPr>
          <w:color w:val="1A1A1A"/>
        </w:rPr>
        <w:t>An interactive 3-page Power BI dashboard was developed to present the full analysis visually. The dashboard includes cross-filtering capabilities with slicers for Year, City, Region, and House Type across all pages.</w:t>
      </w:r>
    </w:p>
    <w:p w14:paraId="423CDE89" w14:textId="77777777" w:rsidR="00D04C28" w:rsidRDefault="00D04C28">
      <w:pPr>
        <w:spacing w:after="80"/>
      </w:pPr>
    </w:p>
    <w:p w14:paraId="3431F6AD" w14:textId="77777777" w:rsidR="00D04C28" w:rsidRDefault="00000000">
      <w:pPr>
        <w:pStyle w:val="Heading2"/>
      </w:pPr>
      <w:r>
        <w:t>6.1 Page 1: Market Overview</w:t>
      </w:r>
    </w:p>
    <w:p w14:paraId="7BD11A91" w14:textId="77777777" w:rsidR="00D04C28" w:rsidRDefault="00000000">
      <w:pPr>
        <w:spacing w:before="120" w:after="120"/>
        <w:jc w:val="center"/>
      </w:pPr>
      <w:r>
        <w:rPr>
          <w:noProof/>
        </w:rPr>
        <w:drawing>
          <wp:inline distT="0" distB="0" distL="0" distR="0" wp14:anchorId="38220A35" wp14:editId="0CEE6A53">
            <wp:extent cx="6477000" cy="3667125"/>
            <wp:effectExtent l="0" t="0" r="0" b="0"/>
            <wp:docPr id="204562735" name="Picture 204562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477000" cy="3667125"/>
                    </a:xfrm>
                    <a:prstGeom prst="rect">
                      <a:avLst/>
                    </a:prstGeom>
                  </pic:spPr>
                </pic:pic>
              </a:graphicData>
            </a:graphic>
          </wp:inline>
        </w:drawing>
      </w:r>
    </w:p>
    <w:p w14:paraId="1FF53712" w14:textId="77777777" w:rsidR="00D04C28" w:rsidRDefault="00000000">
      <w:pPr>
        <w:spacing w:before="40" w:after="160"/>
        <w:jc w:val="center"/>
      </w:pPr>
      <w:r>
        <w:rPr>
          <w:i/>
          <w:iCs/>
          <w:color w:val="555555"/>
          <w:sz w:val="18"/>
          <w:szCs w:val="18"/>
        </w:rPr>
        <w:t>Figure 16: Dashboard Page 1 — Market Overview showing KPIs, house type mix, price trend (1992–2024), regional volume, and Top 10 cities by average price</w:t>
      </w:r>
    </w:p>
    <w:p w14:paraId="1D4E73E6" w14:textId="77777777" w:rsidR="00D04C28" w:rsidRDefault="00D04C2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04C28" w14:paraId="30075CFE" w14:textId="77777777">
        <w:tc>
          <w:tcPr>
            <w:tcW w:w="9360" w:type="dxa"/>
            <w:tcBorders>
              <w:top w:val="single" w:sz="4" w:space="0" w:color="8B0000"/>
              <w:left w:val="single" w:sz="4" w:space="0" w:color="8B0000"/>
              <w:bottom w:val="single" w:sz="1" w:space="0" w:color="CCCCCC"/>
              <w:right w:val="single" w:sz="1" w:space="0" w:color="CCCCCC"/>
            </w:tcBorders>
            <w:shd w:val="clear" w:color="auto" w:fill="FFF5F5"/>
            <w:tcMar>
              <w:top w:w="100" w:type="dxa"/>
              <w:left w:w="160" w:type="dxa"/>
              <w:bottom w:w="100" w:type="dxa"/>
              <w:right w:w="160" w:type="dxa"/>
            </w:tcMar>
          </w:tcPr>
          <w:p w14:paraId="65C10788" w14:textId="77777777" w:rsidR="00D04C28" w:rsidRDefault="00000000">
            <w:pPr>
              <w:spacing w:after="80"/>
            </w:pPr>
            <w:r>
              <w:rPr>
                <w:b/>
                <w:bCs/>
                <w:color w:val="8B0000"/>
                <w:sz w:val="21"/>
                <w:szCs w:val="21"/>
              </w:rPr>
              <w:t>🔍 Dashboard Page 1 — Key Findings</w:t>
            </w:r>
          </w:p>
          <w:p w14:paraId="394AE976" w14:textId="77777777" w:rsidR="00D04C28" w:rsidRDefault="00000000">
            <w:pPr>
              <w:pStyle w:val="ListParagraph"/>
              <w:numPr>
                <w:ilvl w:val="0"/>
                <w:numId w:val="2"/>
              </w:numPr>
              <w:spacing w:before="40" w:after="40"/>
            </w:pPr>
            <w:r>
              <w:rPr>
                <w:color w:val="1A1A1A"/>
                <w:sz w:val="19"/>
                <w:szCs w:val="19"/>
              </w:rPr>
              <w:t>Total market: 100K transactions worth DKK 193Bn at an average price of DKK 1.93M with average area of 129 m².</w:t>
            </w:r>
          </w:p>
          <w:p w14:paraId="09EB33C7" w14:textId="77777777" w:rsidR="00D04C28" w:rsidRDefault="00000000">
            <w:pPr>
              <w:pStyle w:val="ListParagraph"/>
              <w:numPr>
                <w:ilvl w:val="0"/>
                <w:numId w:val="2"/>
              </w:numPr>
              <w:spacing w:before="40" w:after="40"/>
            </w:pPr>
            <w:r>
              <w:rPr>
                <w:color w:val="1A1A1A"/>
                <w:sz w:val="19"/>
                <w:szCs w:val="19"/>
              </w:rPr>
              <w:t>Villas dominate at 54.22% of all transactions; Apartments are second at 19.36%.</w:t>
            </w:r>
          </w:p>
          <w:p w14:paraId="1F2E1FF4" w14:textId="77777777" w:rsidR="00D04C28" w:rsidRDefault="00000000">
            <w:pPr>
              <w:pStyle w:val="ListParagraph"/>
              <w:numPr>
                <w:ilvl w:val="0"/>
                <w:numId w:val="2"/>
              </w:numPr>
              <w:spacing w:before="40" w:after="40"/>
            </w:pPr>
            <w:r>
              <w:rPr>
                <w:color w:val="1A1A1A"/>
                <w:sz w:val="19"/>
                <w:szCs w:val="19"/>
              </w:rPr>
              <w:t>Average price trend shows consistent growth from ~DKK 800K in 1992 to ~DKK 2.8M in 2024, with a visible plateau in 2022–23.</w:t>
            </w:r>
          </w:p>
          <w:p w14:paraId="478C9221" w14:textId="77777777" w:rsidR="00D04C28" w:rsidRDefault="00000000">
            <w:pPr>
              <w:pStyle w:val="ListParagraph"/>
              <w:numPr>
                <w:ilvl w:val="0"/>
                <w:numId w:val="2"/>
              </w:numPr>
              <w:spacing w:before="40" w:after="40"/>
            </w:pPr>
            <w:r>
              <w:rPr>
                <w:color w:val="1A1A1A"/>
                <w:sz w:val="19"/>
                <w:szCs w:val="19"/>
              </w:rPr>
              <w:t>Jutland leads in transaction volume (50K) but Zealand is the premium market by price.</w:t>
            </w:r>
          </w:p>
          <w:p w14:paraId="76CEE88E" w14:textId="77777777" w:rsidR="00D04C28" w:rsidRDefault="00000000">
            <w:pPr>
              <w:pStyle w:val="ListParagraph"/>
              <w:numPr>
                <w:ilvl w:val="0"/>
                <w:numId w:val="2"/>
              </w:numPr>
              <w:spacing w:before="40" w:after="40"/>
            </w:pPr>
            <w:r>
              <w:rPr>
                <w:color w:val="1A1A1A"/>
                <w:sz w:val="19"/>
                <w:szCs w:val="19"/>
              </w:rPr>
              <w:t xml:space="preserve">Rungsted Kyst, Nordhavn, and </w:t>
            </w:r>
            <w:proofErr w:type="spellStart"/>
            <w:r>
              <w:rPr>
                <w:color w:val="1A1A1A"/>
                <w:sz w:val="19"/>
                <w:szCs w:val="19"/>
              </w:rPr>
              <w:t>Klampenborg</w:t>
            </w:r>
            <w:proofErr w:type="spellEnd"/>
            <w:r>
              <w:rPr>
                <w:color w:val="1A1A1A"/>
                <w:sz w:val="19"/>
                <w:szCs w:val="19"/>
              </w:rPr>
              <w:t xml:space="preserve"> are the top 3 most expensive cities — all in the Copenhagen metropolitan North Shore area.</w:t>
            </w:r>
          </w:p>
          <w:p w14:paraId="7ABC975A" w14:textId="77777777" w:rsidR="00D04C28" w:rsidRDefault="00000000">
            <w:pPr>
              <w:pStyle w:val="ListParagraph"/>
              <w:numPr>
                <w:ilvl w:val="0"/>
                <w:numId w:val="2"/>
              </w:numPr>
              <w:spacing w:before="40" w:after="40"/>
            </w:pPr>
            <w:r>
              <w:rPr>
                <w:color w:val="1A1A1A"/>
                <w:sz w:val="19"/>
                <w:szCs w:val="19"/>
              </w:rPr>
              <w:t>Average negotiation gap stands at -DKK 42.82K — sellers accept offers below list in the aggregate, confirming active buyer negotiation.</w:t>
            </w:r>
          </w:p>
        </w:tc>
      </w:tr>
    </w:tbl>
    <w:p w14:paraId="25875B82" w14:textId="77777777" w:rsidR="00D04C28" w:rsidRDefault="00D04C28">
      <w:pPr>
        <w:spacing w:after="80"/>
      </w:pPr>
    </w:p>
    <w:p w14:paraId="54CE5EE5" w14:textId="77777777" w:rsidR="00D04C28" w:rsidRDefault="00000000">
      <w:pPr>
        <w:pStyle w:val="Heading2"/>
      </w:pPr>
      <w:r>
        <w:t>6.2 Page 2: Property Deep Dive</w:t>
      </w:r>
    </w:p>
    <w:p w14:paraId="0C1B5AC6" w14:textId="77777777" w:rsidR="00D04C28" w:rsidRDefault="00000000">
      <w:pPr>
        <w:spacing w:before="120" w:after="120"/>
        <w:jc w:val="center"/>
      </w:pPr>
      <w:r>
        <w:rPr>
          <w:noProof/>
        </w:rPr>
        <w:lastRenderedPageBreak/>
        <w:drawing>
          <wp:inline distT="0" distB="0" distL="0" distR="0" wp14:anchorId="3171B3A4" wp14:editId="72056AF9">
            <wp:extent cx="6477000" cy="3638550"/>
            <wp:effectExtent l="0" t="0" r="0" b="0"/>
            <wp:docPr id="840864706" name="Picture 840864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477000" cy="3638550"/>
                    </a:xfrm>
                    <a:prstGeom prst="rect">
                      <a:avLst/>
                    </a:prstGeom>
                  </pic:spPr>
                </pic:pic>
              </a:graphicData>
            </a:graphic>
          </wp:inline>
        </w:drawing>
      </w:r>
    </w:p>
    <w:p w14:paraId="107620C5" w14:textId="77777777" w:rsidR="00D04C28" w:rsidRDefault="00000000">
      <w:pPr>
        <w:spacing w:before="40" w:after="160"/>
        <w:jc w:val="center"/>
      </w:pPr>
      <w:r>
        <w:rPr>
          <w:i/>
          <w:iCs/>
          <w:color w:val="555555"/>
          <w:sz w:val="18"/>
          <w:szCs w:val="18"/>
        </w:rPr>
        <w:t>Figure 17: Dashboard Page 2 — Property Deep Dive showing comparison matrix, price by segment, rooms-to-price relationship, and SQM price by build era</w:t>
      </w:r>
    </w:p>
    <w:p w14:paraId="1ED3D9F2" w14:textId="77777777" w:rsidR="00D04C28" w:rsidRDefault="00D04C2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04C28" w14:paraId="10408988" w14:textId="77777777">
        <w:tc>
          <w:tcPr>
            <w:tcW w:w="9360" w:type="dxa"/>
            <w:tcBorders>
              <w:top w:val="single" w:sz="4" w:space="0" w:color="8B0000"/>
              <w:left w:val="single" w:sz="4" w:space="0" w:color="8B0000"/>
              <w:bottom w:val="single" w:sz="1" w:space="0" w:color="CCCCCC"/>
              <w:right w:val="single" w:sz="1" w:space="0" w:color="CCCCCC"/>
            </w:tcBorders>
            <w:shd w:val="clear" w:color="auto" w:fill="FFF5F5"/>
            <w:tcMar>
              <w:top w:w="100" w:type="dxa"/>
              <w:left w:w="160" w:type="dxa"/>
              <w:bottom w:w="100" w:type="dxa"/>
              <w:right w:w="160" w:type="dxa"/>
            </w:tcMar>
          </w:tcPr>
          <w:p w14:paraId="405CCB1E" w14:textId="77777777" w:rsidR="00D04C28" w:rsidRDefault="00000000">
            <w:pPr>
              <w:spacing w:after="80"/>
            </w:pPr>
            <w:r>
              <w:rPr>
                <w:b/>
                <w:bCs/>
                <w:color w:val="8B0000"/>
                <w:sz w:val="21"/>
                <w:szCs w:val="21"/>
              </w:rPr>
              <w:t>🔍 Dashboard Page 2 — Key Findings</w:t>
            </w:r>
          </w:p>
          <w:p w14:paraId="42E90C33" w14:textId="77777777" w:rsidR="00D04C28" w:rsidRDefault="00000000">
            <w:pPr>
              <w:pStyle w:val="ListParagraph"/>
              <w:numPr>
                <w:ilvl w:val="0"/>
                <w:numId w:val="2"/>
              </w:numPr>
              <w:spacing w:before="40" w:after="40"/>
            </w:pPr>
            <w:r>
              <w:rPr>
                <w:color w:val="1A1A1A"/>
                <w:sz w:val="19"/>
                <w:szCs w:val="19"/>
              </w:rPr>
              <w:t xml:space="preserve">Farm has the highest average purchase price (DKK 2.74M) and the most rooms (6.06 </w:t>
            </w:r>
            <w:proofErr w:type="spellStart"/>
            <w:r>
              <w:rPr>
                <w:color w:val="1A1A1A"/>
                <w:sz w:val="19"/>
                <w:szCs w:val="19"/>
              </w:rPr>
              <w:t>avg</w:t>
            </w:r>
            <w:proofErr w:type="spellEnd"/>
            <w:r>
              <w:rPr>
                <w:color w:val="1A1A1A"/>
                <w:sz w:val="19"/>
                <w:szCs w:val="19"/>
              </w:rPr>
              <w:t>), but the lowest SQM price (DKK 13,832) — size-driven, not location-driven.</w:t>
            </w:r>
          </w:p>
          <w:p w14:paraId="0185D341" w14:textId="77777777" w:rsidR="00D04C28" w:rsidRDefault="00000000">
            <w:pPr>
              <w:pStyle w:val="ListParagraph"/>
              <w:numPr>
                <w:ilvl w:val="0"/>
                <w:numId w:val="2"/>
              </w:numPr>
              <w:spacing w:before="40" w:after="40"/>
            </w:pPr>
            <w:r>
              <w:rPr>
                <w:color w:val="1A1A1A"/>
                <w:sz w:val="19"/>
                <w:szCs w:val="19"/>
              </w:rPr>
              <w:t xml:space="preserve">Apartment leads in SQM price (DKK 28,689) with fewest rooms (2.87 </w:t>
            </w:r>
            <w:proofErr w:type="spellStart"/>
            <w:r>
              <w:rPr>
                <w:color w:val="1A1A1A"/>
                <w:sz w:val="19"/>
                <w:szCs w:val="19"/>
              </w:rPr>
              <w:t>avg</w:t>
            </w:r>
            <w:proofErr w:type="spellEnd"/>
            <w:r>
              <w:rPr>
                <w:color w:val="1A1A1A"/>
                <w:sz w:val="19"/>
                <w:szCs w:val="19"/>
              </w:rPr>
              <w:t>) — compact urban premium assets.</w:t>
            </w:r>
          </w:p>
          <w:p w14:paraId="0606061C" w14:textId="77777777" w:rsidR="00D04C28" w:rsidRDefault="00000000">
            <w:pPr>
              <w:pStyle w:val="ListParagraph"/>
              <w:numPr>
                <w:ilvl w:val="0"/>
                <w:numId w:val="2"/>
              </w:numPr>
              <w:spacing w:before="40" w:after="40"/>
            </w:pPr>
            <w:r>
              <w:rPr>
                <w:color w:val="1A1A1A"/>
                <w:sz w:val="19"/>
                <w:szCs w:val="19"/>
              </w:rPr>
              <w:t>Modern-era properties command DKK 20.3K/m² while 70s-era properties fetch only DKK 13.5K/m² — a 50% premium for contemporary construction.</w:t>
            </w:r>
          </w:p>
          <w:p w14:paraId="30251B11" w14:textId="77777777" w:rsidR="00D04C28" w:rsidRDefault="00000000">
            <w:pPr>
              <w:pStyle w:val="ListParagraph"/>
              <w:numPr>
                <w:ilvl w:val="0"/>
                <w:numId w:val="2"/>
              </w:numPr>
              <w:spacing w:before="40" w:after="40"/>
            </w:pPr>
            <w:r>
              <w:rPr>
                <w:color w:val="1A1A1A"/>
                <w:sz w:val="19"/>
                <w:szCs w:val="19"/>
              </w:rPr>
              <w:t xml:space="preserve">Ultra-Luxury segment exists across all house types with the highest concentration in Farms (DKK 9.1M </w:t>
            </w:r>
            <w:proofErr w:type="spellStart"/>
            <w:r>
              <w:rPr>
                <w:color w:val="1A1A1A"/>
                <w:sz w:val="19"/>
                <w:szCs w:val="19"/>
              </w:rPr>
              <w:t>avg</w:t>
            </w:r>
            <w:proofErr w:type="spellEnd"/>
            <w:r>
              <w:rPr>
                <w:color w:val="1A1A1A"/>
                <w:sz w:val="19"/>
                <w:szCs w:val="19"/>
              </w:rPr>
              <w:t xml:space="preserve"> in Ultra-Luxury tier).</w:t>
            </w:r>
          </w:p>
          <w:p w14:paraId="1A8C37AC" w14:textId="77777777" w:rsidR="00D04C28" w:rsidRDefault="00000000">
            <w:pPr>
              <w:pStyle w:val="ListParagraph"/>
              <w:numPr>
                <w:ilvl w:val="0"/>
                <w:numId w:val="2"/>
              </w:numPr>
              <w:spacing w:before="40" w:after="40"/>
            </w:pPr>
            <w:r>
              <w:rPr>
                <w:color w:val="1A1A1A"/>
                <w:sz w:val="19"/>
                <w:szCs w:val="19"/>
              </w:rPr>
              <w:t>A positive near-linear relationship exists between number of rooms and average price, peaking above DKK 6M for 15+ room properties.</w:t>
            </w:r>
          </w:p>
        </w:tc>
      </w:tr>
    </w:tbl>
    <w:p w14:paraId="16E8DF8B" w14:textId="77777777" w:rsidR="00D04C28" w:rsidRDefault="00D04C28">
      <w:pPr>
        <w:spacing w:after="80"/>
      </w:pPr>
    </w:p>
    <w:p w14:paraId="7ED48B01" w14:textId="77777777" w:rsidR="00D04C28" w:rsidRDefault="00000000">
      <w:pPr>
        <w:pStyle w:val="Heading2"/>
      </w:pPr>
      <w:r>
        <w:t>6.3 Page 3: Market &amp; Macro</w:t>
      </w:r>
    </w:p>
    <w:p w14:paraId="3AE5B411" w14:textId="77777777" w:rsidR="00D04C28" w:rsidRDefault="00000000">
      <w:pPr>
        <w:spacing w:before="120" w:after="120"/>
        <w:jc w:val="center"/>
      </w:pPr>
      <w:r>
        <w:rPr>
          <w:noProof/>
        </w:rPr>
        <w:lastRenderedPageBreak/>
        <w:drawing>
          <wp:inline distT="0" distB="0" distL="0" distR="0" wp14:anchorId="54E5CED6" wp14:editId="0F3CD5AA">
            <wp:extent cx="6477000" cy="3667125"/>
            <wp:effectExtent l="0" t="0" r="0" b="0"/>
            <wp:docPr id="1812035861" name="Picture 1812035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477000" cy="3667125"/>
                    </a:xfrm>
                    <a:prstGeom prst="rect">
                      <a:avLst/>
                    </a:prstGeom>
                  </pic:spPr>
                </pic:pic>
              </a:graphicData>
            </a:graphic>
          </wp:inline>
        </w:drawing>
      </w:r>
    </w:p>
    <w:p w14:paraId="1939B470" w14:textId="77777777" w:rsidR="00D04C28" w:rsidRDefault="00000000">
      <w:pPr>
        <w:spacing w:before="40" w:after="160"/>
        <w:jc w:val="center"/>
      </w:pPr>
      <w:r>
        <w:rPr>
          <w:i/>
          <w:iCs/>
          <w:color w:val="555555"/>
          <w:sz w:val="18"/>
          <w:szCs w:val="18"/>
        </w:rPr>
        <w:t>Figure 18: Dashboard Page 3 — Market &amp; Macro showing real interest rates vs price, negotiation by region, distressed sales, seasonal patterns, sale type analysis, and mortgage yield trend</w:t>
      </w:r>
    </w:p>
    <w:p w14:paraId="55CBF25F" w14:textId="77777777" w:rsidR="00D04C28" w:rsidRDefault="00D04C2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04C28" w14:paraId="0D1B139E" w14:textId="77777777">
        <w:tc>
          <w:tcPr>
            <w:tcW w:w="9360" w:type="dxa"/>
            <w:tcBorders>
              <w:top w:val="single" w:sz="4" w:space="0" w:color="8B0000"/>
              <w:left w:val="single" w:sz="4" w:space="0" w:color="8B0000"/>
              <w:bottom w:val="single" w:sz="1" w:space="0" w:color="CCCCCC"/>
              <w:right w:val="single" w:sz="1" w:space="0" w:color="CCCCCC"/>
            </w:tcBorders>
            <w:shd w:val="clear" w:color="auto" w:fill="FFF5F5"/>
            <w:tcMar>
              <w:top w:w="100" w:type="dxa"/>
              <w:left w:w="160" w:type="dxa"/>
              <w:bottom w:w="100" w:type="dxa"/>
              <w:right w:w="160" w:type="dxa"/>
            </w:tcMar>
          </w:tcPr>
          <w:p w14:paraId="0C1DFD82" w14:textId="77777777" w:rsidR="00D04C28" w:rsidRDefault="00000000">
            <w:pPr>
              <w:spacing w:after="80"/>
            </w:pPr>
            <w:r>
              <w:rPr>
                <w:b/>
                <w:bCs/>
                <w:color w:val="8B0000"/>
                <w:sz w:val="21"/>
                <w:szCs w:val="21"/>
              </w:rPr>
              <w:t>🔍 Dashboard Page 3 — Key Findings</w:t>
            </w:r>
          </w:p>
          <w:p w14:paraId="75931347" w14:textId="77777777" w:rsidR="00D04C28" w:rsidRDefault="00000000">
            <w:pPr>
              <w:pStyle w:val="ListParagraph"/>
              <w:numPr>
                <w:ilvl w:val="0"/>
                <w:numId w:val="2"/>
              </w:numPr>
              <w:spacing w:before="40" w:after="40"/>
            </w:pPr>
            <w:r>
              <w:rPr>
                <w:color w:val="1A1A1A"/>
                <w:sz w:val="19"/>
                <w:szCs w:val="19"/>
              </w:rPr>
              <w:t>Real interest rate and property price show a clear inverse relationship over 30+ years — as real rates fell from ~8% in the early 1990s toward negative territory in 2021, prices more than tripled.</w:t>
            </w:r>
          </w:p>
          <w:p w14:paraId="26578DB2" w14:textId="77777777" w:rsidR="00D04C28" w:rsidRDefault="00000000">
            <w:pPr>
              <w:pStyle w:val="ListParagraph"/>
              <w:numPr>
                <w:ilvl w:val="0"/>
                <w:numId w:val="2"/>
              </w:numPr>
              <w:spacing w:before="40" w:after="40"/>
            </w:pPr>
            <w:r>
              <w:rPr>
                <w:color w:val="1A1A1A"/>
                <w:sz w:val="19"/>
                <w:szCs w:val="19"/>
              </w:rPr>
              <w:t>The sharp negative real interest rate spike in 2022 (approx. -8%) coincided with peak property prices before rate normalization.</w:t>
            </w:r>
          </w:p>
          <w:p w14:paraId="07E3A5BB" w14:textId="77777777" w:rsidR="00D04C28" w:rsidRDefault="00000000">
            <w:pPr>
              <w:pStyle w:val="ListParagraph"/>
              <w:numPr>
                <w:ilvl w:val="0"/>
                <w:numId w:val="2"/>
              </w:numPr>
              <w:spacing w:before="40" w:after="40"/>
            </w:pPr>
            <w:r>
              <w:rPr>
                <w:color w:val="1A1A1A"/>
                <w:sz w:val="19"/>
                <w:szCs w:val="19"/>
              </w:rPr>
              <w:t xml:space="preserve">Zealand buyers negotiate the largest absolute gap (-DKK 55K </w:t>
            </w:r>
            <w:proofErr w:type="spellStart"/>
            <w:r>
              <w:rPr>
                <w:color w:val="1A1A1A"/>
                <w:sz w:val="19"/>
                <w:szCs w:val="19"/>
              </w:rPr>
              <w:t>avg</w:t>
            </w:r>
            <w:proofErr w:type="spellEnd"/>
            <w:r>
              <w:rPr>
                <w:color w:val="1A1A1A"/>
                <w:sz w:val="19"/>
                <w:szCs w:val="19"/>
              </w:rPr>
              <w:t>), while Bornholm has the smallest (-DKK 19K) — reflecting market competitiveness.</w:t>
            </w:r>
          </w:p>
          <w:p w14:paraId="4359B606" w14:textId="77777777" w:rsidR="00D04C28" w:rsidRDefault="00000000">
            <w:pPr>
              <w:pStyle w:val="ListParagraph"/>
              <w:numPr>
                <w:ilvl w:val="0"/>
                <w:numId w:val="2"/>
              </w:numPr>
              <w:spacing w:before="40" w:after="40"/>
            </w:pPr>
            <w:r>
              <w:rPr>
                <w:color w:val="1A1A1A"/>
                <w:sz w:val="19"/>
                <w:szCs w:val="19"/>
              </w:rPr>
              <w:t>Total distressed sales peaked sharply around 2007–2009 (financial crisis) and again showed a smaller uptick post-2020. Overall distress rates remain low (2–4%).</w:t>
            </w:r>
          </w:p>
          <w:p w14:paraId="63A8DBC5" w14:textId="77777777" w:rsidR="00D04C28" w:rsidRDefault="00000000">
            <w:pPr>
              <w:pStyle w:val="ListParagraph"/>
              <w:numPr>
                <w:ilvl w:val="0"/>
                <w:numId w:val="2"/>
              </w:numPr>
              <w:spacing w:before="40" w:after="40"/>
            </w:pPr>
            <w:r>
              <w:rPr>
                <w:color w:val="1A1A1A"/>
                <w:sz w:val="19"/>
                <w:szCs w:val="19"/>
              </w:rPr>
              <w:t>Winter sales have the highest average price (DKK ~1,960K) while Summer has the lowest volume — buyers in winter may be more motivated and purchase higher-value properties.</w:t>
            </w:r>
          </w:p>
          <w:p w14:paraId="6003FB5E" w14:textId="77777777" w:rsidR="00D04C28" w:rsidRDefault="00000000">
            <w:pPr>
              <w:pStyle w:val="ListParagraph"/>
              <w:numPr>
                <w:ilvl w:val="0"/>
                <w:numId w:val="2"/>
              </w:numPr>
              <w:spacing w:before="40" w:after="40"/>
            </w:pPr>
            <w:r>
              <w:rPr>
                <w:color w:val="1A1A1A"/>
                <w:sz w:val="19"/>
                <w:szCs w:val="19"/>
              </w:rPr>
              <w:t>Regular sales average DKK 1.97M vs. Auction sales at DKK 1.47M — auctions present a 25% discount opportunity.</w:t>
            </w:r>
          </w:p>
          <w:p w14:paraId="13CF2715" w14:textId="77777777" w:rsidR="00D04C28" w:rsidRDefault="00000000">
            <w:pPr>
              <w:pStyle w:val="ListParagraph"/>
              <w:numPr>
                <w:ilvl w:val="0"/>
                <w:numId w:val="2"/>
              </w:numPr>
              <w:spacing w:before="40" w:after="40"/>
            </w:pPr>
            <w:r>
              <w:rPr>
                <w:color w:val="1A1A1A"/>
                <w:sz w:val="19"/>
                <w:szCs w:val="19"/>
              </w:rPr>
              <w:t>Mortgage bond yield (</w:t>
            </w:r>
            <w:proofErr w:type="spellStart"/>
            <w:r>
              <w:rPr>
                <w:color w:val="1A1A1A"/>
                <w:sz w:val="19"/>
                <w:szCs w:val="19"/>
              </w:rPr>
              <w:t>Avg</w:t>
            </w:r>
            <w:proofErr w:type="spellEnd"/>
            <w:r>
              <w:rPr>
                <w:color w:val="1A1A1A"/>
                <w:sz w:val="19"/>
                <w:szCs w:val="19"/>
              </w:rPr>
              <w:t xml:space="preserve"> Yield Spread) peaked ~4% in the mid-2000s and trended toward near-zero in 2020, before rising again post-2022 — tracking the broader interest rate cycle.</w:t>
            </w:r>
          </w:p>
        </w:tc>
      </w:tr>
    </w:tbl>
    <w:p w14:paraId="62CC56B5" w14:textId="77777777" w:rsidR="00D04C28" w:rsidRDefault="00000000">
      <w:r>
        <w:br w:type="page"/>
      </w:r>
    </w:p>
    <w:p w14:paraId="54275470" w14:textId="77777777" w:rsidR="00D04C28" w:rsidRDefault="00000000">
      <w:pPr>
        <w:pStyle w:val="Heading1"/>
        <w:pBdr>
          <w:bottom w:val="single" w:sz="6" w:space="4" w:color="C0392B"/>
        </w:pBdr>
      </w:pPr>
      <w:r>
        <w:lastRenderedPageBreak/>
        <w:t>7. Summary of Key Findings</w:t>
      </w:r>
    </w:p>
    <w:p w14:paraId="03DF421B" w14:textId="77777777" w:rsidR="00D04C28" w:rsidRDefault="00D04C2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
        <w:gridCol w:w="8879"/>
      </w:tblGrid>
      <w:tr w:rsidR="00D04C28" w14:paraId="129ABEDC" w14:textId="77777777">
        <w:tc>
          <w:tcPr>
            <w:tcW w:w="40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40" w:type="dxa"/>
              <w:bottom w:w="80" w:type="dxa"/>
              <w:right w:w="140" w:type="dxa"/>
            </w:tcMar>
            <w:vAlign w:val="center"/>
          </w:tcPr>
          <w:p w14:paraId="26F7AB20" w14:textId="77777777" w:rsidR="00D04C28" w:rsidRDefault="00000000">
            <w:pPr>
              <w:jc w:val="center"/>
            </w:pPr>
            <w:r>
              <w:rPr>
                <w:b/>
                <w:bCs/>
                <w:color w:val="FFFFFF"/>
                <w:sz w:val="18"/>
                <w:szCs w:val="18"/>
              </w:rPr>
              <w:t>#</w:t>
            </w:r>
          </w:p>
        </w:tc>
        <w:tc>
          <w:tcPr>
            <w:tcW w:w="896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40" w:type="dxa"/>
              <w:bottom w:w="80" w:type="dxa"/>
              <w:right w:w="140" w:type="dxa"/>
            </w:tcMar>
            <w:vAlign w:val="center"/>
          </w:tcPr>
          <w:p w14:paraId="066CAFA3" w14:textId="77777777" w:rsidR="00D04C28" w:rsidRDefault="00000000">
            <w:pPr>
              <w:jc w:val="center"/>
            </w:pPr>
            <w:r>
              <w:rPr>
                <w:b/>
                <w:bCs/>
                <w:color w:val="FFFFFF"/>
                <w:sz w:val="18"/>
                <w:szCs w:val="18"/>
              </w:rPr>
              <w:t>Key Finding</w:t>
            </w:r>
          </w:p>
        </w:tc>
      </w:tr>
      <w:tr w:rsidR="00D04C28" w14:paraId="61E2B445"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598ABB4" w14:textId="77777777" w:rsidR="00D04C28" w:rsidRDefault="00000000">
            <w:pPr>
              <w:jc w:val="center"/>
            </w:pPr>
            <w:r>
              <w:rPr>
                <w:b/>
                <w:bCs/>
                <w:color w:val="1A1A1A"/>
                <w:sz w:val="18"/>
                <w:szCs w:val="18"/>
              </w:rPr>
              <w:t>1</w:t>
            </w:r>
          </w:p>
        </w:tc>
        <w:tc>
          <w:tcPr>
            <w:tcW w:w="8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CFFF18E" w14:textId="77777777" w:rsidR="00D04C28" w:rsidRDefault="00000000">
            <w:r>
              <w:rPr>
                <w:color w:val="1A1A1A"/>
                <w:sz w:val="18"/>
                <w:szCs w:val="18"/>
              </w:rPr>
              <w:t>Denmark's residential market grew from DKK ~820K average (1992) to DKK ~2.8M (2024) — a ~240% increase over 32 years.</w:t>
            </w:r>
          </w:p>
        </w:tc>
      </w:tr>
      <w:tr w:rsidR="00D04C28" w14:paraId="38F73B8C"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12A932E" w14:textId="77777777" w:rsidR="00D04C28" w:rsidRDefault="00000000">
            <w:pPr>
              <w:jc w:val="center"/>
            </w:pPr>
            <w:r>
              <w:rPr>
                <w:b/>
                <w:bCs/>
                <w:color w:val="1A1A1A"/>
                <w:sz w:val="18"/>
                <w:szCs w:val="18"/>
              </w:rPr>
              <w:t>2</w:t>
            </w:r>
          </w:p>
        </w:tc>
        <w:tc>
          <w:tcPr>
            <w:tcW w:w="8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95D3CED" w14:textId="77777777" w:rsidR="00D04C28" w:rsidRDefault="00000000">
            <w:r>
              <w:rPr>
                <w:color w:val="1A1A1A"/>
                <w:sz w:val="18"/>
                <w:szCs w:val="18"/>
              </w:rPr>
              <w:t>Villas account for 54% of all transactions, making them the core product of the Danish housing market.</w:t>
            </w:r>
          </w:p>
        </w:tc>
      </w:tr>
      <w:tr w:rsidR="00D04C28" w14:paraId="63A22CF0"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FB42F77" w14:textId="77777777" w:rsidR="00D04C28" w:rsidRDefault="00000000">
            <w:pPr>
              <w:jc w:val="center"/>
            </w:pPr>
            <w:r>
              <w:rPr>
                <w:b/>
                <w:bCs/>
                <w:color w:val="1A1A1A"/>
                <w:sz w:val="18"/>
                <w:szCs w:val="18"/>
              </w:rPr>
              <w:t>3</w:t>
            </w:r>
          </w:p>
        </w:tc>
        <w:tc>
          <w:tcPr>
            <w:tcW w:w="8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E8DDE9E" w14:textId="77777777" w:rsidR="00D04C28" w:rsidRDefault="00000000">
            <w:r>
              <w:rPr>
                <w:color w:val="1A1A1A"/>
                <w:sz w:val="18"/>
                <w:szCs w:val="18"/>
              </w:rPr>
              <w:t>Apartments command the highest SQM price (DKK 25,437–28,689/m²), driven by urban location premiums in Copenhagen-area cities.</w:t>
            </w:r>
          </w:p>
        </w:tc>
      </w:tr>
      <w:tr w:rsidR="00D04C28" w14:paraId="13C584FC"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FA2CF59" w14:textId="77777777" w:rsidR="00D04C28" w:rsidRDefault="00000000">
            <w:pPr>
              <w:jc w:val="center"/>
            </w:pPr>
            <w:r>
              <w:rPr>
                <w:b/>
                <w:bCs/>
                <w:color w:val="1A1A1A"/>
                <w:sz w:val="18"/>
                <w:szCs w:val="18"/>
              </w:rPr>
              <w:t>4</w:t>
            </w:r>
          </w:p>
        </w:tc>
        <w:tc>
          <w:tcPr>
            <w:tcW w:w="8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3F97336" w14:textId="77777777" w:rsidR="00D04C28" w:rsidRDefault="00000000">
            <w:r>
              <w:rPr>
                <w:color w:val="1A1A1A"/>
                <w:sz w:val="18"/>
                <w:szCs w:val="18"/>
              </w:rPr>
              <w:t xml:space="preserve">North Zealand coastal cities (Rungsted Kyst, </w:t>
            </w:r>
            <w:proofErr w:type="spellStart"/>
            <w:r>
              <w:rPr>
                <w:color w:val="1A1A1A"/>
                <w:sz w:val="18"/>
                <w:szCs w:val="18"/>
              </w:rPr>
              <w:t>Klampenborg</w:t>
            </w:r>
            <w:proofErr w:type="spellEnd"/>
            <w:r>
              <w:rPr>
                <w:color w:val="1A1A1A"/>
                <w:sz w:val="18"/>
                <w:szCs w:val="18"/>
              </w:rPr>
              <w:t>, Nordhavn) are the highest-value markets averaging DKK 5.8M–6.1M.</w:t>
            </w:r>
          </w:p>
        </w:tc>
      </w:tr>
      <w:tr w:rsidR="00D04C28" w14:paraId="5BC90295"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B8B6B06" w14:textId="77777777" w:rsidR="00D04C28" w:rsidRDefault="00000000">
            <w:pPr>
              <w:jc w:val="center"/>
            </w:pPr>
            <w:r>
              <w:rPr>
                <w:b/>
                <w:bCs/>
                <w:color w:val="1A1A1A"/>
                <w:sz w:val="18"/>
                <w:szCs w:val="18"/>
              </w:rPr>
              <w:t>5</w:t>
            </w:r>
          </w:p>
        </w:tc>
        <w:tc>
          <w:tcPr>
            <w:tcW w:w="8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E9596DA" w14:textId="77777777" w:rsidR="00D04C28" w:rsidRDefault="00000000">
            <w:r>
              <w:rPr>
                <w:color w:val="1A1A1A"/>
                <w:sz w:val="18"/>
                <w:szCs w:val="18"/>
              </w:rPr>
              <w:t>Modern properties (post-2010) sell at a 50%+ SQM premium over 70s-era builds, reflecting energy efficiency and modern standards.</w:t>
            </w:r>
          </w:p>
        </w:tc>
      </w:tr>
      <w:tr w:rsidR="00D04C28" w14:paraId="041A7190"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97502B8" w14:textId="77777777" w:rsidR="00D04C28" w:rsidRDefault="00000000">
            <w:pPr>
              <w:jc w:val="center"/>
            </w:pPr>
            <w:r>
              <w:rPr>
                <w:b/>
                <w:bCs/>
                <w:color w:val="1A1A1A"/>
                <w:sz w:val="18"/>
                <w:szCs w:val="18"/>
              </w:rPr>
              <w:t>6</w:t>
            </w:r>
          </w:p>
        </w:tc>
        <w:tc>
          <w:tcPr>
            <w:tcW w:w="8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8F61899" w14:textId="77777777" w:rsidR="00D04C28" w:rsidRDefault="00000000">
            <w:r>
              <w:rPr>
                <w:color w:val="1A1A1A"/>
                <w:sz w:val="18"/>
                <w:szCs w:val="18"/>
              </w:rPr>
              <w:t>Real interest rates have the strongest macro influence on prices — negative real rates (2020–22) corresponded to peak price appreciation.</w:t>
            </w:r>
          </w:p>
        </w:tc>
      </w:tr>
      <w:tr w:rsidR="00D04C28" w14:paraId="521C2332"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5835BD6" w14:textId="77777777" w:rsidR="00D04C28" w:rsidRDefault="00000000">
            <w:pPr>
              <w:jc w:val="center"/>
            </w:pPr>
            <w:r>
              <w:rPr>
                <w:b/>
                <w:bCs/>
                <w:color w:val="1A1A1A"/>
                <w:sz w:val="18"/>
                <w:szCs w:val="18"/>
              </w:rPr>
              <w:t>7</w:t>
            </w:r>
          </w:p>
        </w:tc>
        <w:tc>
          <w:tcPr>
            <w:tcW w:w="8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B66CEE7" w14:textId="77777777" w:rsidR="00D04C28" w:rsidRDefault="00000000">
            <w:r>
              <w:rPr>
                <w:color w:val="1A1A1A"/>
                <w:sz w:val="18"/>
                <w:szCs w:val="18"/>
              </w:rPr>
              <w:t>2021 Q1 was the peak activity quarter with 2,263 transactions and DKK 5.9Bn in total sales value.</w:t>
            </w:r>
          </w:p>
        </w:tc>
      </w:tr>
      <w:tr w:rsidR="00D04C28" w14:paraId="6B0E5D37"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C7F269C" w14:textId="77777777" w:rsidR="00D04C28" w:rsidRDefault="00000000">
            <w:pPr>
              <w:jc w:val="center"/>
            </w:pPr>
            <w:r>
              <w:rPr>
                <w:b/>
                <w:bCs/>
                <w:color w:val="1A1A1A"/>
                <w:sz w:val="18"/>
                <w:szCs w:val="18"/>
              </w:rPr>
              <w:t>8</w:t>
            </w:r>
          </w:p>
        </w:tc>
        <w:tc>
          <w:tcPr>
            <w:tcW w:w="8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4F8E24C" w14:textId="77777777" w:rsidR="00D04C28" w:rsidRDefault="00000000">
            <w:r>
              <w:rPr>
                <w:color w:val="1A1A1A"/>
                <w:sz w:val="18"/>
                <w:szCs w:val="18"/>
              </w:rPr>
              <w:t>64% of all transactions have zero negotiation gap — when negotiation occurs, Farms see the deepest discounts (</w:t>
            </w:r>
            <w:proofErr w:type="spellStart"/>
            <w:r>
              <w:rPr>
                <w:color w:val="1A1A1A"/>
                <w:sz w:val="18"/>
                <w:szCs w:val="18"/>
              </w:rPr>
              <w:t>avg</w:t>
            </w:r>
            <w:proofErr w:type="spellEnd"/>
            <w:r>
              <w:rPr>
                <w:color w:val="1A1A1A"/>
                <w:sz w:val="18"/>
                <w:szCs w:val="18"/>
              </w:rPr>
              <w:t xml:space="preserve"> -DKK 237K).</w:t>
            </w:r>
          </w:p>
        </w:tc>
      </w:tr>
      <w:tr w:rsidR="00D04C28" w14:paraId="1786C855"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11AFE7E" w14:textId="77777777" w:rsidR="00D04C28" w:rsidRDefault="00000000">
            <w:pPr>
              <w:jc w:val="center"/>
            </w:pPr>
            <w:r>
              <w:rPr>
                <w:b/>
                <w:bCs/>
                <w:color w:val="1A1A1A"/>
                <w:sz w:val="18"/>
                <w:szCs w:val="18"/>
              </w:rPr>
              <w:t>9</w:t>
            </w:r>
          </w:p>
        </w:tc>
        <w:tc>
          <w:tcPr>
            <w:tcW w:w="8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3A1F6D3" w14:textId="77777777" w:rsidR="00D04C28" w:rsidRDefault="00000000">
            <w:r>
              <w:rPr>
                <w:color w:val="1A1A1A"/>
                <w:sz w:val="18"/>
                <w:szCs w:val="18"/>
              </w:rPr>
              <w:t>Zealand has the lowest distress rate (2.10%) confirming it as the most liquid and stable market; Bornholm has the highest (3.97%).</w:t>
            </w:r>
          </w:p>
        </w:tc>
      </w:tr>
      <w:tr w:rsidR="00D04C28" w14:paraId="65E4A5BC"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8C029E4" w14:textId="77777777" w:rsidR="00D04C28" w:rsidRDefault="00000000">
            <w:pPr>
              <w:jc w:val="center"/>
            </w:pPr>
            <w:r>
              <w:rPr>
                <w:b/>
                <w:bCs/>
                <w:color w:val="1A1A1A"/>
                <w:sz w:val="18"/>
                <w:szCs w:val="18"/>
              </w:rPr>
              <w:t>10</w:t>
            </w:r>
          </w:p>
        </w:tc>
        <w:tc>
          <w:tcPr>
            <w:tcW w:w="8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F13CE77" w14:textId="77777777" w:rsidR="00D04C28" w:rsidRDefault="00000000">
            <w:r>
              <w:rPr>
                <w:color w:val="1A1A1A"/>
                <w:sz w:val="18"/>
                <w:szCs w:val="18"/>
              </w:rPr>
              <w:t>Auction properties trade at a ~25% discount to regular sales, representing a systematic value entry point for investors.</w:t>
            </w:r>
          </w:p>
        </w:tc>
      </w:tr>
      <w:tr w:rsidR="00D04C28" w14:paraId="6DAEE73F"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FB71CE7" w14:textId="77777777" w:rsidR="00D04C28" w:rsidRDefault="00000000">
            <w:pPr>
              <w:jc w:val="center"/>
            </w:pPr>
            <w:r>
              <w:rPr>
                <w:b/>
                <w:bCs/>
                <w:color w:val="1A1A1A"/>
                <w:sz w:val="18"/>
                <w:szCs w:val="18"/>
              </w:rPr>
              <w:t>11</w:t>
            </w:r>
          </w:p>
        </w:tc>
        <w:tc>
          <w:tcPr>
            <w:tcW w:w="8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EDC8A34" w14:textId="77777777" w:rsidR="00D04C28" w:rsidRDefault="00000000">
            <w:r>
              <w:rPr>
                <w:color w:val="1A1A1A"/>
                <w:sz w:val="18"/>
                <w:szCs w:val="18"/>
              </w:rPr>
              <w:t>Cities like Aarhus C show consistent 12–17% YOY price growth in multiple years, qualifying as a high-growth secondary market.</w:t>
            </w:r>
          </w:p>
        </w:tc>
      </w:tr>
      <w:tr w:rsidR="00D04C28" w14:paraId="1BA37704"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9EA4D8D" w14:textId="77777777" w:rsidR="00D04C28" w:rsidRDefault="00000000">
            <w:pPr>
              <w:jc w:val="center"/>
            </w:pPr>
            <w:r>
              <w:rPr>
                <w:b/>
                <w:bCs/>
                <w:color w:val="1A1A1A"/>
                <w:sz w:val="18"/>
                <w:szCs w:val="18"/>
              </w:rPr>
              <w:t>12</w:t>
            </w:r>
          </w:p>
        </w:tc>
        <w:tc>
          <w:tcPr>
            <w:tcW w:w="8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CAE0931" w14:textId="77777777" w:rsidR="00D04C28" w:rsidRDefault="00000000">
            <w:r>
              <w:rPr>
                <w:color w:val="1A1A1A"/>
                <w:sz w:val="18"/>
                <w:szCs w:val="18"/>
              </w:rPr>
              <w:t>Summerhouses are the most negotiated segment (40.4% see a price drop), but average discount (-DKK 94K) is the smallest.</w:t>
            </w:r>
          </w:p>
        </w:tc>
      </w:tr>
    </w:tbl>
    <w:p w14:paraId="6919A29A" w14:textId="77777777" w:rsidR="00D04C28" w:rsidRDefault="00000000">
      <w:r>
        <w:br w:type="page"/>
      </w:r>
    </w:p>
    <w:p w14:paraId="177FD918" w14:textId="77777777" w:rsidR="00D04C28" w:rsidRDefault="00000000">
      <w:pPr>
        <w:pStyle w:val="Heading1"/>
        <w:pBdr>
          <w:bottom w:val="single" w:sz="6" w:space="4" w:color="C0392B"/>
        </w:pBdr>
      </w:pPr>
      <w:r>
        <w:lastRenderedPageBreak/>
        <w:t>8. Business Recommendations</w:t>
      </w:r>
    </w:p>
    <w:p w14:paraId="1EB83DD2" w14:textId="77777777" w:rsidR="00D04C28" w:rsidRDefault="00000000">
      <w:pPr>
        <w:spacing w:before="60" w:after="100"/>
        <w:jc w:val="both"/>
      </w:pPr>
      <w:r>
        <w:rPr>
          <w:color w:val="1A1A1A"/>
        </w:rPr>
        <w:t>Based on the full analysis across Python EDA, SQL business queries, and Power BI dashboard insights, the following strategic recommendations are made for a real estate consulting and investment firm operating in the Danish market.</w:t>
      </w:r>
    </w:p>
    <w:p w14:paraId="1D285B70" w14:textId="77777777" w:rsidR="00D04C28" w:rsidRDefault="00D04C28">
      <w:pPr>
        <w:spacing w:after="80"/>
      </w:pPr>
    </w:p>
    <w:p w14:paraId="3048895E" w14:textId="77777777" w:rsidR="00D04C28" w:rsidRDefault="00000000">
      <w:pPr>
        <w:pStyle w:val="Heading2"/>
      </w:pPr>
      <w:r>
        <w:t>8.1 Investment Strategy Recommendations</w:t>
      </w:r>
    </w:p>
    <w:p w14:paraId="69CA9F08" w14:textId="77777777" w:rsidR="00D04C28" w:rsidRDefault="00000000">
      <w:pPr>
        <w:pStyle w:val="Heading3"/>
      </w:pPr>
      <w:r>
        <w:t>Recommendation 1: Prioritize Zealand for Core Investment</w:t>
      </w:r>
    </w:p>
    <w:p w14:paraId="1D43E57A" w14:textId="77777777" w:rsidR="00D04C28" w:rsidRDefault="00000000">
      <w:pPr>
        <w:spacing w:before="60" w:after="100"/>
        <w:jc w:val="both"/>
      </w:pPr>
      <w:r>
        <w:rPr>
          <w:color w:val="1A1A1A"/>
        </w:rPr>
        <w:t xml:space="preserve">Zealand — particularly the North Shore corridor (Rungsted Kyst, </w:t>
      </w:r>
      <w:proofErr w:type="spellStart"/>
      <w:r>
        <w:rPr>
          <w:color w:val="1A1A1A"/>
        </w:rPr>
        <w:t>Klampenborg</w:t>
      </w:r>
      <w:proofErr w:type="spellEnd"/>
      <w:r>
        <w:rPr>
          <w:color w:val="1A1A1A"/>
        </w:rPr>
        <w:t>, Vedbæk) — offers the highest property values, the lowest distressed sale rate (2.10%), and the broadest price IQR spread (DKK 2.1M). This market exhibits the strongest demand fundamentals and should be the primary focus for premium portfolio allocation.</w:t>
      </w:r>
    </w:p>
    <w:p w14:paraId="50C73E8E" w14:textId="77777777" w:rsidR="00D04C28" w:rsidRDefault="00D04C28">
      <w:pPr>
        <w:spacing w:after="80"/>
      </w:pPr>
    </w:p>
    <w:p w14:paraId="06B7A123" w14:textId="77777777" w:rsidR="00D04C28" w:rsidRDefault="00000000">
      <w:pPr>
        <w:pStyle w:val="Heading3"/>
      </w:pPr>
      <w:r>
        <w:t>Recommendation 2: Target Aarhus C and Aalborg as Growth Markets</w:t>
      </w:r>
    </w:p>
    <w:p w14:paraId="4DAD5D22" w14:textId="77777777" w:rsidR="00D04C28" w:rsidRDefault="00000000">
      <w:pPr>
        <w:spacing w:before="60" w:after="100"/>
        <w:jc w:val="both"/>
      </w:pPr>
      <w:r>
        <w:rPr>
          <w:color w:val="1A1A1A"/>
        </w:rPr>
        <w:t>Aarhus C shows 12–17% YOY price growth in multiple years, making it the strongest secondary growth market identified. Aalborg shows consistent positive growth. Both offer entry price points significantly below Copenhagen-area premiums while delivering superior capital appreciation rates. A buy-and-hold strategy in Aarhus C Apartments or modern-era Townhouses is well-supported by the data.</w:t>
      </w:r>
    </w:p>
    <w:p w14:paraId="0EDABBA5" w14:textId="77777777" w:rsidR="00D04C28" w:rsidRDefault="00D04C28">
      <w:pPr>
        <w:spacing w:after="80"/>
      </w:pPr>
    </w:p>
    <w:p w14:paraId="785D57B2" w14:textId="77777777" w:rsidR="00D04C28" w:rsidRDefault="00000000">
      <w:pPr>
        <w:pStyle w:val="Heading3"/>
      </w:pPr>
      <w:r>
        <w:t>Recommendation 3: Use Auctions as a Value Entry Strategy</w:t>
      </w:r>
    </w:p>
    <w:p w14:paraId="2FFA2EB1" w14:textId="77777777" w:rsidR="00D04C28" w:rsidRDefault="00000000">
      <w:pPr>
        <w:spacing w:before="60" w:after="100"/>
        <w:jc w:val="both"/>
      </w:pPr>
      <w:r>
        <w:rPr>
          <w:color w:val="1A1A1A"/>
        </w:rPr>
        <w:t>Auction properties sell at an average 25% discount versus regular sales (DKK 1.47M vs DKK 1.97M). Investors with capacity to assess and renovate distressed properties should actively monitor auction pipelines — particularly in Bornholm and Fyn where distress rates are higher — to capture forced-sale discounts.</w:t>
      </w:r>
    </w:p>
    <w:p w14:paraId="2BDE0CDA" w14:textId="77777777" w:rsidR="00D04C28" w:rsidRDefault="00D04C28">
      <w:pPr>
        <w:spacing w:after="80"/>
      </w:pPr>
    </w:p>
    <w:p w14:paraId="009FC4CA" w14:textId="77777777" w:rsidR="00D04C28" w:rsidRDefault="00000000">
      <w:pPr>
        <w:pStyle w:val="Heading3"/>
      </w:pPr>
      <w:r>
        <w:t>Recommendation 4: Modern and 2000s Build Era Properties for Premium Returns</w:t>
      </w:r>
    </w:p>
    <w:p w14:paraId="0C4D38B3" w14:textId="77777777" w:rsidR="00D04C28" w:rsidRDefault="00000000">
      <w:pPr>
        <w:spacing w:before="60" w:after="100"/>
        <w:jc w:val="both"/>
      </w:pPr>
      <w:r>
        <w:rPr>
          <w:color w:val="1A1A1A"/>
        </w:rPr>
        <w:t>Modern-era (post-2010) properties command a 50%+ SQM premium over 70s and 80-90s builds. Investors should avoid 70s-80s era properties unless the acquisition price reflects the renovation discount. New-build acquisition or conversion investment in the Modern tier offers the best price-per-m² growth trajectory.</w:t>
      </w:r>
    </w:p>
    <w:p w14:paraId="0984F12A" w14:textId="77777777" w:rsidR="00D04C28" w:rsidRDefault="00D04C28">
      <w:pPr>
        <w:spacing w:after="80"/>
      </w:pPr>
    </w:p>
    <w:p w14:paraId="4C2497D6" w14:textId="77777777" w:rsidR="00D04C28" w:rsidRDefault="00000000">
      <w:pPr>
        <w:pStyle w:val="Heading2"/>
      </w:pPr>
      <w:r>
        <w:t>8.2 Pricing &amp; Product Strategy</w:t>
      </w:r>
    </w:p>
    <w:p w14:paraId="32E1B815" w14:textId="77777777" w:rsidR="00D04C28" w:rsidRDefault="00000000">
      <w:pPr>
        <w:pStyle w:val="Heading3"/>
      </w:pPr>
      <w:r>
        <w:t>Recommendation 5: Use SQM Price as the Core Valuation Metric</w:t>
      </w:r>
    </w:p>
    <w:p w14:paraId="185FDCCA" w14:textId="77777777" w:rsidR="00D04C28" w:rsidRDefault="00000000">
      <w:pPr>
        <w:spacing w:before="60" w:after="100"/>
        <w:jc w:val="both"/>
      </w:pPr>
      <w:r>
        <w:rPr>
          <w:color w:val="1A1A1A"/>
        </w:rPr>
        <w:t>Total purchase price varies enormously by property size, making comparisons misleading. SQM price provides a standardized, like-for-like valuation basis. The firm's pricing models and client advisory tools should default to SQM price as the primary comparator, especially for cross-city and cross-type analysis.</w:t>
      </w:r>
    </w:p>
    <w:p w14:paraId="30A5FF16" w14:textId="77777777" w:rsidR="00D04C28" w:rsidRDefault="00D04C28">
      <w:pPr>
        <w:spacing w:after="80"/>
      </w:pPr>
    </w:p>
    <w:p w14:paraId="6B37B054" w14:textId="77777777" w:rsidR="00D04C28" w:rsidRDefault="00000000">
      <w:pPr>
        <w:pStyle w:val="Heading3"/>
      </w:pPr>
      <w:r>
        <w:t>Recommendation 6: Exploit the Room Count Premium</w:t>
      </w:r>
    </w:p>
    <w:p w14:paraId="52746F57" w14:textId="77777777" w:rsidR="00D04C28" w:rsidRDefault="00000000">
      <w:pPr>
        <w:spacing w:before="60" w:after="100"/>
        <w:jc w:val="both"/>
      </w:pPr>
      <w:r>
        <w:rPr>
          <w:color w:val="1A1A1A"/>
        </w:rPr>
        <w:t>There is a near-linear positive relationship between room count and average purchase price. For development or acquisition decisions, properties with 8+ rooms are systematically underrepresented in supply but show strong average prices. Larger family-oriented villas and townhouses in mid-market cities represent an under-served segment.</w:t>
      </w:r>
    </w:p>
    <w:p w14:paraId="57E03AF0" w14:textId="77777777" w:rsidR="00D04C28" w:rsidRDefault="00D04C28">
      <w:pPr>
        <w:spacing w:after="80"/>
      </w:pPr>
    </w:p>
    <w:p w14:paraId="5041FD53" w14:textId="77777777" w:rsidR="00D04C28" w:rsidRDefault="00000000">
      <w:pPr>
        <w:pStyle w:val="Heading3"/>
      </w:pPr>
      <w:r>
        <w:lastRenderedPageBreak/>
        <w:t>Recommendation 7: Differentiate Negotiation Strategies by Property Type</w:t>
      </w:r>
    </w:p>
    <w:p w14:paraId="0EA047D3" w14:textId="77777777" w:rsidR="00D04C28" w:rsidRDefault="00000000">
      <w:pPr>
        <w:spacing w:before="60" w:after="100"/>
        <w:jc w:val="both"/>
      </w:pPr>
      <w:r>
        <w:rPr>
          <w:color w:val="1A1A1A"/>
        </w:rPr>
        <w:t>Farm and Villa buyers should expect to negotiate (39–40% of transactions see a gap) and can target meaningful discounts (DKK 125K–237K on average). Apartment buyers face stiffer pricing — urban demand keeps sellers firm (only 31% see negotiation). Summerhouse buyers should negotiate consistently but expect modest gains. Pricing advisory to clients should be calibrated accordingly.</w:t>
      </w:r>
    </w:p>
    <w:p w14:paraId="35F027FE" w14:textId="77777777" w:rsidR="00D04C28" w:rsidRDefault="00D04C28">
      <w:pPr>
        <w:spacing w:after="80"/>
      </w:pPr>
    </w:p>
    <w:p w14:paraId="593B19E8" w14:textId="77777777" w:rsidR="00D04C28" w:rsidRDefault="00000000">
      <w:pPr>
        <w:pStyle w:val="Heading2"/>
      </w:pPr>
      <w:r>
        <w:t>8.3 Macro-Timing &amp; Risk Management</w:t>
      </w:r>
    </w:p>
    <w:p w14:paraId="4B5DC2EE" w14:textId="77777777" w:rsidR="00D04C28" w:rsidRDefault="00000000">
      <w:pPr>
        <w:pStyle w:val="Heading3"/>
      </w:pPr>
      <w:r>
        <w:t>Recommendation 8: Monitor Real Interest Rate as the Primary Market Timing Signal</w:t>
      </w:r>
    </w:p>
    <w:p w14:paraId="670C02A5" w14:textId="77777777" w:rsidR="00D04C28" w:rsidRDefault="00000000">
      <w:pPr>
        <w:spacing w:before="60" w:after="100"/>
        <w:jc w:val="both"/>
      </w:pPr>
      <w:r>
        <w:rPr>
          <w:color w:val="1A1A1A"/>
        </w:rPr>
        <w:t>The analysis confirms that real interest rate (nominal rate minus inflation) is the most predictive macro variable for Danish property price direction. When real rates are negative or near-zero, the market is in an expansion phase — accelerate acquisitions. When real rates rise above 2–3%, expect price moderation or correction — reduce exposure or target value plays.</w:t>
      </w:r>
    </w:p>
    <w:p w14:paraId="52CE5A25" w14:textId="77777777" w:rsidR="00D04C28" w:rsidRDefault="00D04C28">
      <w:pPr>
        <w:spacing w:after="80"/>
      </w:pPr>
    </w:p>
    <w:p w14:paraId="51650DFD" w14:textId="77777777" w:rsidR="00D04C28" w:rsidRDefault="00000000">
      <w:pPr>
        <w:pStyle w:val="Heading3"/>
      </w:pPr>
      <w:r>
        <w:t>Recommendation 9: Avoid Over-Exposure to Bornholm</w:t>
      </w:r>
    </w:p>
    <w:p w14:paraId="2CD686DE" w14:textId="77777777" w:rsidR="00D04C28" w:rsidRDefault="00000000">
      <w:pPr>
        <w:spacing w:before="60" w:after="100"/>
        <w:jc w:val="both"/>
      </w:pPr>
      <w:r>
        <w:rPr>
          <w:color w:val="1A1A1A"/>
        </w:rPr>
        <w:t>Bornholm's 3.97% distressed sale rate and small market size signal weaker demand and lower liquidity. While entry prices may appear attractive, exit risk is elevated. The firm should limit Bornholm exposure to opportunistic, short-hold strategies rather than core portfolio allocation.</w:t>
      </w:r>
    </w:p>
    <w:p w14:paraId="3D00B1F7" w14:textId="77777777" w:rsidR="00D04C28" w:rsidRDefault="00D04C28">
      <w:pPr>
        <w:spacing w:after="80"/>
      </w:pPr>
    </w:p>
    <w:p w14:paraId="5EB816DD" w14:textId="77777777" w:rsidR="00D04C28" w:rsidRDefault="00000000">
      <w:pPr>
        <w:pStyle w:val="Heading3"/>
      </w:pPr>
      <w:r>
        <w:t>Recommendation 10: Leverage the Winter Buying Window</w:t>
      </w:r>
    </w:p>
    <w:p w14:paraId="5751F6B9" w14:textId="77777777" w:rsidR="00D04C28" w:rsidRDefault="00000000">
      <w:pPr>
        <w:spacing w:before="60" w:after="100"/>
        <w:jc w:val="both"/>
      </w:pPr>
      <w:r>
        <w:rPr>
          <w:color w:val="1A1A1A"/>
        </w:rPr>
        <w:t>Winter sees the highest average purchase prices (DKK 1,960K+) but also the lowest volume — suggesting that winter buyers are motivated, well-qualified purchasers of higher-value properties. Sellers listing in winter may transact faster. The firm should time premium property launches for autumn and track winter closing volumes as a demand health indicator.</w:t>
      </w:r>
    </w:p>
    <w:p w14:paraId="7E72FA42" w14:textId="77777777" w:rsidR="00D04C28" w:rsidRDefault="00D04C28">
      <w:pPr>
        <w:spacing w:after="80"/>
      </w:pPr>
    </w:p>
    <w:p w14:paraId="6AF57819" w14:textId="77777777" w:rsidR="00D04C28" w:rsidRDefault="00000000">
      <w:r>
        <w:br w:type="page"/>
      </w:r>
    </w:p>
    <w:p w14:paraId="660D53B0" w14:textId="77777777" w:rsidR="00D04C28" w:rsidRDefault="00000000">
      <w:pPr>
        <w:pStyle w:val="Heading1"/>
        <w:pBdr>
          <w:bottom w:val="single" w:sz="6" w:space="4" w:color="C0392B"/>
        </w:pBdr>
      </w:pPr>
      <w:r>
        <w:lastRenderedPageBreak/>
        <w:t>9. Technology Stack &amp; Tools</w:t>
      </w:r>
    </w:p>
    <w:p w14:paraId="2850637A" w14:textId="77777777" w:rsidR="00D04C28" w:rsidRDefault="00D04C2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4680"/>
      </w:tblGrid>
      <w:tr w:rsidR="00D04C28" w14:paraId="73E1AB72" w14:textId="77777777">
        <w:tc>
          <w:tcPr>
            <w:tcW w:w="234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40" w:type="dxa"/>
              <w:bottom w:w="80" w:type="dxa"/>
              <w:right w:w="140" w:type="dxa"/>
            </w:tcMar>
            <w:vAlign w:val="center"/>
          </w:tcPr>
          <w:p w14:paraId="2F04FF4F" w14:textId="77777777" w:rsidR="00D04C28" w:rsidRDefault="00000000">
            <w:pPr>
              <w:jc w:val="center"/>
            </w:pPr>
            <w:r>
              <w:rPr>
                <w:b/>
                <w:bCs/>
                <w:color w:val="FFFFFF"/>
                <w:sz w:val="18"/>
                <w:szCs w:val="18"/>
              </w:rPr>
              <w:t>Tool</w:t>
            </w:r>
          </w:p>
        </w:tc>
        <w:tc>
          <w:tcPr>
            <w:tcW w:w="234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40" w:type="dxa"/>
              <w:bottom w:w="80" w:type="dxa"/>
              <w:right w:w="140" w:type="dxa"/>
            </w:tcMar>
            <w:vAlign w:val="center"/>
          </w:tcPr>
          <w:p w14:paraId="6DC3582E" w14:textId="77777777" w:rsidR="00D04C28" w:rsidRDefault="00000000">
            <w:pPr>
              <w:jc w:val="center"/>
            </w:pPr>
            <w:r>
              <w:rPr>
                <w:b/>
                <w:bCs/>
                <w:color w:val="FFFFFF"/>
                <w:sz w:val="18"/>
                <w:szCs w:val="18"/>
              </w:rPr>
              <w:t>Purpose</w:t>
            </w:r>
          </w:p>
        </w:tc>
        <w:tc>
          <w:tcPr>
            <w:tcW w:w="468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40" w:type="dxa"/>
              <w:bottom w:w="80" w:type="dxa"/>
              <w:right w:w="140" w:type="dxa"/>
            </w:tcMar>
            <w:vAlign w:val="center"/>
          </w:tcPr>
          <w:p w14:paraId="7A1ADEC9" w14:textId="77777777" w:rsidR="00D04C28" w:rsidRDefault="00000000">
            <w:pPr>
              <w:jc w:val="center"/>
            </w:pPr>
            <w:r>
              <w:rPr>
                <w:b/>
                <w:bCs/>
                <w:color w:val="FFFFFF"/>
                <w:sz w:val="18"/>
                <w:szCs w:val="18"/>
              </w:rPr>
              <w:t>Key Libraries / Features Used</w:t>
            </w:r>
          </w:p>
        </w:tc>
      </w:tr>
      <w:tr w:rsidR="00D04C28" w14:paraId="37119465"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37B19F1" w14:textId="77777777" w:rsidR="00D04C28" w:rsidRDefault="00000000">
            <w:r>
              <w:rPr>
                <w:b/>
                <w:bCs/>
                <w:color w:val="1A1A1A"/>
                <w:sz w:val="18"/>
                <w:szCs w:val="18"/>
              </w:rPr>
              <w:t>Python 3.x</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49F1130" w14:textId="77777777" w:rsidR="00D04C28" w:rsidRDefault="00000000">
            <w:r>
              <w:rPr>
                <w:color w:val="1A1A1A"/>
                <w:sz w:val="18"/>
                <w:szCs w:val="18"/>
              </w:rPr>
              <w:t>Data Cleaning &amp; EDA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56321B9" w14:textId="77777777" w:rsidR="00D04C28" w:rsidRDefault="00000000">
            <w:r>
              <w:rPr>
                <w:color w:val="1A1A1A"/>
                <w:sz w:val="18"/>
                <w:szCs w:val="18"/>
              </w:rPr>
              <w:t xml:space="preserve">Pandas, NumPy, Matplotlib, Seaborn, </w:t>
            </w:r>
            <w:proofErr w:type="spellStart"/>
            <w:r>
              <w:rPr>
                <w:color w:val="1A1A1A"/>
                <w:sz w:val="18"/>
                <w:szCs w:val="18"/>
              </w:rPr>
              <w:t>SQLAlchemy</w:t>
            </w:r>
            <w:proofErr w:type="spellEnd"/>
          </w:p>
        </w:tc>
      </w:tr>
      <w:tr w:rsidR="00D04C28" w14:paraId="4E9087E5"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876A688" w14:textId="77777777" w:rsidR="00D04C28" w:rsidRDefault="00000000">
            <w:proofErr w:type="spellStart"/>
            <w:r>
              <w:rPr>
                <w:b/>
                <w:bCs/>
                <w:color w:val="1A1A1A"/>
                <w:sz w:val="18"/>
                <w:szCs w:val="18"/>
              </w:rPr>
              <w:t>Jupyter</w:t>
            </w:r>
            <w:proofErr w:type="spellEnd"/>
            <w:r>
              <w:rPr>
                <w:b/>
                <w:bCs/>
                <w:color w:val="1A1A1A"/>
                <w:sz w:val="18"/>
                <w:szCs w:val="18"/>
              </w:rPr>
              <w:t xml:space="preserve"> Notebook</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ADF7FF4" w14:textId="77777777" w:rsidR="00D04C28" w:rsidRDefault="00000000">
            <w:r>
              <w:rPr>
                <w:color w:val="1A1A1A"/>
                <w:sz w:val="18"/>
                <w:szCs w:val="18"/>
              </w:rPr>
              <w:t>Interactive Analysis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B3C9799" w14:textId="77777777" w:rsidR="00D04C28" w:rsidRDefault="00000000">
            <w:r>
              <w:rPr>
                <w:color w:val="1A1A1A"/>
                <w:sz w:val="18"/>
                <w:szCs w:val="18"/>
              </w:rPr>
              <w:t>Cell-based exploration, inline visualizations</w:t>
            </w:r>
          </w:p>
        </w:tc>
      </w:tr>
      <w:tr w:rsidR="00D04C28" w14:paraId="6ED88C3E"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9BA48B1" w14:textId="77777777" w:rsidR="00D04C28" w:rsidRDefault="00000000">
            <w:r>
              <w:rPr>
                <w:b/>
                <w:bCs/>
                <w:color w:val="1A1A1A"/>
                <w:sz w:val="18"/>
                <w:szCs w:val="18"/>
              </w:rPr>
              <w:t>MySQL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A836261" w14:textId="77777777" w:rsidR="00D04C28" w:rsidRDefault="00000000">
            <w:r>
              <w:rPr>
                <w:color w:val="1A1A1A"/>
                <w:sz w:val="18"/>
                <w:szCs w:val="18"/>
              </w:rPr>
              <w:t>SQL Business Analysis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D61DFEE" w14:textId="77777777" w:rsidR="00D04C28" w:rsidRDefault="00000000">
            <w:r>
              <w:rPr>
                <w:color w:val="1A1A1A"/>
                <w:sz w:val="18"/>
                <w:szCs w:val="18"/>
              </w:rPr>
              <w:t>Window functions (LEAD, OVER PARTITION BY), GROUP BY aggregations, subqueries, CASE statements, CTEs</w:t>
            </w:r>
          </w:p>
        </w:tc>
      </w:tr>
      <w:tr w:rsidR="00D04C28" w14:paraId="3B2245EA"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4891E1D" w14:textId="77777777" w:rsidR="00D04C28" w:rsidRDefault="00000000">
            <w:r>
              <w:rPr>
                <w:b/>
                <w:bCs/>
                <w:color w:val="1A1A1A"/>
                <w:sz w:val="18"/>
                <w:szCs w:val="18"/>
              </w:rPr>
              <w:t>Power BI Desktop</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B54EE1E" w14:textId="77777777" w:rsidR="00D04C28" w:rsidRDefault="00000000">
            <w:r>
              <w:rPr>
                <w:color w:val="1A1A1A"/>
                <w:sz w:val="18"/>
                <w:szCs w:val="18"/>
              </w:rPr>
              <w:t>Dashboard &amp; Visualization</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43FB57D" w14:textId="77777777" w:rsidR="00D04C28" w:rsidRDefault="00000000">
            <w:r>
              <w:rPr>
                <w:color w:val="1A1A1A"/>
                <w:sz w:val="18"/>
                <w:szCs w:val="18"/>
              </w:rPr>
              <w:t>Custom DAX measures, cross-page filtering, slicers, interactive charts</w:t>
            </w:r>
          </w:p>
        </w:tc>
      </w:tr>
      <w:tr w:rsidR="00D04C28" w14:paraId="7B191281"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CE1031E" w14:textId="77777777" w:rsidR="00D04C28" w:rsidRDefault="00000000">
            <w:r>
              <w:rPr>
                <w:b/>
                <w:bCs/>
                <w:color w:val="1A1A1A"/>
                <w:sz w:val="18"/>
                <w:szCs w:val="18"/>
              </w:rPr>
              <w:t>GitHub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F4158F5" w14:textId="77777777" w:rsidR="00D04C28" w:rsidRDefault="00000000">
            <w:r>
              <w:rPr>
                <w:color w:val="1A1A1A"/>
                <w:sz w:val="18"/>
                <w:szCs w:val="18"/>
              </w:rPr>
              <w:t>Version Control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8FE9EA6" w14:textId="77777777" w:rsidR="00D04C28" w:rsidRDefault="00000000">
            <w:r>
              <w:rPr>
                <w:color w:val="1A1A1A"/>
                <w:sz w:val="18"/>
                <w:szCs w:val="18"/>
              </w:rPr>
              <w:t xml:space="preserve">Project repository with </w:t>
            </w:r>
            <w:proofErr w:type="spellStart"/>
            <w:r>
              <w:rPr>
                <w:color w:val="1A1A1A"/>
                <w:sz w:val="18"/>
                <w:szCs w:val="18"/>
              </w:rPr>
              <w:t>ipynb</w:t>
            </w:r>
            <w:proofErr w:type="spellEnd"/>
            <w:r>
              <w:rPr>
                <w:color w:val="1A1A1A"/>
                <w:sz w:val="18"/>
                <w:szCs w:val="18"/>
              </w:rPr>
              <w:t>, SQL, and documentation</w:t>
            </w:r>
          </w:p>
        </w:tc>
      </w:tr>
    </w:tbl>
    <w:p w14:paraId="0BE7D4A7" w14:textId="77777777" w:rsidR="00D04C28" w:rsidRDefault="00D04C28">
      <w:pPr>
        <w:spacing w:after="80"/>
      </w:pPr>
    </w:p>
    <w:p w14:paraId="57D5D2D3" w14:textId="77777777" w:rsidR="00D04C28" w:rsidRDefault="00000000">
      <w:pPr>
        <w:pStyle w:val="Heading2"/>
      </w:pPr>
      <w:r>
        <w:t>Project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D04C28" w14:paraId="417CA53B" w14:textId="77777777">
        <w:tc>
          <w:tcPr>
            <w:tcW w:w="1560" w:type="dxa"/>
            <w:tcBorders>
              <w:top w:val="single" w:sz="4" w:space="0" w:color="8B0000"/>
              <w:left w:val="single" w:sz="4" w:space="0" w:color="8B0000"/>
              <w:bottom w:val="single" w:sz="4" w:space="0" w:color="8B0000"/>
              <w:right w:val="single" w:sz="1" w:space="0" w:color="CCCCCC"/>
            </w:tcBorders>
            <w:shd w:val="clear" w:color="auto" w:fill="8B0000"/>
            <w:tcMar>
              <w:top w:w="140" w:type="dxa"/>
              <w:left w:w="120" w:type="dxa"/>
              <w:bottom w:w="140" w:type="dxa"/>
              <w:right w:w="120" w:type="dxa"/>
            </w:tcMar>
            <w:vAlign w:val="center"/>
          </w:tcPr>
          <w:p w14:paraId="4105BF6B" w14:textId="77777777" w:rsidR="00D04C28" w:rsidRDefault="00000000">
            <w:pPr>
              <w:jc w:val="center"/>
            </w:pPr>
            <w:r>
              <w:rPr>
                <w:b/>
                <w:bCs/>
                <w:color w:val="FFFFFF"/>
                <w:sz w:val="18"/>
                <w:szCs w:val="18"/>
              </w:rPr>
              <w:t>Business Problem</w:t>
            </w:r>
          </w:p>
          <w:p w14:paraId="148D52C0" w14:textId="77777777" w:rsidR="00D04C28" w:rsidRDefault="00000000">
            <w:pPr>
              <w:jc w:val="center"/>
            </w:pPr>
            <w:r>
              <w:rPr>
                <w:color w:val="FFFFFF"/>
                <w:sz w:val="16"/>
                <w:szCs w:val="16"/>
              </w:rPr>
              <w:t>Definition</w:t>
            </w:r>
          </w:p>
        </w:tc>
        <w:tc>
          <w:tcPr>
            <w:tcW w:w="1560" w:type="dxa"/>
            <w:tcBorders>
              <w:top w:val="single" w:sz="4" w:space="0" w:color="8B0000"/>
              <w:left w:val="single" w:sz="1" w:space="0" w:color="CCCCCC"/>
              <w:bottom w:val="single" w:sz="4" w:space="0" w:color="8B0000"/>
              <w:right w:val="single" w:sz="1" w:space="0" w:color="CCCCCC"/>
            </w:tcBorders>
            <w:shd w:val="clear" w:color="auto" w:fill="C0392B"/>
            <w:tcMar>
              <w:top w:w="140" w:type="dxa"/>
              <w:left w:w="120" w:type="dxa"/>
              <w:bottom w:w="140" w:type="dxa"/>
              <w:right w:w="120" w:type="dxa"/>
            </w:tcMar>
            <w:vAlign w:val="center"/>
          </w:tcPr>
          <w:p w14:paraId="0CAC524A" w14:textId="77777777" w:rsidR="00D04C28" w:rsidRDefault="00000000">
            <w:pPr>
              <w:jc w:val="center"/>
            </w:pPr>
            <w:r>
              <w:rPr>
                <w:b/>
                <w:bCs/>
                <w:color w:val="FFFFFF"/>
                <w:sz w:val="18"/>
                <w:szCs w:val="18"/>
              </w:rPr>
              <w:t>Data Cleaning</w:t>
            </w:r>
          </w:p>
          <w:p w14:paraId="49DD9FBF" w14:textId="77777777" w:rsidR="00D04C28" w:rsidRDefault="00000000">
            <w:pPr>
              <w:jc w:val="center"/>
            </w:pPr>
            <w:r>
              <w:rPr>
                <w:color w:val="FFFFFF"/>
                <w:sz w:val="16"/>
                <w:szCs w:val="16"/>
              </w:rPr>
              <w:t>&amp; EDA (Python)</w:t>
            </w:r>
          </w:p>
        </w:tc>
        <w:tc>
          <w:tcPr>
            <w:tcW w:w="1560" w:type="dxa"/>
            <w:tcBorders>
              <w:top w:val="single" w:sz="4" w:space="0" w:color="8B0000"/>
              <w:left w:val="single" w:sz="1" w:space="0" w:color="CCCCCC"/>
              <w:bottom w:val="single" w:sz="4" w:space="0" w:color="8B0000"/>
              <w:right w:val="single" w:sz="1" w:space="0" w:color="CCCCCC"/>
            </w:tcBorders>
            <w:shd w:val="clear" w:color="auto" w:fill="34495E"/>
            <w:tcMar>
              <w:top w:w="140" w:type="dxa"/>
              <w:left w:w="120" w:type="dxa"/>
              <w:bottom w:w="140" w:type="dxa"/>
              <w:right w:w="120" w:type="dxa"/>
            </w:tcMar>
            <w:vAlign w:val="center"/>
          </w:tcPr>
          <w:p w14:paraId="56464B6F" w14:textId="77777777" w:rsidR="00D04C28" w:rsidRDefault="00000000">
            <w:pPr>
              <w:jc w:val="center"/>
            </w:pPr>
            <w:r>
              <w:rPr>
                <w:b/>
                <w:bCs/>
                <w:color w:val="FFFFFF"/>
                <w:sz w:val="18"/>
                <w:szCs w:val="18"/>
              </w:rPr>
              <w:t>SQL Analysis</w:t>
            </w:r>
          </w:p>
          <w:p w14:paraId="61C8D47D" w14:textId="77777777" w:rsidR="00D04C28" w:rsidRDefault="00000000">
            <w:pPr>
              <w:jc w:val="center"/>
            </w:pPr>
            <w:r>
              <w:rPr>
                <w:color w:val="FFFFFF"/>
                <w:sz w:val="16"/>
                <w:szCs w:val="16"/>
              </w:rPr>
              <w:t>18 Queries (MySQL)</w:t>
            </w:r>
          </w:p>
        </w:tc>
        <w:tc>
          <w:tcPr>
            <w:tcW w:w="1560" w:type="dxa"/>
            <w:tcBorders>
              <w:top w:val="single" w:sz="4" w:space="0" w:color="8B0000"/>
              <w:left w:val="single" w:sz="1" w:space="0" w:color="CCCCCC"/>
              <w:bottom w:val="single" w:sz="4" w:space="0" w:color="8B0000"/>
              <w:right w:val="single" w:sz="1" w:space="0" w:color="CCCCCC"/>
            </w:tcBorders>
            <w:shd w:val="clear" w:color="auto" w:fill="1A5276"/>
            <w:tcMar>
              <w:top w:w="140" w:type="dxa"/>
              <w:left w:w="120" w:type="dxa"/>
              <w:bottom w:w="140" w:type="dxa"/>
              <w:right w:w="120" w:type="dxa"/>
            </w:tcMar>
            <w:vAlign w:val="center"/>
          </w:tcPr>
          <w:p w14:paraId="708CA037" w14:textId="77777777" w:rsidR="00D04C28" w:rsidRDefault="00000000">
            <w:pPr>
              <w:jc w:val="center"/>
            </w:pPr>
            <w:r>
              <w:rPr>
                <w:b/>
                <w:bCs/>
                <w:color w:val="FFFFFF"/>
                <w:sz w:val="18"/>
                <w:szCs w:val="18"/>
              </w:rPr>
              <w:t>Power BI</w:t>
            </w:r>
          </w:p>
          <w:p w14:paraId="5DEB51E5" w14:textId="77777777" w:rsidR="00D04C28" w:rsidRDefault="00000000">
            <w:pPr>
              <w:jc w:val="center"/>
            </w:pPr>
            <w:r>
              <w:rPr>
                <w:color w:val="FFFFFF"/>
                <w:sz w:val="16"/>
                <w:szCs w:val="16"/>
              </w:rPr>
              <w:t>3-Page Dashboard</w:t>
            </w:r>
          </w:p>
        </w:tc>
        <w:tc>
          <w:tcPr>
            <w:tcW w:w="1560" w:type="dxa"/>
            <w:tcBorders>
              <w:top w:val="single" w:sz="4" w:space="0" w:color="8B0000"/>
              <w:left w:val="single" w:sz="1" w:space="0" w:color="CCCCCC"/>
              <w:bottom w:val="single" w:sz="4" w:space="0" w:color="8B0000"/>
              <w:right w:val="single" w:sz="1" w:space="0" w:color="CCCCCC"/>
            </w:tcBorders>
            <w:shd w:val="clear" w:color="auto" w:fill="117A65"/>
            <w:tcMar>
              <w:top w:w="140" w:type="dxa"/>
              <w:left w:w="120" w:type="dxa"/>
              <w:bottom w:w="140" w:type="dxa"/>
              <w:right w:w="120" w:type="dxa"/>
            </w:tcMar>
            <w:vAlign w:val="center"/>
          </w:tcPr>
          <w:p w14:paraId="27B19808" w14:textId="77777777" w:rsidR="00D04C28" w:rsidRDefault="00000000">
            <w:pPr>
              <w:jc w:val="center"/>
            </w:pPr>
            <w:r>
              <w:rPr>
                <w:b/>
                <w:bCs/>
                <w:color w:val="FFFFFF"/>
                <w:sz w:val="18"/>
                <w:szCs w:val="18"/>
              </w:rPr>
              <w:t>Project Report</w:t>
            </w:r>
          </w:p>
          <w:p w14:paraId="63223C94" w14:textId="77777777" w:rsidR="00D04C28" w:rsidRDefault="00000000">
            <w:pPr>
              <w:jc w:val="center"/>
            </w:pPr>
            <w:r>
              <w:rPr>
                <w:color w:val="FFFFFF"/>
                <w:sz w:val="16"/>
                <w:szCs w:val="16"/>
              </w:rPr>
              <w:t>Insights &amp; Recs</w:t>
            </w:r>
          </w:p>
        </w:tc>
        <w:tc>
          <w:tcPr>
            <w:tcW w:w="1560" w:type="dxa"/>
            <w:tcBorders>
              <w:top w:val="single" w:sz="4" w:space="0" w:color="8B0000"/>
              <w:left w:val="single" w:sz="1" w:space="0" w:color="CCCCCC"/>
              <w:bottom w:val="single" w:sz="4" w:space="0" w:color="8B0000"/>
              <w:right w:val="single" w:sz="4" w:space="0" w:color="8B0000"/>
            </w:tcBorders>
            <w:shd w:val="clear" w:color="auto" w:fill="7D3C98"/>
            <w:tcMar>
              <w:top w:w="140" w:type="dxa"/>
              <w:left w:w="120" w:type="dxa"/>
              <w:bottom w:w="140" w:type="dxa"/>
              <w:right w:w="120" w:type="dxa"/>
            </w:tcMar>
            <w:vAlign w:val="center"/>
          </w:tcPr>
          <w:p w14:paraId="337AD328" w14:textId="77777777" w:rsidR="00D04C28" w:rsidRDefault="00000000">
            <w:pPr>
              <w:jc w:val="center"/>
            </w:pPr>
            <w:r>
              <w:rPr>
                <w:b/>
                <w:bCs/>
                <w:color w:val="FFFFFF"/>
                <w:sz w:val="18"/>
                <w:szCs w:val="18"/>
              </w:rPr>
              <w:t>GitHub Repo</w:t>
            </w:r>
          </w:p>
          <w:p w14:paraId="0A0373C3" w14:textId="77777777" w:rsidR="00D04C28" w:rsidRDefault="00000000">
            <w:pPr>
              <w:jc w:val="center"/>
            </w:pPr>
            <w:r>
              <w:rPr>
                <w:color w:val="FFFFFF"/>
                <w:sz w:val="16"/>
                <w:szCs w:val="16"/>
              </w:rPr>
              <w:t>Code &amp; Portfolio</w:t>
            </w:r>
          </w:p>
        </w:tc>
      </w:tr>
    </w:tbl>
    <w:p w14:paraId="65DB9469" w14:textId="77777777" w:rsidR="00D04C28" w:rsidRDefault="00D04C2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04C28" w14:paraId="0FCA2175" w14:textId="77777777">
        <w:tc>
          <w:tcPr>
            <w:tcW w:w="9360" w:type="dxa"/>
            <w:tcBorders>
              <w:top w:val="single" w:sz="6" w:space="0" w:color="C0392B"/>
              <w:left w:val="single" w:sz="6" w:space="0" w:color="C0392B"/>
              <w:bottom w:val="single" w:sz="6" w:space="0" w:color="C0392B"/>
              <w:right w:val="single" w:sz="6" w:space="0" w:color="C0392B"/>
            </w:tcBorders>
            <w:shd w:val="clear" w:color="auto" w:fill="F2F2F2"/>
            <w:tcMar>
              <w:top w:w="200" w:type="dxa"/>
              <w:left w:w="280" w:type="dxa"/>
              <w:bottom w:w="200" w:type="dxa"/>
              <w:right w:w="280" w:type="dxa"/>
            </w:tcMar>
          </w:tcPr>
          <w:p w14:paraId="33D96107" w14:textId="77777777" w:rsidR="00D04C28" w:rsidRDefault="00000000">
            <w:pPr>
              <w:spacing w:after="80"/>
              <w:jc w:val="center"/>
            </w:pPr>
            <w:r>
              <w:rPr>
                <w:b/>
                <w:bCs/>
                <w:color w:val="8B0000"/>
                <w:sz w:val="24"/>
                <w:szCs w:val="24"/>
              </w:rPr>
              <w:t>About This Project</w:t>
            </w:r>
          </w:p>
          <w:p w14:paraId="356C1E10" w14:textId="77777777" w:rsidR="00D04C28" w:rsidRDefault="00000000">
            <w:pPr>
              <w:jc w:val="both"/>
            </w:pPr>
            <w:r>
              <w:rPr>
                <w:color w:val="444444"/>
                <w:sz w:val="19"/>
                <w:szCs w:val="19"/>
              </w:rPr>
              <w:t>This is an end-to-end data analytics portfolio project covering the full analytical pipeline from business problem definition to dashboard delivery. The analysis covers 100,000 Danish residential property transactions spanning 32 years, combining Python-based data science, SQL-driven business querying, Power BI visualization, and structured strategic reporting. All code and queries are available in the accompanying GitHub repository.</w:t>
            </w:r>
          </w:p>
        </w:tc>
      </w:tr>
    </w:tbl>
    <w:p w14:paraId="58725095" w14:textId="77777777" w:rsidR="00FC76F9" w:rsidRDefault="00FC76F9"/>
    <w:sectPr w:rsidR="00FC76F9">
      <w:headerReference w:type="default" r:id="rId25"/>
      <w:footerReference w:type="default" r:id="rId26"/>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0E7CB" w14:textId="77777777" w:rsidR="009A3F6F" w:rsidRDefault="009A3F6F">
      <w:r>
        <w:separator/>
      </w:r>
    </w:p>
  </w:endnote>
  <w:endnote w:type="continuationSeparator" w:id="0">
    <w:p w14:paraId="504DCAB4" w14:textId="77777777" w:rsidR="009A3F6F" w:rsidRDefault="009A3F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ptos">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DC0D9" w14:textId="77777777" w:rsidR="00D04C28" w:rsidRDefault="00000000">
    <w:pPr>
      <w:pBdr>
        <w:top w:val="single" w:sz="4" w:space="0" w:color="D9D9D9"/>
      </w:pBdr>
      <w:tabs>
        <w:tab w:val="right" w:pos="9360"/>
      </w:tabs>
      <w:spacing w:before="80"/>
    </w:pPr>
    <w:r>
      <w:rPr>
        <w:color w:val="777777"/>
        <w:sz w:val="16"/>
        <w:szCs w:val="16"/>
      </w:rPr>
      <w:t>Real Estate Market Analysis — Portfolio Project</w:t>
    </w:r>
    <w:r>
      <w:rPr>
        <w:color w:val="777777"/>
        <w:sz w:val="16"/>
        <w:szCs w:val="16"/>
      </w:rPr>
      <w:tab/>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347537">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3F856" w14:textId="77777777" w:rsidR="009A3F6F" w:rsidRDefault="009A3F6F">
      <w:r>
        <w:separator/>
      </w:r>
    </w:p>
  </w:footnote>
  <w:footnote w:type="continuationSeparator" w:id="0">
    <w:p w14:paraId="05DBDD04" w14:textId="77777777" w:rsidR="009A3F6F" w:rsidRDefault="009A3F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84D99" w14:textId="77777777" w:rsidR="00D04C28" w:rsidRDefault="00000000">
    <w:pPr>
      <w:pBdr>
        <w:bottom w:val="single" w:sz="4" w:space="0" w:color="C0392B"/>
      </w:pBdr>
      <w:spacing w:after="80"/>
    </w:pPr>
    <w:r>
      <w:rPr>
        <w:color w:val="555555"/>
        <w:sz w:val="18"/>
        <w:szCs w:val="18"/>
      </w:rPr>
      <w:t>Real Estate Housing Market Analysis  |  Denmark</w:t>
    </w:r>
    <w:r>
      <w:rPr>
        <w:color w:val="C0392B"/>
        <w:sz w:val="18"/>
        <w:szCs w:val="18"/>
      </w:rPr>
      <w:t xml:space="preserve">  |  Data Analytics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2135"/>
    <w:multiLevelType w:val="hybridMultilevel"/>
    <w:tmpl w:val="CFCA1C52"/>
    <w:lvl w:ilvl="0" w:tplc="F64A0E68">
      <w:start w:val="1"/>
      <w:numFmt w:val="bullet"/>
      <w:lvlText w:val="●"/>
      <w:lvlJc w:val="left"/>
      <w:pPr>
        <w:ind w:left="720" w:hanging="360"/>
      </w:pPr>
    </w:lvl>
    <w:lvl w:ilvl="1" w:tplc="2C8436DA">
      <w:start w:val="1"/>
      <w:numFmt w:val="bullet"/>
      <w:lvlText w:val="○"/>
      <w:lvlJc w:val="left"/>
      <w:pPr>
        <w:ind w:left="1440" w:hanging="360"/>
      </w:pPr>
    </w:lvl>
    <w:lvl w:ilvl="2" w:tplc="BD94646A">
      <w:start w:val="1"/>
      <w:numFmt w:val="bullet"/>
      <w:lvlText w:val="■"/>
      <w:lvlJc w:val="left"/>
      <w:pPr>
        <w:ind w:left="2160" w:hanging="360"/>
      </w:pPr>
    </w:lvl>
    <w:lvl w:ilvl="3" w:tplc="A6D009CE">
      <w:start w:val="1"/>
      <w:numFmt w:val="bullet"/>
      <w:lvlText w:val="●"/>
      <w:lvlJc w:val="left"/>
      <w:pPr>
        <w:ind w:left="2880" w:hanging="360"/>
      </w:pPr>
    </w:lvl>
    <w:lvl w:ilvl="4" w:tplc="7A28AB62">
      <w:start w:val="1"/>
      <w:numFmt w:val="bullet"/>
      <w:lvlText w:val="○"/>
      <w:lvlJc w:val="left"/>
      <w:pPr>
        <w:ind w:left="3600" w:hanging="360"/>
      </w:pPr>
    </w:lvl>
    <w:lvl w:ilvl="5" w:tplc="53D45222">
      <w:start w:val="1"/>
      <w:numFmt w:val="bullet"/>
      <w:lvlText w:val="■"/>
      <w:lvlJc w:val="left"/>
      <w:pPr>
        <w:ind w:left="4320" w:hanging="360"/>
      </w:pPr>
    </w:lvl>
    <w:lvl w:ilvl="6" w:tplc="4A7AB848">
      <w:start w:val="1"/>
      <w:numFmt w:val="bullet"/>
      <w:lvlText w:val="●"/>
      <w:lvlJc w:val="left"/>
      <w:pPr>
        <w:ind w:left="5040" w:hanging="360"/>
      </w:pPr>
    </w:lvl>
    <w:lvl w:ilvl="7" w:tplc="18921BAE">
      <w:start w:val="1"/>
      <w:numFmt w:val="bullet"/>
      <w:lvlText w:val="●"/>
      <w:lvlJc w:val="left"/>
      <w:pPr>
        <w:ind w:left="5760" w:hanging="360"/>
      </w:pPr>
    </w:lvl>
    <w:lvl w:ilvl="8" w:tplc="64D80A56">
      <w:start w:val="1"/>
      <w:numFmt w:val="bullet"/>
      <w:lvlText w:val="●"/>
      <w:lvlJc w:val="left"/>
      <w:pPr>
        <w:ind w:left="6480" w:hanging="360"/>
      </w:pPr>
    </w:lvl>
  </w:abstractNum>
  <w:abstractNum w:abstractNumId="1" w15:restartNumberingAfterBreak="0">
    <w:nsid w:val="347A65D3"/>
    <w:multiLevelType w:val="hybridMultilevel"/>
    <w:tmpl w:val="2C566F50"/>
    <w:lvl w:ilvl="0" w:tplc="CE320196">
      <w:start w:val="1"/>
      <w:numFmt w:val="bullet"/>
      <w:lvlText w:val="•"/>
      <w:lvlJc w:val="left"/>
      <w:pPr>
        <w:ind w:left="560" w:hanging="280"/>
      </w:pPr>
    </w:lvl>
    <w:lvl w:ilvl="1" w:tplc="3418D8D0">
      <w:numFmt w:val="decimal"/>
      <w:lvlText w:val=""/>
      <w:lvlJc w:val="left"/>
    </w:lvl>
    <w:lvl w:ilvl="2" w:tplc="2A766FD8">
      <w:numFmt w:val="decimal"/>
      <w:lvlText w:val=""/>
      <w:lvlJc w:val="left"/>
    </w:lvl>
    <w:lvl w:ilvl="3" w:tplc="24648C42">
      <w:numFmt w:val="decimal"/>
      <w:lvlText w:val=""/>
      <w:lvlJc w:val="left"/>
    </w:lvl>
    <w:lvl w:ilvl="4" w:tplc="6C7C2DBE">
      <w:numFmt w:val="decimal"/>
      <w:lvlText w:val=""/>
      <w:lvlJc w:val="left"/>
    </w:lvl>
    <w:lvl w:ilvl="5" w:tplc="3CA6F6B0">
      <w:numFmt w:val="decimal"/>
      <w:lvlText w:val=""/>
      <w:lvlJc w:val="left"/>
    </w:lvl>
    <w:lvl w:ilvl="6" w:tplc="4D6A5810">
      <w:numFmt w:val="decimal"/>
      <w:lvlText w:val=""/>
      <w:lvlJc w:val="left"/>
    </w:lvl>
    <w:lvl w:ilvl="7" w:tplc="F51CFB12">
      <w:numFmt w:val="decimal"/>
      <w:lvlText w:val=""/>
      <w:lvlJc w:val="left"/>
    </w:lvl>
    <w:lvl w:ilvl="8" w:tplc="7F3A5786">
      <w:numFmt w:val="decimal"/>
      <w:lvlText w:val=""/>
      <w:lvlJc w:val="left"/>
    </w:lvl>
  </w:abstractNum>
  <w:num w:numId="1" w16cid:durableId="428889875">
    <w:abstractNumId w:val="0"/>
    <w:lvlOverride w:ilvl="0">
      <w:startOverride w:val="1"/>
    </w:lvlOverride>
  </w:num>
  <w:num w:numId="2" w16cid:durableId="13187227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C28"/>
    <w:rsid w:val="00106DA8"/>
    <w:rsid w:val="00347537"/>
    <w:rsid w:val="006337CF"/>
    <w:rsid w:val="00846634"/>
    <w:rsid w:val="00970B97"/>
    <w:rsid w:val="009A3F6F"/>
    <w:rsid w:val="00D04C28"/>
    <w:rsid w:val="00FC76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8AEE1"/>
  <w15:docId w15:val="{558F0BEC-6BAA-4E2D-B354-A3E04A517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8B0000"/>
      <w:sz w:val="36"/>
      <w:szCs w:val="36"/>
    </w:rPr>
  </w:style>
  <w:style w:type="paragraph" w:styleId="Heading2">
    <w:name w:val="heading 2"/>
    <w:uiPriority w:val="9"/>
    <w:unhideWhenUsed/>
    <w:qFormat/>
    <w:pPr>
      <w:spacing w:before="280" w:after="120"/>
      <w:outlineLvl w:val="1"/>
    </w:pPr>
    <w:rPr>
      <w:b/>
      <w:bCs/>
      <w:color w:val="C0392B"/>
      <w:sz w:val="26"/>
      <w:szCs w:val="26"/>
    </w:rPr>
  </w:style>
  <w:style w:type="paragraph" w:styleId="Heading3">
    <w:name w:val="heading 3"/>
    <w:uiPriority w:val="9"/>
    <w:unhideWhenUsed/>
    <w:qFormat/>
    <w:pPr>
      <w:spacing w:before="200" w:after="80"/>
      <w:outlineLvl w:val="2"/>
    </w:pPr>
    <w:rPr>
      <w:b/>
      <w:bCs/>
      <w:color w:val="2C3E5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337CF"/>
    <w:pPr>
      <w:tabs>
        <w:tab w:val="center" w:pos="4513"/>
        <w:tab w:val="right" w:pos="9026"/>
      </w:tabs>
    </w:pPr>
  </w:style>
  <w:style w:type="character" w:customStyle="1" w:styleId="HeaderChar">
    <w:name w:val="Header Char"/>
    <w:basedOn w:val="DefaultParagraphFont"/>
    <w:link w:val="Header"/>
    <w:uiPriority w:val="99"/>
    <w:rsid w:val="006337CF"/>
  </w:style>
  <w:style w:type="paragraph" w:styleId="Footer">
    <w:name w:val="footer"/>
    <w:basedOn w:val="Normal"/>
    <w:link w:val="FooterChar"/>
    <w:uiPriority w:val="99"/>
    <w:unhideWhenUsed/>
    <w:rsid w:val="006337CF"/>
    <w:pPr>
      <w:tabs>
        <w:tab w:val="center" w:pos="4513"/>
        <w:tab w:val="right" w:pos="9026"/>
      </w:tabs>
    </w:pPr>
  </w:style>
  <w:style w:type="character" w:customStyle="1" w:styleId="FooterChar">
    <w:name w:val="Footer Char"/>
    <w:basedOn w:val="DefaultParagraphFont"/>
    <w:link w:val="Footer"/>
    <w:uiPriority w:val="99"/>
    <w:rsid w:val="006337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26</Pages>
  <Words>4433</Words>
  <Characters>25274</Characters>
  <Application>Microsoft Office Word</Application>
  <DocSecurity>0</DocSecurity>
  <Lines>210</Lines>
  <Paragraphs>59</Paragraphs>
  <ScaleCrop>false</ScaleCrop>
  <Company>HP</Company>
  <LinksUpToDate>false</LinksUpToDate>
  <CharactersWithSpaces>29648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Hayat Faruquee</cp:lastModifiedBy>
  <cp:revision>4</cp:revision>
  <dcterms:created xsi:type="dcterms:W3CDTF">2026-06-13T02:03:00Z</dcterms:created>
  <dcterms:modified xsi:type="dcterms:W3CDTF">2026-06-13T02:35:00Z</dcterms:modified>
</cp:coreProperties>
</file>