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6"/>
          <w:szCs w:val="36"/>
        </w:rPr>
        <w:t xml:space="preserve">Vehicle Insurance Fraud Detection</w:t>
      </w:r>
    </w:p>
    <w:p>
      <w:pPr>
        <w:spacing w:after="400"/>
      </w:pPr>
      <w:r>
        <w:rPr>
          <w:i/>
          <w:iCs/>
          <w:color w:val="555555"/>
          <w:sz w:val="24"/>
          <w:szCs w:val="24"/>
        </w:rPr>
        <w:t xml:space="preserve">End-to-End Machine Learning Project Documentation</w:t>
      </w:r>
    </w:p>
    <w:p>
      <w:pPr>
        <w:pStyle w:val="Heading1"/>
        <w:spacing w:after="150" w:before="300"/>
      </w:pPr>
      <w:r>
        <w:t xml:space="preserve">1. Business Problem</w:t>
      </w:r>
    </w:p>
    <w:p>
      <w:pPr>
        <w:spacing w:after="120"/>
      </w:pPr>
      <w:r>
        <w:rPr>
          <w:sz w:val="22"/>
          <w:szCs w:val="22"/>
        </w:rPr>
        <w:t xml:space="preserve">Insurance claims teams currently review every incoming claim manually to check for fraud. This process is slow, costly, and prone to human inconsistency. The objective of this project is to build a machine learning model that flags claims with a high likelihood of fraud, allowing the claims team to prioritize their manual review effort on high-risk cases rather than reviewing every claim equally.</w:t>
      </w:r>
    </w:p>
    <w:p>
      <w:pPr>
        <w:spacing w:after="120"/>
      </w:pPr>
      <w:r>
        <w:rPr>
          <w:sz w:val="22"/>
          <w:szCs w:val="22"/>
        </w:rPr>
        <w:t xml:space="preserve">A key business constraint shapes the model design: falsely flagging an honest customer as fraudulent is more costly (in terms of customer experience and trust) than missing some fraud cases. This means the model should lean towards precision over recall where possible, and predictions should feed into a human review queue rather than an automated rejection system.</w:t>
      </w:r>
    </w:p>
    <w:p>
      <w:pPr>
        <w:pStyle w:val="Heading1"/>
        <w:spacing w:after="150" w:before="300"/>
      </w:pPr>
      <w:r>
        <w:t xml:space="preserve">2. Data Cleaning</w:t>
      </w:r>
    </w:p>
    <w:p>
      <w:pPr>
        <w:spacing w:after="120"/>
      </w:pPr>
      <w:r>
        <w:rPr>
          <w:sz w:val="22"/>
          <w:szCs w:val="22"/>
        </w:rPr>
        <w:t xml:space="preserve">The dataset (fraud_oracle.csv) contains 15,420 claims across 32 features, with no missing values and no duplicate rows at the raw level. However, several data quality issues specific to this domain were identified and addressed:</w:t>
      </w:r>
    </w:p>
    <w:p>
      <w:pPr>
        <w:pStyle w:val="ListParagraph"/>
        <w:numPr>
          <w:ilvl w:val="0"/>
          <w:numId w:val="1"/>
        </w:numPr>
        <w:spacing w:after="80"/>
      </w:pPr>
      <w:r>
        <w:rPr>
          <w:sz w:val="22"/>
          <w:szCs w:val="22"/>
        </w:rPr>
        <w:t xml:space="preserve">One record had an invalid entry ('0') in the DayOfWeekClaimed column and was removed.</w:t>
      </w:r>
    </w:p>
    <w:p>
      <w:pPr>
        <w:pStyle w:val="ListParagraph"/>
        <w:numPr>
          <w:ilvl w:val="0"/>
          <w:numId w:val="1"/>
        </w:numPr>
        <w:spacing w:after="80"/>
      </w:pPr>
      <w:r>
        <w:rPr>
          <w:sz w:val="22"/>
          <w:szCs w:val="22"/>
        </w:rPr>
        <w:t xml:space="preserve">The Age column contained 320 records with a value of 0, which is not a realistic driver age and was treated as a missing-value placeholder. These were imputed using the median age during feature engineering.</w:t>
      </w:r>
    </w:p>
    <w:p>
      <w:pPr>
        <w:pStyle w:val="ListParagraph"/>
        <w:numPr>
          <w:ilvl w:val="0"/>
          <w:numId w:val="1"/>
        </w:numPr>
        <w:spacing w:after="80"/>
      </w:pPr>
      <w:r>
        <w:rPr>
          <w:sz w:val="22"/>
          <w:szCs w:val="22"/>
        </w:rPr>
        <w:t xml:space="preserve">Several columns (e.g. Days_Policy_Accident, Days_Policy_Claim, AgeOfVehicle, AgeOfPolicyHolder) were pre-binned into ranges (e.g. '15 to 30', 'more than 30') rather than raw numeric values, and were preserved as ordinal categories rather than being forced into numeric form.</w:t>
      </w:r>
    </w:p>
    <w:p>
      <w:pPr>
        <w:pStyle w:val="Heading1"/>
        <w:spacing w:after="150" w:before="300"/>
      </w:pPr>
      <w:r>
        <w:t xml:space="preserve">3. Exploratory Data Analysis (EDA)</w:t>
      </w:r>
    </w:p>
    <w:p>
      <w:pPr>
        <w:spacing w:after="120"/>
      </w:pPr>
      <w:r>
        <w:rPr>
          <w:sz w:val="22"/>
          <w:szCs w:val="22"/>
        </w:rPr>
        <w:t xml:space="preserve">The target variable FraudFound_P is heavily imbalanced: approximately 94% of claims are non-fraudulent and only 6% are fraudulent. This imbalance directly informed the choice of evaluation metrics (precision, recall, ROC-AUC, PR-AUC) over plain accuracy, and the use of class-weighting during model training.</w:t>
      </w:r>
    </w:p>
    <w:p>
      <w:pPr>
        <w:spacing w:after="120"/>
      </w:pPr>
      <w:r>
        <w:rPr>
          <w:sz w:val="22"/>
          <w:szCs w:val="22"/>
        </w:rPr>
        <w:t xml:space="preserve">Key relationships found between features and fraud rate:</w:t>
      </w:r>
    </w:p>
    <w:p>
      <w:pPr>
        <w:pStyle w:val="ListParagraph"/>
        <w:numPr>
          <w:ilvl w:val="0"/>
          <w:numId w:val="1"/>
        </w:numPr>
        <w:spacing w:after="80"/>
      </w:pPr>
      <w:r>
        <w:rPr>
          <w:sz w:val="22"/>
          <w:szCs w:val="22"/>
        </w:rPr>
        <w:t xml:space="preserve">Fault: claims where the Policy Holder was at fault showed a fraud rate of 7.89%, versus 0.88% for Third Party at-fault claims — the strongest categorical signal found.</w:t>
      </w:r>
    </w:p>
    <w:p>
      <w:pPr>
        <w:pStyle w:val="ListParagraph"/>
        <w:numPr>
          <w:ilvl w:val="0"/>
          <w:numId w:val="1"/>
        </w:numPr>
        <w:spacing w:after="80"/>
      </w:pPr>
      <w:r>
        <w:rPr>
          <w:sz w:val="22"/>
          <w:szCs w:val="22"/>
        </w:rPr>
        <w:t xml:space="preserve">BasePolicy / PolicyType: 'All Perils' policies had a fraud rate of 10.16% compared to 0.72% for 'Liability' policies, suggesting higher-coverage policies attract more fraudulent claims.</w:t>
      </w:r>
    </w:p>
    <w:p>
      <w:pPr>
        <w:pStyle w:val="ListParagraph"/>
        <w:numPr>
          <w:ilvl w:val="0"/>
          <w:numId w:val="1"/>
        </w:numPr>
        <w:spacing w:after="80"/>
      </w:pPr>
      <w:r>
        <w:rPr>
          <w:sz w:val="22"/>
          <w:szCs w:val="22"/>
        </w:rPr>
        <w:t xml:space="preserve">AgeOfPolicyHolder: younger policyholders (18-25) showed fraud rates roughly 2-3x higher than older age groups.</w:t>
      </w:r>
    </w:p>
    <w:p>
      <w:pPr>
        <w:pStyle w:val="ListParagraph"/>
        <w:numPr>
          <w:ilvl w:val="0"/>
          <w:numId w:val="1"/>
        </w:numPr>
        <w:spacing w:after="80"/>
      </w:pPr>
      <w:r>
        <w:rPr>
          <w:sz w:val="22"/>
          <w:szCs w:val="22"/>
        </w:rPr>
        <w:t xml:space="preserve">Make: some rare vehicle makes (e.g. Mercedes, Ferrari, Lexus) showed extreme fraud rates, but these were based on very small sample sizes (as few as 1-4 records) and were treated as noise rather than genuine signal.</w:t>
      </w:r>
    </w:p>
    <w:p>
      <w:pPr>
        <w:pStyle w:val="ListParagraph"/>
        <w:numPr>
          <w:ilvl w:val="0"/>
          <w:numId w:val="1"/>
        </w:numPr>
        <w:spacing w:after="80"/>
      </w:pPr>
      <w:r>
        <w:rPr>
          <w:sz w:val="22"/>
          <w:szCs w:val="22"/>
        </w:rPr>
        <w:t xml:space="preserve">Numeric features (Age, Deductible, DriverRating, Year, WeekOfMonth) showed near-zero linear correlation with the target, indicating that tree-based, non-linear models were likely to perform better than purely linear ones.</w:t>
      </w:r>
    </w:p>
    <w:p>
      <w:pPr>
        <w:pStyle w:val="ListParagraph"/>
        <w:numPr>
          <w:ilvl w:val="0"/>
          <w:numId w:val="1"/>
        </w:numPr>
        <w:spacing w:after="80"/>
      </w:pPr>
      <w:r>
        <w:rPr>
          <w:sz w:val="22"/>
          <w:szCs w:val="22"/>
        </w:rPr>
        <w:t xml:space="preserve">PastNumberOfClaims, PoliceReportFiled, and WitnessPresent showed only weak relationships with fraud, and in some cases counter-intuitive patterns (e.g. claims with 'none' prior claims showing the highest fraud rate).</w:t>
      </w:r>
    </w:p>
    <w:p>
      <w:pPr>
        <w:pStyle w:val="Heading1"/>
        <w:spacing w:after="150" w:before="300"/>
      </w:pPr>
      <w:r>
        <w:t xml:space="preserve">4. Feature Engineering</w:t>
      </w:r>
    </w:p>
    <w:p>
      <w:pPr>
        <w:pStyle w:val="ListParagraph"/>
        <w:numPr>
          <w:ilvl w:val="0"/>
          <w:numId w:val="1"/>
        </w:numPr>
        <w:spacing w:after="80"/>
      </w:pPr>
      <w:r>
        <w:rPr>
          <w:sz w:val="22"/>
          <w:szCs w:val="22"/>
        </w:rPr>
        <w:t xml:space="preserve">Rare vehicle Make categories (fewer than ~50 occurrences) were grouped into an 'Other' category to reduce noise from extremely small sample sizes.</w:t>
      </w:r>
    </w:p>
    <w:p>
      <w:pPr>
        <w:pStyle w:val="ListParagraph"/>
        <w:numPr>
          <w:ilvl w:val="0"/>
          <w:numId w:val="1"/>
        </w:numPr>
        <w:spacing w:after="80"/>
      </w:pPr>
      <w:r>
        <w:rPr>
          <w:sz w:val="22"/>
          <w:szCs w:val="22"/>
        </w:rPr>
        <w:t xml:space="preserve">The Age column was imputed to replace placeholder zero values with a representative median value.</w:t>
      </w:r>
    </w:p>
    <w:p>
      <w:pPr>
        <w:pStyle w:val="ListParagraph"/>
        <w:numPr>
          <w:ilvl w:val="0"/>
          <w:numId w:val="1"/>
        </w:numPr>
        <w:spacing w:after="80"/>
      </w:pPr>
      <w:r>
        <w:rPr>
          <w:sz w:val="22"/>
          <w:szCs w:val="22"/>
        </w:rPr>
        <w:t xml:space="preserve">Ordinal categorical columns (e.g. Days_Policy_Accident, AgeOfPolicyHolder, PastNumberOfClaims, NumberOfSuppliments, AddressChange_Claim) were encoded preserving their natural order.</w:t>
      </w:r>
    </w:p>
    <w:p>
      <w:pPr>
        <w:pStyle w:val="ListParagraph"/>
        <w:numPr>
          <w:ilvl w:val="0"/>
          <w:numId w:val="1"/>
        </w:numPr>
        <w:spacing w:after="80"/>
      </w:pPr>
      <w:r>
        <w:rPr>
          <w:sz w:val="22"/>
          <w:szCs w:val="22"/>
        </w:rPr>
        <w:t xml:space="preserve">Nominal categorical columns (e.g. Make, AccidentArea, Sex, MaritalStatus, Fault, PolicyType, VehicleCategory, BasePolicy, Month, DayOfWeek) were one-hot encoded.</w:t>
      </w:r>
    </w:p>
    <w:p>
      <w:pPr>
        <w:pStyle w:val="ListParagraph"/>
        <w:numPr>
          <w:ilvl w:val="0"/>
          <w:numId w:val="1"/>
        </w:numPr>
        <w:spacing w:after="80"/>
      </w:pPr>
      <w:r>
        <w:rPr>
          <w:sz w:val="22"/>
          <w:szCs w:val="22"/>
        </w:rPr>
        <w:t xml:space="preserve">The PolicyNumber column was dropped as it is a unique identifier with no predictive value.</w:t>
      </w:r>
    </w:p>
    <w:p>
      <w:pPr>
        <w:spacing w:after="120"/>
      </w:pPr>
      <w:r>
        <w:rPr>
          <w:sz w:val="22"/>
          <w:szCs w:val="22"/>
        </w:rPr>
        <w:t xml:space="preserve">After encoding, the feature set expanded from 32 raw columns to 88 model-ready columns.</w:t>
      </w:r>
    </w:p>
    <w:p>
      <w:pPr>
        <w:pStyle w:val="Heading1"/>
        <w:spacing w:after="150" w:before="300"/>
      </w:pPr>
      <w:r>
        <w:t xml:space="preserve">5. Feature Selection &amp; Scaling</w:t>
      </w:r>
    </w:p>
    <w:p>
      <w:pPr>
        <w:pStyle w:val="ListParagraph"/>
        <w:numPr>
          <w:ilvl w:val="0"/>
          <w:numId w:val="1"/>
        </w:numPr>
        <w:spacing w:after="80"/>
      </w:pPr>
      <w:r>
        <w:rPr>
          <w:sz w:val="22"/>
          <w:szCs w:val="22"/>
        </w:rPr>
        <w:t xml:space="preserve">Data was split into training and test sets (80/20) using stratified sampling to preserve the fraud/non-fraud ratio in both sets.</w:t>
      </w:r>
    </w:p>
    <w:p>
      <w:pPr>
        <w:pStyle w:val="ListParagraph"/>
        <w:numPr>
          <w:ilvl w:val="0"/>
          <w:numId w:val="1"/>
        </w:numPr>
        <w:spacing w:after="80"/>
      </w:pPr>
      <w:r>
        <w:rPr>
          <w:sz w:val="22"/>
          <w:szCs w:val="22"/>
        </w:rPr>
        <w:t xml:space="preserve">Features were standardized (StandardScaler) for the Logistic Regression baseline, fitted on the training set only and applied to the test set to avoid data leakage. Tree-based models (Random Forest, XGBoost) were trained on unscaled data, as scaling does not affect their splits.</w:t>
      </w:r>
    </w:p>
    <w:p>
      <w:pPr>
        <w:pStyle w:val="ListParagraph"/>
        <w:numPr>
          <w:ilvl w:val="0"/>
          <w:numId w:val="1"/>
        </w:numPr>
        <w:spacing w:after="80"/>
      </w:pPr>
      <w:r>
        <w:rPr>
          <w:sz w:val="22"/>
          <w:szCs w:val="22"/>
        </w:rPr>
        <w:t xml:space="preserve">Class imbalance was handled using class_weight='balanced' (Logistic Regression, Random Forest) and scale_pos_weight (XGBoost), rather than synthetic oversampling (SMOTE), to keep the modeling pipeline simpler for this iteration.</w:t>
      </w:r>
    </w:p>
    <w:p>
      <w:pPr>
        <w:pStyle w:val="ListParagraph"/>
        <w:numPr>
          <w:ilvl w:val="0"/>
          <w:numId w:val="1"/>
        </w:numPr>
        <w:spacing w:after="80"/>
      </w:pPr>
      <w:r>
        <w:rPr>
          <w:sz w:val="22"/>
          <w:szCs w:val="22"/>
        </w:rPr>
        <w:t xml:space="preserve">No aggressive feature selection was applied at this stage; all engineered features were retained for the baseline models, with feature importance noted as a natural next step for future refinement.</w:t>
      </w:r>
    </w:p>
    <w:p>
      <w:pPr>
        <w:pStyle w:val="Heading1"/>
        <w:spacing w:after="150" w:before="300"/>
      </w:pPr>
      <w:r>
        <w:t xml:space="preserve">6. Model Training &amp; Evaluation</w:t>
      </w:r>
    </w:p>
    <w:p>
      <w:pPr>
        <w:spacing w:after="120"/>
      </w:pPr>
      <w:r>
        <w:rPr>
          <w:sz w:val="22"/>
          <w:szCs w:val="22"/>
        </w:rPr>
        <w:t xml:space="preserve">Three models were trained and compared, progressing from a simple linear baseline to tree-based ensemble methods: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1900"/>
        <w:gridCol w:w="1900"/>
      </w:tblGrid>
      <w:tr>
        <w:tc>
          <w:tcPr>
            <w:tcW w:type="dxa" w:w="2000"/>
            <w:shd w:fill="D9E2F3" w:val="clear"/>
          </w:tcPr>
          <w:p>
            <w:r>
              <w:rPr>
                <w:b/>
                <w:bCs/>
                <w:sz w:val="20"/>
                <w:szCs w:val="20"/>
              </w:rPr>
              <w:t xml:space="preserve">Model</w:t>
            </w:r>
          </w:p>
        </w:tc>
        <w:tc>
          <w:tcPr>
            <w:tcW w:type="dxa" w:w="2000"/>
            <w:shd w:fill="D9E2F3" w:val="clear"/>
          </w:tcPr>
          <w:p>
            <w:r>
              <w:rPr>
                <w:b/>
                <w:bCs/>
                <w:sz w:val="20"/>
                <w:szCs w:val="20"/>
              </w:rPr>
              <w:t xml:space="preserve">Precision (Fraud)</w:t>
            </w:r>
          </w:p>
        </w:tc>
        <w:tc>
          <w:tcPr>
            <w:tcW w:type="dxa" w:w="2000"/>
            <w:shd w:fill="D9E2F3" w:val="clear"/>
          </w:tcPr>
          <w:p>
            <w:r>
              <w:rPr>
                <w:b/>
                <w:bCs/>
                <w:sz w:val="20"/>
                <w:szCs w:val="20"/>
              </w:rPr>
              <w:t xml:space="preserve">Recall (Fraud)</w:t>
            </w:r>
          </w:p>
        </w:tc>
        <w:tc>
          <w:tcPr>
            <w:tcW w:type="dxa" w:w="2000"/>
            <w:shd w:fill="D9E2F3" w:val="clear"/>
          </w:tcPr>
          <w:p>
            <w:r>
              <w:rPr>
                <w:b/>
                <w:bCs/>
                <w:sz w:val="20"/>
                <w:szCs w:val="20"/>
              </w:rPr>
              <w:t xml:space="preserve">ROC-AUC</w:t>
            </w:r>
          </w:p>
        </w:tc>
        <w:tc>
          <w:tcPr>
            <w:tcW w:type="dxa" w:w="2000"/>
            <w:shd w:fill="D9E2F3" w:val="clear"/>
          </w:tcPr>
          <w:p>
            <w:r>
              <w:rPr>
                <w:b/>
                <w:bCs/>
                <w:sz w:val="20"/>
                <w:szCs w:val="20"/>
              </w:rPr>
              <w:t xml:space="preserve">PR-AUC</w:t>
            </w:r>
          </w:p>
        </w:tc>
      </w:tr>
      <w:tr>
        <w:tc>
          <w:tcPr>
            <w:tcW w:type="dxa" w:w="2000"/>
          </w:tcPr>
          <w:p>
            <w:r>
              <w:rPr>
                <w:sz w:val="20"/>
                <w:szCs w:val="20"/>
              </w:rPr>
              <w:t xml:space="preserve">Logistic Regression (thr 0.5)</w:t>
            </w:r>
          </w:p>
        </w:tc>
        <w:tc>
          <w:tcPr>
            <w:tcW w:type="dxa" w:w="2000"/>
          </w:tcPr>
          <w:p>
            <w:r>
              <w:rPr>
                <w:sz w:val="20"/>
                <w:szCs w:val="20"/>
              </w:rPr>
              <w:t xml:space="preserve">0.13</w:t>
            </w:r>
          </w:p>
        </w:tc>
        <w:tc>
          <w:tcPr>
            <w:tcW w:type="dxa" w:w="2000"/>
          </w:tcPr>
          <w:p>
            <w:r>
              <w:rPr>
                <w:sz w:val="20"/>
                <w:szCs w:val="20"/>
              </w:rPr>
              <w:t xml:space="preserve">0.88</w:t>
            </w:r>
          </w:p>
        </w:tc>
        <w:tc>
          <w:tcPr>
            <w:tcW w:type="dxa" w:w="2000"/>
          </w:tcPr>
          <w:p>
            <w:r>
              <w:rPr>
                <w:sz w:val="20"/>
                <w:szCs w:val="20"/>
              </w:rPr>
              <w:t xml:space="preserve">0.81</w:t>
            </w:r>
          </w:p>
        </w:tc>
        <w:tc>
          <w:tcPr>
            <w:tcW w:type="dxa" w:w="2000"/>
          </w:tcPr>
          <w:p>
            <w:r>
              <w:rPr>
                <w:sz w:val="20"/>
                <w:szCs w:val="20"/>
              </w:rPr>
              <w:t xml:space="preserve">-</w:t>
            </w:r>
          </w:p>
        </w:tc>
      </w:tr>
      <w:tr>
        <w:tc>
          <w:tcPr>
            <w:tcW w:type="dxa" w:w="2000"/>
          </w:tcPr>
          <w:p>
            <w:r>
              <w:rPr>
                <w:sz w:val="20"/>
                <w:szCs w:val="20"/>
              </w:rPr>
              <w:t xml:space="preserve">Random Forest (thr 0.2)</w:t>
            </w:r>
          </w:p>
        </w:tc>
        <w:tc>
          <w:tcPr>
            <w:tcW w:type="dxa" w:w="2000"/>
          </w:tcPr>
          <w:p>
            <w:r>
              <w:rPr>
                <w:sz w:val="20"/>
                <w:szCs w:val="20"/>
              </w:rPr>
              <w:t xml:space="preserve">0.31</w:t>
            </w:r>
          </w:p>
        </w:tc>
        <w:tc>
          <w:tcPr>
            <w:tcW w:type="dxa" w:w="2000"/>
          </w:tcPr>
          <w:p>
            <w:r>
              <w:rPr>
                <w:sz w:val="20"/>
                <w:szCs w:val="20"/>
              </w:rPr>
              <w:t xml:space="preserve">0.19</w:t>
            </w:r>
          </w:p>
        </w:tc>
        <w:tc>
          <w:tcPr>
            <w:tcW w:type="dxa" w:w="2000"/>
          </w:tcPr>
          <w:p>
            <w:r>
              <w:rPr>
                <w:sz w:val="20"/>
                <w:szCs w:val="20"/>
              </w:rPr>
              <w:t xml:space="preserve">0.84</w:t>
            </w:r>
          </w:p>
        </w:tc>
        <w:tc>
          <w:tcPr>
            <w:tcW w:type="dxa" w:w="2000"/>
          </w:tcPr>
          <w:p>
            <w:r>
              <w:rPr>
                <w:sz w:val="20"/>
                <w:szCs w:val="20"/>
              </w:rPr>
              <w:t xml:space="preserve">0.24</w:t>
            </w:r>
          </w:p>
        </w:tc>
      </w:tr>
      <w:tr>
        <w:tc>
          <w:tcPr>
            <w:tcW w:type="dxa" w:w="2000"/>
          </w:tcPr>
          <w:p>
            <w:r>
              <w:rPr>
                <w:sz w:val="20"/>
                <w:szCs w:val="20"/>
              </w:rPr>
              <w:t xml:space="preserve">XGBoost (thr 0.5) — Final</w:t>
            </w:r>
          </w:p>
        </w:tc>
        <w:tc>
          <w:tcPr>
            <w:tcW w:type="dxa" w:w="2000"/>
          </w:tcPr>
          <w:p>
            <w:r>
              <w:rPr>
                <w:sz w:val="20"/>
                <w:szCs w:val="20"/>
              </w:rPr>
              <w:t xml:space="preserve">0.20</w:t>
            </w:r>
          </w:p>
        </w:tc>
        <w:tc>
          <w:tcPr>
            <w:tcW w:type="dxa" w:w="2000"/>
          </w:tcPr>
          <w:p>
            <w:r>
              <w:rPr>
                <w:sz w:val="20"/>
                <w:szCs w:val="20"/>
              </w:rPr>
              <w:t xml:space="preserve">0.52</w:t>
            </w:r>
          </w:p>
        </w:tc>
        <w:tc>
          <w:tcPr>
            <w:tcW w:type="dxa" w:w="2000"/>
          </w:tcPr>
          <w:p>
            <w:r>
              <w:rPr>
                <w:sz w:val="20"/>
                <w:szCs w:val="20"/>
              </w:rPr>
              <w:t xml:space="preserve">0.84</w:t>
            </w:r>
          </w:p>
        </w:tc>
        <w:tc>
          <w:tcPr>
            <w:tcW w:type="dxa" w:w="2000"/>
          </w:tcPr>
          <w:p>
            <w:r>
              <w:rPr>
                <w:sz w:val="20"/>
                <w:szCs w:val="20"/>
              </w:rPr>
              <w:t xml:space="preserve">0.24</w:t>
            </w:r>
          </w:p>
        </w:tc>
      </w:tr>
    </w:tbl>
    <w:p>
      <w:pPr>
        <w:spacing w:after="200"/>
      </w:pPr>
    </w:p>
    <w:p>
      <w:pPr>
        <w:spacing w:after="120"/>
      </w:pPr>
      <w:r>
        <w:rPr>
          <w:sz w:val="22"/>
          <w:szCs w:val="22"/>
        </w:rPr>
        <w:t xml:space="preserve">Logistic Regression achieved very high recall (0.88) but extremely low precision (0.13), meaning it caught most fraud cases but flagged an impractically large number of honest customers as fraudulent — not aligned with the business priority of minimizing false alarms.</w:t>
      </w:r>
    </w:p>
    <w:p>
      <w:pPr>
        <w:spacing w:after="120"/>
      </w:pPr>
      <w:r>
        <w:rPr>
          <w:sz w:val="22"/>
          <w:szCs w:val="22"/>
        </w:rPr>
        <w:t xml:space="preserve">Random Forest, after threshold tuning (0.2), achieved better precision (0.31) but recall dropped sharply to 0.19, missing most fraud cases — too conservative to be useful as a detection tool.</w:t>
      </w:r>
    </w:p>
    <w:p>
      <w:pPr>
        <w:spacing w:after="120"/>
      </w:pPr>
      <w:r>
        <w:rPr>
          <w:sz w:val="22"/>
          <w:szCs w:val="22"/>
        </w:rPr>
        <w:t xml:space="preserve">XGBoost, with scale_pos_weight to address imbalance and a decision threshold of 0.5, offered the best overall balance: it caught 52% of fraud cases while maintaining a reasonable false-alarm rate, and matched Random Forest on ROC-AUC (0.84) and PR-AUC (0.24). XGBoost (threshold 0.5) was selected as the final model.</w:t>
      </w:r>
    </w:p>
    <w:p>
      <w:pPr>
        <w:pStyle w:val="Heading1"/>
        <w:spacing w:after="150" w:before="300"/>
      </w:pPr>
      <w:r>
        <w:t xml:space="preserve">7. Business Recommendation</w:t>
      </w:r>
    </w:p>
    <w:p>
      <w:pPr>
        <w:pStyle w:val="ListParagraph"/>
        <w:numPr>
          <w:ilvl w:val="0"/>
          <w:numId w:val="1"/>
        </w:numPr>
        <w:spacing w:after="80"/>
      </w:pPr>
      <w:r>
        <w:rPr>
          <w:sz w:val="22"/>
          <w:szCs w:val="22"/>
        </w:rPr>
        <w:t xml:space="preserve">Deploy the XGBoost model (threshold 0.5) as a flagging system that routes high-risk claims to the claims team for manual review, rather than as an automated approval/rejection system.</w:t>
      </w:r>
    </w:p>
    <w:p>
      <w:pPr>
        <w:pStyle w:val="ListParagraph"/>
        <w:numPr>
          <w:ilvl w:val="0"/>
          <w:numId w:val="1"/>
        </w:numPr>
        <w:spacing w:after="80"/>
      </w:pPr>
      <w:r>
        <w:rPr>
          <w:sz w:val="22"/>
          <w:szCs w:val="22"/>
        </w:rPr>
        <w:t xml:space="preserve">The model identifies roughly half of all fraudulent claims while keeping the false-alarm rate low enough to meaningfully reduce the manual review workload compared to reviewing all claims equally.</w:t>
      </w:r>
    </w:p>
    <w:p>
      <w:pPr>
        <w:pStyle w:val="ListParagraph"/>
        <w:numPr>
          <w:ilvl w:val="0"/>
          <w:numId w:val="1"/>
        </w:numPr>
        <w:spacing w:after="80"/>
      </w:pPr>
      <w:r>
        <w:rPr>
          <w:sz w:val="22"/>
          <w:szCs w:val="22"/>
        </w:rPr>
        <w:t xml:space="preserve">Claims teams should prioritize review queues using the strongest fraud indicators identified in EDA: claims where the policy holder is at fault, high-coverage ('All Perils') policies, and younger policyholders (18-25 years).</w:t>
      </w:r>
    </w:p>
    <w:p>
      <w:pPr>
        <w:pStyle w:val="ListParagraph"/>
        <w:numPr>
          <w:ilvl w:val="0"/>
          <w:numId w:val="1"/>
        </w:numPr>
        <w:spacing w:after="80"/>
      </w:pPr>
      <w:r>
        <w:rPr>
          <w:sz w:val="22"/>
          <w:szCs w:val="22"/>
        </w:rPr>
        <w:t xml:space="preserve">The model should be retrained periodically (e.g. every 6-12 months) as fraud patterns, customer demographics, and policy mixes evolve over time.</w:t>
      </w:r>
    </w:p>
    <w:p>
      <w:pPr>
        <w:pStyle w:val="ListParagraph"/>
        <w:numPr>
          <w:ilvl w:val="0"/>
          <w:numId w:val="1"/>
        </w:numPr>
        <w:spacing w:after="80"/>
      </w:pPr>
      <w:r>
        <w:rPr>
          <w:sz w:val="22"/>
          <w:szCs w:val="22"/>
        </w:rPr>
        <w:t xml:space="preserve">Overall, this approach reduces manual review effort for the claims team while keeping the false-positive rate low enough to avoid unnecessary friction for genuine customers, directly supporting the business priority defined at the start of the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2026-07-04T04:52:05.721Z</dcterms:created>
  <dcterms:modified xsi:type="dcterms:W3CDTF">2026-07-04T04:52:05.721Z</dcterms:modified>
</cp:coreProperties>
</file>

<file path=docProps/custom.xml><?xml version="1.0" encoding="utf-8"?>
<Properties xmlns="http://schemas.openxmlformats.org/officeDocument/2006/custom-properties" xmlns:vt="http://schemas.openxmlformats.org/officeDocument/2006/docPropsVTypes"/>
</file>