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A42" w:rsidRDefault="00412A42" w:rsidP="00412A42">
      <w:pPr>
        <w:pStyle w:val="1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卡牌</w:t>
      </w:r>
      <w:r w:rsidRPr="00783742">
        <w:rPr>
          <w:rFonts w:ascii="微軟正黑體" w:eastAsia="微軟正黑體" w:hAnsi="微軟正黑體" w:hint="eastAsia"/>
        </w:rPr>
        <w:t>介紹</w:t>
      </w:r>
      <w:proofErr w:type="gramEnd"/>
    </w:p>
    <w:p w:rsidR="00C4556E" w:rsidRPr="00412A42" w:rsidRDefault="00412A42">
      <w:pPr>
        <w:rPr>
          <w:rFonts w:ascii="微軟正黑體" w:eastAsia="微軟正黑體" w:hAnsi="微軟正黑體" w:cstheme="majorBidi"/>
          <w:b/>
          <w:bCs/>
          <w:kern w:val="52"/>
          <w:sz w:val="52"/>
          <w:szCs w:val="52"/>
        </w:rPr>
      </w:pPr>
      <w:proofErr w:type="gramStart"/>
      <w:r>
        <w:rPr>
          <w:rFonts w:ascii="微軟正黑體" w:eastAsia="微軟正黑體" w:hAnsi="微軟正黑體" w:cstheme="majorBidi" w:hint="eastAsia"/>
          <w:b/>
          <w:bCs/>
          <w:kern w:val="52"/>
          <w:sz w:val="52"/>
          <w:szCs w:val="52"/>
        </w:rPr>
        <w:t>特殊卡牌</w:t>
      </w:r>
      <w:proofErr w:type="gramEnd"/>
      <w:r w:rsidRPr="008D7B76">
        <w:rPr>
          <w:rFonts w:ascii="微軟正黑體" w:eastAsia="微軟正黑體" w:hAnsi="微軟正黑體" w:cstheme="majorBidi"/>
          <w:b/>
          <w:bCs/>
          <w:kern w:val="52"/>
          <w:sz w:val="52"/>
          <w:szCs w:val="52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0643CA" w:rsidTr="00767A10"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「大災</w:t>
            </w: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厄</w:t>
            </w:r>
            <w:proofErr w:type="gramEnd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」金融海嘯</w:t>
            </w:r>
          </w:p>
        </w:tc>
      </w:tr>
      <w:tr w:rsidR="006E2BF0" w:rsidRPr="000643CA" w:rsidTr="00767A10">
        <w:trPr>
          <w:trHeight w:val="77"/>
        </w:trPr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抽到時須立即打出。</w:t>
            </w:r>
          </w:p>
          <w:p w:rsidR="006E2BF0" w:rsidRPr="000643CA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所有玩家資產除存保銀行帳戶外，資產減半。</w:t>
            </w:r>
          </w:p>
        </w:tc>
      </w:tr>
    </w:tbl>
    <w:p w:rsidR="006E2BF0" w:rsidRPr="00A13C01" w:rsidRDefault="00A13C01" w:rsidP="00A13C0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0643CA" w:rsidTr="00767A10"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「大災</w:t>
            </w: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厄</w:t>
            </w:r>
            <w:proofErr w:type="gramEnd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」無薪假期</w:t>
            </w:r>
          </w:p>
        </w:tc>
      </w:tr>
      <w:tr w:rsidR="006E2BF0" w:rsidRPr="000643CA" w:rsidTr="00767A10">
        <w:trPr>
          <w:trHeight w:val="77"/>
        </w:trPr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抽到時須立即打出。</w:t>
            </w:r>
          </w:p>
          <w:p w:rsidR="006E2BF0" w:rsidRPr="000643CA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除菜籃族/自宅警備員及學生外，所有玩家資產除存保銀行帳戶外，資產減半。</w:t>
            </w:r>
          </w:p>
        </w:tc>
      </w:tr>
    </w:tbl>
    <w:p w:rsidR="006E2BF0" w:rsidRPr="00A13C01" w:rsidRDefault="00A13C01" w:rsidP="006E2BF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0643CA" w:rsidTr="00767A10"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「大災</w:t>
            </w: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厄</w:t>
            </w:r>
            <w:proofErr w:type="gramEnd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」</w:t>
            </w: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遊行抗議</w:t>
            </w:r>
          </w:p>
        </w:tc>
      </w:tr>
      <w:tr w:rsidR="006E2BF0" w:rsidRPr="000643CA" w:rsidTr="00767A10">
        <w:trPr>
          <w:trHeight w:val="77"/>
        </w:trPr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711B2D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711B2D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抽到時須立即打出。</w:t>
            </w:r>
          </w:p>
          <w:p w:rsidR="006E2BF0" w:rsidRPr="00711B2D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711B2D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菜籃族/自宅警備員及學生玩家資產除存保銀行帳戶外，資產減半。</w:t>
            </w:r>
          </w:p>
        </w:tc>
      </w:tr>
    </w:tbl>
    <w:p w:rsidR="006E2BF0" w:rsidRDefault="00A13C0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0643CA" w:rsidTr="00767A10"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挽臂捐血</w:t>
            </w:r>
            <w:proofErr w:type="gramEnd"/>
          </w:p>
        </w:tc>
      </w:tr>
      <w:tr w:rsidR="006E2BF0" w:rsidRPr="000643CA" w:rsidTr="00767A10">
        <w:trPr>
          <w:trHeight w:val="77"/>
        </w:trPr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挽臂捐</w:t>
            </w:r>
            <w:proofErr w:type="gramEnd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出熱血，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暫停「申購股票」、「臨櫃存款」行動2輪</w:t>
            </w: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。你獲得20元。</w:t>
            </w:r>
          </w:p>
        </w:tc>
      </w:tr>
    </w:tbl>
    <w:p w:rsidR="006E2BF0" w:rsidRDefault="00A13C0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0643CA" w:rsidTr="00767A10"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新冠肺炎</w:t>
            </w:r>
            <w:proofErr w:type="gramEnd"/>
          </w:p>
        </w:tc>
      </w:tr>
      <w:tr w:rsidR="006E2BF0" w:rsidRPr="000643CA" w:rsidTr="00767A10">
        <w:trPr>
          <w:trHeight w:val="2291"/>
        </w:trPr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指定一名玩家，該玩家在本輪遊戲受到的大災</w:t>
            </w: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厄</w:t>
            </w:r>
            <w:proofErr w:type="gramEnd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系列資產</w:t>
            </w: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效果為歸</w:t>
            </w:r>
            <w:proofErr w:type="gramEnd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零。若在特殊規則，除</w:t>
            </w: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歸零外另</w:t>
            </w:r>
            <w:proofErr w:type="gramEnd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休息1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輪</w:t>
            </w: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並無法獲得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該輪</w:t>
            </w: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獎勵。</w:t>
            </w:r>
          </w:p>
        </w:tc>
      </w:tr>
    </w:tbl>
    <w:p w:rsidR="006E2BF0" w:rsidRPr="00A13C01" w:rsidRDefault="00A13C01" w:rsidP="00A13C0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0643CA" w:rsidTr="00767A10"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N</w:t>
            </w:r>
            <w:r w:rsidRPr="000643CA"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  <w:t>95</w:t>
            </w: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口罩</w:t>
            </w:r>
          </w:p>
        </w:tc>
      </w:tr>
      <w:tr w:rsidR="006E2BF0" w:rsidRPr="000643CA" w:rsidTr="00767A10">
        <w:trPr>
          <w:trHeight w:val="77"/>
        </w:trPr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使用</w:t>
            </w: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此卡時需作為狀態附加在職業卡旁，可</w:t>
            </w: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抵消新冠肺炎</w:t>
            </w:r>
            <w:proofErr w:type="gramEnd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效果（被指定效果時即須打出），兩者抵銷後卡片自遊戲中移除。</w:t>
            </w:r>
          </w:p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若遊戲結束時仍存在此狀態，則視為存款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15</w:t>
            </w: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元。</w:t>
            </w:r>
          </w:p>
        </w:tc>
      </w:tr>
    </w:tbl>
    <w:p w:rsidR="006E2BF0" w:rsidRDefault="00A13C0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0643CA" w:rsidTr="00767A10"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量化寬鬆</w:t>
            </w:r>
          </w:p>
        </w:tc>
      </w:tr>
      <w:tr w:rsidR="006E2BF0" w:rsidRPr="000643CA" w:rsidTr="00767A10">
        <w:trPr>
          <w:trHeight w:val="932"/>
        </w:trPr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作為狀態附加卡放置於地圖，所有玩家持有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現金與存款</w:t>
            </w: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立即*2</w:t>
            </w:r>
            <w:r w:rsidRPr="000643CA"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 </w:t>
            </w:r>
          </w:p>
        </w:tc>
      </w:tr>
    </w:tbl>
    <w:p w:rsidR="006E2BF0" w:rsidRPr="00A13C01" w:rsidRDefault="00A13C01" w:rsidP="00A13C0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0643CA" w:rsidTr="00767A10"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坐地起價</w:t>
            </w:r>
          </w:p>
        </w:tc>
      </w:tr>
      <w:tr w:rsidR="006E2BF0" w:rsidRPr="000643CA" w:rsidTr="00767A10">
        <w:trPr>
          <w:trHeight w:val="77"/>
        </w:trPr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作為狀態附加卡放置於地圖，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本場遊戲手續費*4</w:t>
            </w: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。</w:t>
            </w:r>
          </w:p>
        </w:tc>
      </w:tr>
    </w:tbl>
    <w:p w:rsidR="006E2BF0" w:rsidRDefault="00A13C0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0643CA" w:rsidTr="00767A10"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認知作戰</w:t>
            </w:r>
          </w:p>
        </w:tc>
      </w:tr>
      <w:tr w:rsidR="006E2BF0" w:rsidRPr="000643CA" w:rsidTr="00767A10">
        <w:trPr>
          <w:trHeight w:val="77"/>
        </w:trPr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所有玩家各自擲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骰</w:t>
            </w:r>
            <w:proofErr w:type="gramEnd"/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N。</w:t>
            </w:r>
          </w:p>
          <w:p w:rsidR="006E2BF0" w:rsidRPr="000643CA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若總N大於玩家數*3，所有人獲得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1張手牌</w:t>
            </w:r>
            <w:proofErr w:type="gramEnd"/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，否則失去N元。</w:t>
            </w:r>
          </w:p>
        </w:tc>
      </w:tr>
    </w:tbl>
    <w:p w:rsidR="006E2BF0" w:rsidRDefault="00A13C0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0643CA" w:rsidTr="00767A10"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支付利息</w:t>
            </w:r>
          </w:p>
        </w:tc>
      </w:tr>
      <w:tr w:rsidR="006E2BF0" w:rsidRPr="000643CA" w:rsidTr="00767A10">
        <w:trPr>
          <w:trHeight w:val="934"/>
        </w:trPr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你獲得銀行存款一半之無條件捨去的現金資產。</w:t>
            </w:r>
          </w:p>
        </w:tc>
      </w:tr>
    </w:tbl>
    <w:p w:rsidR="006E2BF0" w:rsidRPr="00A13C01" w:rsidRDefault="00A13C01" w:rsidP="00A13C0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0643CA" w:rsidTr="00767A10"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稀釋股權</w:t>
            </w:r>
          </w:p>
        </w:tc>
      </w:tr>
      <w:tr w:rsidR="006E2BF0" w:rsidRPr="00174482" w:rsidTr="00767A10">
        <w:trPr>
          <w:trHeight w:val="77"/>
        </w:trPr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強制變賣依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骰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面決定公司之所有玩家股份，價格為每股5元。</w:t>
            </w:r>
          </w:p>
          <w:p w:rsidR="006E2BF0" w:rsidRPr="00174482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proofErr w:type="gramStart"/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骰</w:t>
            </w:r>
            <w:proofErr w:type="gramEnd"/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面：1</w:t>
            </w:r>
            <w:r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  <w:t>.2.</w:t>
            </w: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電力、3.4郵政、5.6捷運</w:t>
            </w:r>
          </w:p>
        </w:tc>
      </w:tr>
    </w:tbl>
    <w:p w:rsidR="006E2BF0" w:rsidRDefault="00A13C0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3A49C3" w:rsidTr="00767A10"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3A49C3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「</w:t>
            </w:r>
            <w:r w:rsidR="00064B27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即時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」</w:t>
            </w:r>
            <w:proofErr w:type="gramStart"/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不明貓蟲</w:t>
            </w:r>
            <w:proofErr w:type="gramEnd"/>
          </w:p>
        </w:tc>
      </w:tr>
      <w:tr w:rsidR="006E2BF0" w:rsidRPr="000643CA" w:rsidTr="00767A10">
        <w:trPr>
          <w:trHeight w:val="77"/>
        </w:trPr>
        <w:tc>
          <w:tcPr>
            <w:tcW w:w="1271" w:type="dxa"/>
            <w:shd w:val="clear" w:color="auto" w:fill="FFE599" w:themeFill="accent4" w:themeFillTint="66"/>
          </w:tcPr>
          <w:p w:rsidR="006E2BF0" w:rsidRPr="000643CA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337048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抽到時須立即打出。</w:t>
            </w:r>
          </w:p>
          <w:p w:rsidR="006E2BF0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神秘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的貓蟲肚子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餓，你付了5元作為他的糧食費。</w:t>
            </w:r>
          </w:p>
          <w:p w:rsidR="006E2BF0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你獲得了小雞大便指示物作為回報，很臭。</w:t>
            </w:r>
          </w:p>
          <w:p w:rsidR="006E2BF0" w:rsidRPr="000643CA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累積三坨小雞大便，</w:t>
            </w:r>
            <w:r w:rsidR="00064B27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散發的臭味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可</w:t>
            </w:r>
            <w:r w:rsidR="00064B27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威脅央行並兌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換30元。</w:t>
            </w:r>
          </w:p>
        </w:tc>
      </w:tr>
    </w:tbl>
    <w:p w:rsidR="006E2BF0" w:rsidRDefault="00A13C0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6E2BF0" w:rsidTr="006E2BF0">
        <w:tc>
          <w:tcPr>
            <w:tcW w:w="1271" w:type="dxa"/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</w:pPr>
            <w:proofErr w:type="gramStart"/>
            <w:r w:rsidRPr="006E2BF0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董事會</w:t>
            </w:r>
          </w:p>
        </w:tc>
      </w:tr>
      <w:tr w:rsidR="006E2BF0" w:rsidRPr="006E2BF0" w:rsidTr="006E2BF0">
        <w:trPr>
          <w:trHeight w:val="77"/>
        </w:trPr>
        <w:tc>
          <w:tcPr>
            <w:tcW w:w="1271" w:type="dxa"/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緊急召開董事會，指定一名玩家-1股，若你因此晉升為董事長，則你額外+1股。</w:t>
            </w:r>
          </w:p>
        </w:tc>
      </w:tr>
    </w:tbl>
    <w:p w:rsidR="006E2BF0" w:rsidRPr="00A13C01" w:rsidRDefault="00A13C01" w:rsidP="00A13C0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6E2BF0" w:rsidTr="006E2BF0">
        <w:tc>
          <w:tcPr>
            <w:tcW w:w="1271" w:type="dxa"/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</w:pPr>
            <w:proofErr w:type="gramStart"/>
            <w:r w:rsidRPr="006E2BF0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</w:pPr>
            <w:proofErr w:type="gramStart"/>
            <w:r w:rsidRPr="006E2BF0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  <w:t>甘安捏</w:t>
            </w:r>
            <w:proofErr w:type="gramEnd"/>
          </w:p>
        </w:tc>
      </w:tr>
      <w:tr w:rsidR="006E2BF0" w:rsidRPr="006E2BF0" w:rsidTr="006E2BF0">
        <w:trPr>
          <w:trHeight w:val="77"/>
        </w:trPr>
        <w:tc>
          <w:tcPr>
            <w:tcW w:w="1271" w:type="dxa"/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064B27" w:rsidRDefault="006E2BF0" w:rsidP="00767A10">
            <w:pPr>
              <w:pStyle w:val="Web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限董事長使用</w:t>
            </w:r>
            <w:r w:rsidR="00064B27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。</w:t>
            </w:r>
          </w:p>
          <w:p w:rsidR="006E2BF0" w:rsidRPr="006E2BF0" w:rsidRDefault="006E2BF0" w:rsidP="00767A10">
            <w:pPr>
              <w:pStyle w:val="Web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當</w:t>
            </w:r>
            <w:r w:rsidR="00064B27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其他玩家發動董事會</w:t>
            </w: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時，須立即出示此卡抵消</w:t>
            </w:r>
            <w:r w:rsidR="00064B27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效果</w:t>
            </w: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，打出時需</w:t>
            </w:r>
            <w:proofErr w:type="gramStart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詢問在場股東</w:t>
            </w:r>
            <w:proofErr w:type="gramEnd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：</w:t>
            </w:r>
            <w:proofErr w:type="gramStart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甘安捏</w:t>
            </w:r>
            <w:proofErr w:type="gramEnd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？</w:t>
            </w:r>
          </w:p>
          <w:p w:rsidR="006E2BF0" w:rsidRPr="006E2BF0" w:rsidRDefault="006E2BF0" w:rsidP="00767A10">
            <w:pPr>
              <w:pStyle w:val="Web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若你非董事長，則視為「我全都要」，當被指定「</w:t>
            </w:r>
            <w:proofErr w:type="gramStart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修但幾勒</w:t>
            </w:r>
            <w:proofErr w:type="gramEnd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」的時候，打出此卡抵銷並回覆：</w:t>
            </w:r>
            <w:proofErr w:type="gramStart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甘安捏</w:t>
            </w:r>
            <w:proofErr w:type="gramEnd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？</w:t>
            </w:r>
          </w:p>
        </w:tc>
      </w:tr>
    </w:tbl>
    <w:p w:rsidR="006E2BF0" w:rsidRDefault="00A13C0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72DB4" w:rsidRPr="000643CA" w:rsidTr="00767A10">
        <w:tc>
          <w:tcPr>
            <w:tcW w:w="1271" w:type="dxa"/>
          </w:tcPr>
          <w:p w:rsidR="00072DB4" w:rsidRPr="000643CA" w:rsidRDefault="00072DB4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072DB4" w:rsidRPr="000643CA" w:rsidRDefault="00072DB4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準備國考</w:t>
            </w:r>
            <w:proofErr w:type="gramEnd"/>
          </w:p>
        </w:tc>
      </w:tr>
      <w:tr w:rsidR="00072DB4" w:rsidRPr="000643CA" w:rsidTr="00767A10">
        <w:trPr>
          <w:trHeight w:val="77"/>
        </w:trPr>
        <w:tc>
          <w:tcPr>
            <w:tcW w:w="1271" w:type="dxa"/>
          </w:tcPr>
          <w:p w:rsidR="00072DB4" w:rsidRPr="000643CA" w:rsidRDefault="00072DB4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072DB4" w:rsidRDefault="00072DB4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限指定學生玩家，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此輪禁止</w:t>
            </w:r>
            <w:proofErr w:type="gramEnd"/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存款與申購股票。</w:t>
            </w:r>
          </w:p>
          <w:p w:rsidR="00072DB4" w:rsidRPr="000643CA" w:rsidRDefault="00072DB4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若此卡由學生玩家使用，則可將一枚畢業證書翻回至學生證。</w:t>
            </w:r>
          </w:p>
        </w:tc>
      </w:tr>
    </w:tbl>
    <w:p w:rsidR="00072DB4" w:rsidRPr="00120E79" w:rsidRDefault="00072DB4" w:rsidP="00072DB4">
      <w:r>
        <w:br w:type="page"/>
      </w:r>
    </w:p>
    <w:p w:rsidR="00072DB4" w:rsidRPr="00072DB4" w:rsidRDefault="00072DB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6E2BF0" w:rsidTr="006E2BF0">
        <w:trPr>
          <w:trHeight w:val="796"/>
        </w:trPr>
        <w:tc>
          <w:tcPr>
            <w:tcW w:w="1271" w:type="dxa"/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</w:pPr>
            <w:proofErr w:type="gramStart"/>
            <w:r w:rsidRPr="006E2BF0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hint="eastAsia"/>
                <w:b/>
                <w:sz w:val="28"/>
                <w:szCs w:val="28"/>
                <w:shd w:val="clear" w:color="auto" w:fill="FFE599" w:themeFill="accent4" w:themeFillTint="66"/>
              </w:rPr>
              <w:t>婆媽八卦</w:t>
            </w:r>
          </w:p>
        </w:tc>
      </w:tr>
      <w:tr w:rsidR="006E2BF0" w:rsidRPr="006E2BF0" w:rsidTr="006E2BF0">
        <w:trPr>
          <w:trHeight w:val="77"/>
        </w:trPr>
        <w:tc>
          <w:tcPr>
            <w:tcW w:w="1271" w:type="dxa"/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064B27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限指定菜籃族/自宅警備員玩家，</w:t>
            </w:r>
            <w:proofErr w:type="gramStart"/>
            <w:r w:rsidR="00064B27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此輪禁止</w:t>
            </w:r>
            <w:proofErr w:type="gramEnd"/>
            <w:r w:rsidR="00064B27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存款與申購股票。</w:t>
            </w:r>
          </w:p>
          <w:p w:rsidR="006E2BF0" w:rsidRPr="006E2BF0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若此卡由菜籃族玩家/自宅警備員使用，則可查看</w:t>
            </w:r>
            <w:proofErr w:type="gramStart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牌堆前</w:t>
            </w:r>
            <w:proofErr w:type="gramEnd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3張，擇其1張</w:t>
            </w:r>
            <w:proofErr w:type="gramStart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與手牌交換</w:t>
            </w:r>
            <w:proofErr w:type="gramEnd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。</w:t>
            </w:r>
          </w:p>
        </w:tc>
      </w:tr>
    </w:tbl>
    <w:p w:rsidR="006E2BF0" w:rsidRPr="00A13C01" w:rsidRDefault="00A13C01" w:rsidP="00A13C0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6E2BF0" w:rsidTr="006E2BF0">
        <w:tc>
          <w:tcPr>
            <w:tcW w:w="1271" w:type="dxa"/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</w:pPr>
            <w:proofErr w:type="gramStart"/>
            <w:r w:rsidRPr="006E2BF0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PTT</w:t>
            </w:r>
          </w:p>
        </w:tc>
      </w:tr>
      <w:tr w:rsidR="006E2BF0" w:rsidRPr="006E2BF0" w:rsidTr="006E2BF0">
        <w:trPr>
          <w:trHeight w:val="77"/>
        </w:trPr>
        <w:tc>
          <w:tcPr>
            <w:tcW w:w="1271" w:type="dxa"/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064B27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限指定上班族及老闆玩家，</w:t>
            </w:r>
            <w:proofErr w:type="gramStart"/>
            <w:r w:rsidR="00064B27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此輪禁止</w:t>
            </w:r>
            <w:proofErr w:type="gramEnd"/>
            <w:r w:rsidR="00064B27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存款與申購股票。</w:t>
            </w: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若此卡由上班族或老闆玩家使用，則賦予使用者P幣指示物</w:t>
            </w:r>
            <w:r w:rsidR="00064B27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。</w:t>
            </w:r>
          </w:p>
          <w:p w:rsidR="006E2BF0" w:rsidRPr="006E2BF0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遊戲結算時，每P幣視為存款2元，最多累積3枚P幣。</w:t>
            </w:r>
          </w:p>
          <w:p w:rsidR="006E2BF0" w:rsidRPr="006E2BF0" w:rsidRDefault="006E2BF0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若已累積滿P幣，則視為發票中獎。</w:t>
            </w:r>
            <w:r w:rsidRPr="006E2BF0">
              <w:rPr>
                <w:rFonts w:ascii="微軟正黑體" w:eastAsia="微軟正黑體" w:hAnsi="微軟正黑體"/>
                <w:b/>
                <w:sz w:val="28"/>
                <w:szCs w:val="28"/>
                <w:shd w:val="clear" w:color="auto" w:fill="FFE599" w:themeFill="accent4" w:themeFillTint="66"/>
              </w:rPr>
              <w:tab/>
            </w:r>
          </w:p>
        </w:tc>
      </w:tr>
    </w:tbl>
    <w:p w:rsidR="006E2BF0" w:rsidRPr="00A13C01" w:rsidRDefault="00A13C01" w:rsidP="00A13C0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E2BF0" w:rsidRPr="006E2BF0" w:rsidTr="006E2BF0">
        <w:tc>
          <w:tcPr>
            <w:tcW w:w="1271" w:type="dxa"/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</w:pPr>
            <w:proofErr w:type="gramStart"/>
            <w:r w:rsidRPr="006E2BF0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交際酒會</w:t>
            </w:r>
          </w:p>
        </w:tc>
      </w:tr>
      <w:tr w:rsidR="006E2BF0" w:rsidRPr="006E2BF0" w:rsidTr="006E2BF0">
        <w:trPr>
          <w:trHeight w:val="77"/>
        </w:trPr>
        <w:tc>
          <w:tcPr>
            <w:tcW w:w="1271" w:type="dxa"/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  <w:shd w:val="clear" w:color="auto" w:fill="FFE599" w:themeFill="accent4" w:themeFillTint="66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6E2BF0" w:rsidRPr="006E2BF0" w:rsidRDefault="006E2BF0" w:rsidP="00767A10">
            <w:pPr>
              <w:pStyle w:val="Web"/>
              <w:spacing w:before="240" w:beforeAutospacing="0" w:after="240" w:afterAutospacing="0"/>
              <w:rPr>
                <w:rFonts w:ascii="微軟正黑體" w:eastAsia="微軟正黑體" w:hAnsi="微軟正黑體"/>
                <w:b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限指定時尚名</w:t>
            </w:r>
            <w:proofErr w:type="gramStart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媛</w:t>
            </w:r>
            <w:proofErr w:type="gramEnd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或慈善家玩家，</w:t>
            </w:r>
            <w:proofErr w:type="gramStart"/>
            <w:r w:rsidR="00064B27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此輪禁止</w:t>
            </w:r>
            <w:proofErr w:type="gramEnd"/>
            <w:r w:rsidR="00064B27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存款與申購股票</w:t>
            </w: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。</w:t>
            </w:r>
          </w:p>
          <w:p w:rsidR="006E2BF0" w:rsidRPr="006E2BF0" w:rsidRDefault="006E2BF0" w:rsidP="00767A10">
            <w:pPr>
              <w:pStyle w:val="Web"/>
              <w:spacing w:before="240" w:beforeAutospacing="0" w:after="240" w:afterAutospacing="0"/>
              <w:rPr>
                <w:rFonts w:ascii="微軟正黑體" w:eastAsia="微軟正黑體" w:hAnsi="微軟正黑體"/>
                <w:b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若此卡由時尚名</w:t>
            </w:r>
            <w:proofErr w:type="gramStart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媛</w:t>
            </w:r>
            <w:proofErr w:type="gramEnd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玩家使用，則可查看一名</w:t>
            </w:r>
            <w:proofErr w:type="gramStart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玩家手</w:t>
            </w:r>
            <w:proofErr w:type="gramEnd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牌，你可以自選ㄧ</w:t>
            </w:r>
            <w:proofErr w:type="gramStart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張手牌與</w:t>
            </w:r>
            <w:proofErr w:type="gramEnd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其交換你指定</w:t>
            </w:r>
            <w:proofErr w:type="gramStart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的手</w:t>
            </w:r>
            <w:proofErr w:type="gramEnd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牌。</w:t>
            </w:r>
          </w:p>
          <w:p w:rsidR="006E2BF0" w:rsidRPr="006E2BF0" w:rsidRDefault="006E2BF0" w:rsidP="00767A1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b/>
                <w:sz w:val="28"/>
                <w:szCs w:val="28"/>
                <w:shd w:val="clear" w:color="auto" w:fill="FFE599" w:themeFill="accent4" w:themeFillTint="66"/>
              </w:rPr>
            </w:pPr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若此卡由慈善家使用，</w:t>
            </w:r>
            <w:proofErr w:type="gramStart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則抵免</w:t>
            </w:r>
            <w:proofErr w:type="gramEnd"/>
            <w:r w:rsidRPr="006E2BF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  <w:shd w:val="clear" w:color="auto" w:fill="FFE599" w:themeFill="accent4" w:themeFillTint="66"/>
              </w:rPr>
              <w:t>一次募款條件，此功能僅限發動一次，若重複使用則視為「新年快樂」。</w:t>
            </w:r>
          </w:p>
        </w:tc>
      </w:tr>
    </w:tbl>
    <w:p w:rsidR="006E2BF0" w:rsidRDefault="00412A42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74E72" w:rsidRPr="000643CA" w:rsidTr="00B74E72">
        <w:tc>
          <w:tcPr>
            <w:tcW w:w="1271" w:type="dxa"/>
            <w:shd w:val="clear" w:color="auto" w:fill="FFE599" w:themeFill="accent4" w:themeFillTint="66"/>
          </w:tcPr>
          <w:p w:rsidR="00B74E72" w:rsidRPr="000643CA" w:rsidRDefault="00B74E72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  <w:shd w:val="clear" w:color="auto" w:fill="FFE599" w:themeFill="accent4" w:themeFillTint="66"/>
          </w:tcPr>
          <w:p w:rsidR="00B74E72" w:rsidRPr="000643CA" w:rsidRDefault="00B74E72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國士無雙</w:t>
            </w:r>
          </w:p>
        </w:tc>
      </w:tr>
      <w:tr w:rsidR="00B74E72" w:rsidRPr="000643CA" w:rsidTr="00B74E72">
        <w:trPr>
          <w:trHeight w:val="77"/>
        </w:trPr>
        <w:tc>
          <w:tcPr>
            <w:tcW w:w="1271" w:type="dxa"/>
            <w:shd w:val="clear" w:color="auto" w:fill="FFE599" w:themeFill="accent4" w:themeFillTint="66"/>
          </w:tcPr>
          <w:p w:rsidR="00B74E72" w:rsidRPr="000643CA" w:rsidRDefault="00B74E72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  <w:shd w:val="clear" w:color="auto" w:fill="FFE599" w:themeFill="accent4" w:themeFillTint="66"/>
          </w:tcPr>
          <w:p w:rsidR="00B74E72" w:rsidRDefault="00B74E72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「選擇1」你可以支付10元，擲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骰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N，獲得N平方元。</w:t>
            </w:r>
          </w:p>
          <w:p w:rsidR="00B74E72" w:rsidRDefault="00B74E72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「選擇2」你可以支付20元，指定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一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公司，與該公司最高股份持有者對骰，擲骰2次N總和，若你的骰面總和大於他，則你獲得該公司剩餘股份。</w:t>
            </w:r>
          </w:p>
          <w:p w:rsidR="00412A42" w:rsidRPr="000643CA" w:rsidRDefault="00412A42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bookmarkStart w:id="0" w:name="_GoBack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「選擇3」存款+5元</w:t>
            </w:r>
            <w:bookmarkEnd w:id="0"/>
          </w:p>
        </w:tc>
      </w:tr>
    </w:tbl>
    <w:p w:rsidR="00B74E72" w:rsidRPr="00B74E72" w:rsidRDefault="00B74E72"/>
    <w:sectPr w:rsidR="00B74E72" w:rsidRPr="00B74E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DB4" w:rsidRDefault="00072DB4" w:rsidP="00072DB4">
      <w:r>
        <w:separator/>
      </w:r>
    </w:p>
  </w:endnote>
  <w:endnote w:type="continuationSeparator" w:id="0">
    <w:p w:rsidR="00072DB4" w:rsidRDefault="00072DB4" w:rsidP="00072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DB4" w:rsidRDefault="00072DB4" w:rsidP="00072DB4">
      <w:r>
        <w:separator/>
      </w:r>
    </w:p>
  </w:footnote>
  <w:footnote w:type="continuationSeparator" w:id="0">
    <w:p w:rsidR="00072DB4" w:rsidRDefault="00072DB4" w:rsidP="00072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77"/>
    <w:rsid w:val="0004046C"/>
    <w:rsid w:val="00064B27"/>
    <w:rsid w:val="00072DB4"/>
    <w:rsid w:val="00412A42"/>
    <w:rsid w:val="00485C12"/>
    <w:rsid w:val="004954C7"/>
    <w:rsid w:val="004B1879"/>
    <w:rsid w:val="006A16CF"/>
    <w:rsid w:val="006E2BF0"/>
    <w:rsid w:val="00701639"/>
    <w:rsid w:val="00733E77"/>
    <w:rsid w:val="008F5B2C"/>
    <w:rsid w:val="00A13C01"/>
    <w:rsid w:val="00AB347E"/>
    <w:rsid w:val="00B6354D"/>
    <w:rsid w:val="00B74E72"/>
    <w:rsid w:val="00C4556E"/>
    <w:rsid w:val="00D81980"/>
    <w:rsid w:val="00DA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0230B"/>
  <w15:chartTrackingRefBased/>
  <w15:docId w15:val="{1B2D11BA-CA3D-4342-9A79-9DA25102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2A4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733E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412A4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header"/>
    <w:basedOn w:val="a"/>
    <w:link w:val="a5"/>
    <w:uiPriority w:val="99"/>
    <w:unhideWhenUsed/>
    <w:rsid w:val="00072D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72DB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72D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72D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528C8-9EF1-4497-BC50-AE058AFEC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20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國務所</dc:creator>
  <cp:keywords/>
  <dc:description/>
  <cp:lastModifiedBy>國務所</cp:lastModifiedBy>
  <cp:revision>2</cp:revision>
  <dcterms:created xsi:type="dcterms:W3CDTF">2022-07-07T01:58:00Z</dcterms:created>
  <dcterms:modified xsi:type="dcterms:W3CDTF">2022-07-07T08:37:00Z</dcterms:modified>
</cp:coreProperties>
</file>