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32C2B" w14:textId="7F6EF891" w:rsidR="00511715" w:rsidRDefault="000765DE" w:rsidP="000765DE">
      <w:pPr>
        <w:pStyle w:val="Title"/>
      </w:pPr>
      <w:r>
        <w:t>SIT</w:t>
      </w:r>
      <w:r w:rsidR="008523FE">
        <w:t>226</w:t>
      </w:r>
      <w:r>
        <w:t xml:space="preserve"> Cloud Automation Technologies</w:t>
      </w:r>
    </w:p>
    <w:p w14:paraId="16C56081" w14:textId="4438436A" w:rsidR="000765DE" w:rsidRDefault="000765DE" w:rsidP="000765DE">
      <w:pPr>
        <w:pStyle w:val="Subtitle"/>
      </w:pPr>
      <w:r>
        <w:t>Task 4.2C. Cost Comparisons</w:t>
      </w:r>
    </w:p>
    <w:p w14:paraId="3D7F2555" w14:textId="51C7EFF7" w:rsidR="000765DE" w:rsidRDefault="000765DE" w:rsidP="000765DE"/>
    <w:tbl>
      <w:tblPr>
        <w:tblStyle w:val="TableGrid"/>
        <w:tblW w:w="0" w:type="auto"/>
        <w:tblLook w:val="04A0" w:firstRow="1" w:lastRow="0" w:firstColumn="1" w:lastColumn="0" w:noHBand="0" w:noVBand="1"/>
      </w:tblPr>
      <w:tblGrid>
        <w:gridCol w:w="2254"/>
        <w:gridCol w:w="2254"/>
        <w:gridCol w:w="2254"/>
        <w:gridCol w:w="2254"/>
      </w:tblGrid>
      <w:tr w:rsidR="000765DE" w:rsidRPr="000765DE" w14:paraId="1E2FE325" w14:textId="77777777" w:rsidTr="000765DE">
        <w:tc>
          <w:tcPr>
            <w:tcW w:w="2254" w:type="dxa"/>
            <w:shd w:val="clear" w:color="auto" w:fill="000000" w:themeFill="text1"/>
          </w:tcPr>
          <w:p w14:paraId="726F21E5" w14:textId="3970010A" w:rsidR="000765DE" w:rsidRPr="000765DE" w:rsidRDefault="000765DE" w:rsidP="00996D75">
            <w:pPr>
              <w:jc w:val="center"/>
              <w:rPr>
                <w:b/>
                <w:bCs/>
                <w:color w:val="FFFFFF" w:themeColor="background1"/>
              </w:rPr>
            </w:pPr>
            <w:r w:rsidRPr="000765DE">
              <w:rPr>
                <w:b/>
                <w:bCs/>
                <w:color w:val="FFFFFF" w:themeColor="background1"/>
              </w:rPr>
              <w:t>Cost</w:t>
            </w:r>
          </w:p>
        </w:tc>
        <w:tc>
          <w:tcPr>
            <w:tcW w:w="2254" w:type="dxa"/>
            <w:shd w:val="clear" w:color="auto" w:fill="000000" w:themeFill="text1"/>
          </w:tcPr>
          <w:p w14:paraId="2C742FF9" w14:textId="1E4531DE" w:rsidR="000765DE" w:rsidRPr="000765DE" w:rsidRDefault="000765DE" w:rsidP="00996D75">
            <w:pPr>
              <w:jc w:val="center"/>
              <w:rPr>
                <w:b/>
                <w:bCs/>
                <w:color w:val="FFFFFF" w:themeColor="background1"/>
              </w:rPr>
            </w:pPr>
            <w:r w:rsidRPr="000765DE">
              <w:rPr>
                <w:b/>
                <w:bCs/>
                <w:color w:val="FFFFFF" w:themeColor="background1"/>
              </w:rPr>
              <w:t>Hosted In-House</w:t>
            </w:r>
          </w:p>
        </w:tc>
        <w:tc>
          <w:tcPr>
            <w:tcW w:w="2254" w:type="dxa"/>
            <w:shd w:val="clear" w:color="auto" w:fill="000000" w:themeFill="text1"/>
          </w:tcPr>
          <w:p w14:paraId="00613EF3" w14:textId="43A8B08B" w:rsidR="000765DE" w:rsidRPr="000765DE" w:rsidRDefault="000765DE" w:rsidP="00996D75">
            <w:pPr>
              <w:jc w:val="center"/>
              <w:rPr>
                <w:b/>
                <w:bCs/>
                <w:color w:val="FFFFFF" w:themeColor="background1"/>
              </w:rPr>
            </w:pPr>
            <w:r w:rsidRPr="000765DE">
              <w:rPr>
                <w:b/>
                <w:bCs/>
                <w:color w:val="FFFFFF" w:themeColor="background1"/>
              </w:rPr>
              <w:t xml:space="preserve">Cloud </w:t>
            </w:r>
            <w:r w:rsidR="00957E38">
              <w:rPr>
                <w:b/>
                <w:bCs/>
                <w:color w:val="FFFFFF" w:themeColor="background1"/>
              </w:rPr>
              <w:t>Compute/</w:t>
            </w:r>
            <w:r w:rsidRPr="000765DE">
              <w:rPr>
                <w:b/>
                <w:bCs/>
                <w:color w:val="FFFFFF" w:themeColor="background1"/>
              </w:rPr>
              <w:t>VMs</w:t>
            </w:r>
          </w:p>
        </w:tc>
        <w:tc>
          <w:tcPr>
            <w:tcW w:w="2254" w:type="dxa"/>
            <w:shd w:val="clear" w:color="auto" w:fill="000000" w:themeFill="text1"/>
          </w:tcPr>
          <w:p w14:paraId="2DB89B70" w14:textId="6079915E" w:rsidR="000765DE" w:rsidRPr="000765DE" w:rsidRDefault="000765DE" w:rsidP="00996D75">
            <w:pPr>
              <w:jc w:val="center"/>
              <w:rPr>
                <w:b/>
                <w:bCs/>
                <w:color w:val="FFFFFF" w:themeColor="background1"/>
              </w:rPr>
            </w:pPr>
            <w:r w:rsidRPr="000765DE">
              <w:rPr>
                <w:b/>
                <w:bCs/>
                <w:color w:val="FFFFFF" w:themeColor="background1"/>
              </w:rPr>
              <w:t>Cloud Kubernetes</w:t>
            </w:r>
          </w:p>
        </w:tc>
      </w:tr>
      <w:tr w:rsidR="000765DE" w:rsidRPr="000765DE" w14:paraId="21CF0BCC" w14:textId="77777777" w:rsidTr="00951580">
        <w:tc>
          <w:tcPr>
            <w:tcW w:w="9016" w:type="dxa"/>
            <w:gridSpan w:val="4"/>
            <w:shd w:val="clear" w:color="auto" w:fill="B4C6E7" w:themeFill="accent1" w:themeFillTint="66"/>
          </w:tcPr>
          <w:p w14:paraId="2CA06F00" w14:textId="03EBBAAF" w:rsidR="000765DE" w:rsidRPr="000765DE" w:rsidRDefault="000765DE" w:rsidP="000765DE">
            <w:pPr>
              <w:rPr>
                <w:b/>
                <w:bCs/>
              </w:rPr>
            </w:pPr>
            <w:r w:rsidRPr="000765DE">
              <w:rPr>
                <w:b/>
                <w:bCs/>
              </w:rPr>
              <w:t>Capital Costs</w:t>
            </w:r>
          </w:p>
        </w:tc>
      </w:tr>
      <w:tr w:rsidR="000765DE" w14:paraId="280F1A4F" w14:textId="77777777" w:rsidTr="000765DE">
        <w:tc>
          <w:tcPr>
            <w:tcW w:w="2254" w:type="dxa"/>
          </w:tcPr>
          <w:p w14:paraId="1F045ED0" w14:textId="0AD90FEC" w:rsidR="000765DE" w:rsidRDefault="000765DE" w:rsidP="00996D75">
            <w:pPr>
              <w:jc w:val="center"/>
            </w:pPr>
            <w:r>
              <w:t>Server</w:t>
            </w:r>
          </w:p>
        </w:tc>
        <w:tc>
          <w:tcPr>
            <w:tcW w:w="2254" w:type="dxa"/>
          </w:tcPr>
          <w:p w14:paraId="5F379FD8" w14:textId="77777777" w:rsidR="00996D75" w:rsidRPr="00996D75" w:rsidRDefault="00996D75" w:rsidP="00996D75">
            <w:pPr>
              <w:rPr>
                <w:lang w:val="en-US"/>
              </w:rPr>
            </w:pPr>
            <w:r w:rsidRPr="00996D75">
              <w:rPr>
                <w:lang w:val="en-US"/>
              </w:rPr>
              <w:t>$4,500 (Dell PowerEdge R250)</w:t>
            </w:r>
          </w:p>
          <w:p w14:paraId="05B612E7" w14:textId="77777777" w:rsidR="000765DE" w:rsidRDefault="000765DE" w:rsidP="00996D75"/>
        </w:tc>
        <w:tc>
          <w:tcPr>
            <w:tcW w:w="2254" w:type="dxa"/>
          </w:tcPr>
          <w:p w14:paraId="34FFEA61" w14:textId="69C28121" w:rsidR="000765DE" w:rsidRDefault="00996D75" w:rsidP="00996D75">
            <w:pPr>
              <w:jc w:val="center"/>
            </w:pPr>
            <w:r>
              <w:t>-</w:t>
            </w:r>
          </w:p>
        </w:tc>
        <w:tc>
          <w:tcPr>
            <w:tcW w:w="2254" w:type="dxa"/>
          </w:tcPr>
          <w:p w14:paraId="58CF697F" w14:textId="65E0CAEB" w:rsidR="000765DE" w:rsidRDefault="00996D75" w:rsidP="00996D75">
            <w:pPr>
              <w:jc w:val="center"/>
            </w:pPr>
            <w:r>
              <w:t>-</w:t>
            </w:r>
          </w:p>
        </w:tc>
      </w:tr>
      <w:tr w:rsidR="000765DE" w:rsidRPr="000765DE" w14:paraId="2B607050" w14:textId="77777777" w:rsidTr="000765DE">
        <w:tc>
          <w:tcPr>
            <w:tcW w:w="9016" w:type="dxa"/>
            <w:gridSpan w:val="4"/>
            <w:shd w:val="clear" w:color="auto" w:fill="B4C6E7" w:themeFill="accent1" w:themeFillTint="66"/>
          </w:tcPr>
          <w:p w14:paraId="5AC0A400" w14:textId="0A11B977" w:rsidR="000765DE" w:rsidRPr="000765DE" w:rsidRDefault="000765DE" w:rsidP="000765DE">
            <w:pPr>
              <w:rPr>
                <w:b/>
                <w:bCs/>
              </w:rPr>
            </w:pPr>
            <w:r w:rsidRPr="000765DE">
              <w:rPr>
                <w:b/>
                <w:bCs/>
              </w:rPr>
              <w:t>Operational Costs</w:t>
            </w:r>
          </w:p>
        </w:tc>
      </w:tr>
      <w:tr w:rsidR="000765DE" w14:paraId="6A9F08D4" w14:textId="77777777" w:rsidTr="000765DE">
        <w:tc>
          <w:tcPr>
            <w:tcW w:w="2254" w:type="dxa"/>
          </w:tcPr>
          <w:p w14:paraId="2DC17E83" w14:textId="42715D63" w:rsidR="000765DE" w:rsidRDefault="00957E38" w:rsidP="00996D75">
            <w:pPr>
              <w:jc w:val="center"/>
            </w:pPr>
            <w:r>
              <w:t>Salaries</w:t>
            </w:r>
          </w:p>
        </w:tc>
        <w:tc>
          <w:tcPr>
            <w:tcW w:w="2254" w:type="dxa"/>
          </w:tcPr>
          <w:p w14:paraId="731F2C12" w14:textId="7A7AC9A3" w:rsidR="000765DE" w:rsidRPr="00996D75" w:rsidRDefault="00996D75" w:rsidP="000765DE">
            <w:pPr>
              <w:rPr>
                <w:lang w:val="en-US"/>
              </w:rPr>
            </w:pPr>
            <w:r w:rsidRPr="00996D75">
              <w:rPr>
                <w:lang w:val="en-US"/>
              </w:rPr>
              <w:t>$80,000 (1 additional staff)</w:t>
            </w:r>
          </w:p>
        </w:tc>
        <w:tc>
          <w:tcPr>
            <w:tcW w:w="2254" w:type="dxa"/>
          </w:tcPr>
          <w:p w14:paraId="0DEAAF7E" w14:textId="5396683A" w:rsidR="000765DE" w:rsidRDefault="00996D75" w:rsidP="00996D75">
            <w:pPr>
              <w:jc w:val="center"/>
            </w:pPr>
            <w:r>
              <w:t>-</w:t>
            </w:r>
          </w:p>
        </w:tc>
        <w:tc>
          <w:tcPr>
            <w:tcW w:w="2254" w:type="dxa"/>
          </w:tcPr>
          <w:p w14:paraId="7F5B3F79" w14:textId="4C295635" w:rsidR="000765DE" w:rsidRDefault="00996D75" w:rsidP="00996D75">
            <w:pPr>
              <w:jc w:val="center"/>
            </w:pPr>
            <w:r>
              <w:t>-</w:t>
            </w:r>
          </w:p>
        </w:tc>
      </w:tr>
      <w:tr w:rsidR="000765DE" w14:paraId="5B1A7CED" w14:textId="77777777" w:rsidTr="000765DE">
        <w:tc>
          <w:tcPr>
            <w:tcW w:w="2254" w:type="dxa"/>
          </w:tcPr>
          <w:p w14:paraId="70B0DEB6" w14:textId="67B73770" w:rsidR="000765DE" w:rsidRDefault="00957E38" w:rsidP="00996D75">
            <w:pPr>
              <w:jc w:val="center"/>
            </w:pPr>
            <w:r>
              <w:t>Electricity</w:t>
            </w:r>
          </w:p>
        </w:tc>
        <w:tc>
          <w:tcPr>
            <w:tcW w:w="2254" w:type="dxa"/>
          </w:tcPr>
          <w:p w14:paraId="4C5CDA90" w14:textId="077E79BB" w:rsidR="000765DE" w:rsidRPr="00996D75" w:rsidRDefault="00996D75" w:rsidP="000765DE">
            <w:pPr>
              <w:rPr>
                <w:lang w:val="en-US"/>
              </w:rPr>
            </w:pPr>
            <w:r w:rsidRPr="00996D75">
              <w:rPr>
                <w:lang w:val="en-US"/>
              </w:rPr>
              <w:t>$1,200/year</w:t>
            </w:r>
          </w:p>
        </w:tc>
        <w:tc>
          <w:tcPr>
            <w:tcW w:w="2254" w:type="dxa"/>
          </w:tcPr>
          <w:p w14:paraId="21399643" w14:textId="3BCCD204" w:rsidR="000765DE" w:rsidRDefault="00996D75" w:rsidP="00996D75">
            <w:pPr>
              <w:jc w:val="center"/>
            </w:pPr>
            <w:r>
              <w:t>-</w:t>
            </w:r>
          </w:p>
        </w:tc>
        <w:tc>
          <w:tcPr>
            <w:tcW w:w="2254" w:type="dxa"/>
          </w:tcPr>
          <w:p w14:paraId="39465AE9" w14:textId="3BA1C72F" w:rsidR="000765DE" w:rsidRDefault="00996D75" w:rsidP="00996D75">
            <w:pPr>
              <w:jc w:val="center"/>
            </w:pPr>
            <w:r>
              <w:t>-</w:t>
            </w:r>
          </w:p>
        </w:tc>
      </w:tr>
      <w:tr w:rsidR="000765DE" w14:paraId="61BE1BB9" w14:textId="77777777" w:rsidTr="000765DE">
        <w:tc>
          <w:tcPr>
            <w:tcW w:w="2254" w:type="dxa"/>
          </w:tcPr>
          <w:p w14:paraId="4B6BBFC8" w14:textId="6F0982A5" w:rsidR="000765DE" w:rsidRDefault="00996D75" w:rsidP="00996D75">
            <w:pPr>
              <w:jc w:val="center"/>
            </w:pPr>
            <w:r>
              <w:t>Compute (VMs)</w:t>
            </w:r>
          </w:p>
        </w:tc>
        <w:tc>
          <w:tcPr>
            <w:tcW w:w="2254" w:type="dxa"/>
          </w:tcPr>
          <w:p w14:paraId="7FA93A36" w14:textId="06F7F81C" w:rsidR="000765DE" w:rsidRDefault="00996D75" w:rsidP="00996D75">
            <w:pPr>
              <w:jc w:val="center"/>
            </w:pPr>
            <w:r>
              <w:t>-</w:t>
            </w:r>
          </w:p>
        </w:tc>
        <w:tc>
          <w:tcPr>
            <w:tcW w:w="2254" w:type="dxa"/>
          </w:tcPr>
          <w:p w14:paraId="1A2B32AA" w14:textId="55F083F0" w:rsidR="000765DE" w:rsidRPr="00996D75" w:rsidRDefault="00996D75" w:rsidP="000765DE">
            <w:pPr>
              <w:rPr>
                <w:lang w:val="en-US"/>
              </w:rPr>
            </w:pPr>
            <w:r w:rsidRPr="00996D75">
              <w:rPr>
                <w:lang w:val="en-US"/>
              </w:rPr>
              <w:t>$1,680/year (AWS EC2 t3.medium)</w:t>
            </w:r>
          </w:p>
        </w:tc>
        <w:tc>
          <w:tcPr>
            <w:tcW w:w="2254" w:type="dxa"/>
          </w:tcPr>
          <w:p w14:paraId="06435FC7" w14:textId="06E24E23" w:rsidR="000765DE" w:rsidRPr="00996D75" w:rsidRDefault="00996D75" w:rsidP="000765DE">
            <w:pPr>
              <w:rPr>
                <w:lang w:val="en-US"/>
              </w:rPr>
            </w:pPr>
            <w:r w:rsidRPr="00996D75">
              <w:rPr>
                <w:lang w:val="en-US"/>
              </w:rPr>
              <w:t>$2,016/year (AWS EKS nodes)</w:t>
            </w:r>
          </w:p>
        </w:tc>
      </w:tr>
      <w:tr w:rsidR="000765DE" w14:paraId="5B783E75" w14:textId="77777777" w:rsidTr="000765DE">
        <w:tc>
          <w:tcPr>
            <w:tcW w:w="2254" w:type="dxa"/>
          </w:tcPr>
          <w:p w14:paraId="36CCB6A0" w14:textId="2EEC1D25" w:rsidR="000765DE" w:rsidRDefault="00996D75" w:rsidP="00996D75">
            <w:pPr>
              <w:jc w:val="center"/>
            </w:pPr>
            <w:r>
              <w:t>Storage</w:t>
            </w:r>
          </w:p>
        </w:tc>
        <w:tc>
          <w:tcPr>
            <w:tcW w:w="2254" w:type="dxa"/>
          </w:tcPr>
          <w:p w14:paraId="6686F842" w14:textId="71F5F0D5" w:rsidR="000765DE" w:rsidRDefault="00996D75" w:rsidP="00996D75">
            <w:pPr>
              <w:jc w:val="center"/>
            </w:pPr>
            <w:r>
              <w:t>-</w:t>
            </w:r>
          </w:p>
        </w:tc>
        <w:tc>
          <w:tcPr>
            <w:tcW w:w="2254" w:type="dxa"/>
          </w:tcPr>
          <w:p w14:paraId="1CBE80C6" w14:textId="77777777" w:rsidR="00996D75" w:rsidRPr="00996D75" w:rsidRDefault="00996D75" w:rsidP="00996D75">
            <w:pPr>
              <w:rPr>
                <w:lang w:val="en-US"/>
              </w:rPr>
            </w:pPr>
            <w:r w:rsidRPr="00996D75">
              <w:rPr>
                <w:lang w:val="en-US"/>
              </w:rPr>
              <w:t>$300/year (1TB EBS)</w:t>
            </w:r>
          </w:p>
          <w:p w14:paraId="62EED78A" w14:textId="77777777" w:rsidR="000765DE" w:rsidRDefault="000765DE" w:rsidP="000765DE"/>
        </w:tc>
        <w:tc>
          <w:tcPr>
            <w:tcW w:w="2254" w:type="dxa"/>
          </w:tcPr>
          <w:p w14:paraId="7FCFA19F" w14:textId="2F1872DD" w:rsidR="000765DE" w:rsidRDefault="00996D75" w:rsidP="000765DE">
            <w:r w:rsidRPr="00996D75">
              <w:t>$300/year (1TB EBS)</w:t>
            </w:r>
          </w:p>
        </w:tc>
      </w:tr>
      <w:tr w:rsidR="000765DE" w14:paraId="5E5D381B" w14:textId="77777777" w:rsidTr="000765DE">
        <w:tc>
          <w:tcPr>
            <w:tcW w:w="2254" w:type="dxa"/>
          </w:tcPr>
          <w:p w14:paraId="49404695" w14:textId="5A256A8E" w:rsidR="000765DE" w:rsidRDefault="00996D75" w:rsidP="00996D75">
            <w:pPr>
              <w:jc w:val="center"/>
            </w:pPr>
            <w:r>
              <w:t>Networking</w:t>
            </w:r>
          </w:p>
        </w:tc>
        <w:tc>
          <w:tcPr>
            <w:tcW w:w="2254" w:type="dxa"/>
          </w:tcPr>
          <w:p w14:paraId="41E0ADF3" w14:textId="03251118" w:rsidR="000765DE" w:rsidRDefault="00996D75" w:rsidP="00996D75">
            <w:pPr>
              <w:jc w:val="center"/>
            </w:pPr>
            <w:r>
              <w:t>-</w:t>
            </w:r>
          </w:p>
        </w:tc>
        <w:tc>
          <w:tcPr>
            <w:tcW w:w="2254" w:type="dxa"/>
          </w:tcPr>
          <w:p w14:paraId="637E2BBA" w14:textId="77DCED39" w:rsidR="000765DE" w:rsidRDefault="00996D75" w:rsidP="00996D75">
            <w:r w:rsidRPr="00996D75">
              <w:t>$120/year (data transfer)</w:t>
            </w:r>
          </w:p>
        </w:tc>
        <w:tc>
          <w:tcPr>
            <w:tcW w:w="2254" w:type="dxa"/>
          </w:tcPr>
          <w:p w14:paraId="7A606059" w14:textId="273D084D" w:rsidR="000765DE" w:rsidRDefault="00996D75" w:rsidP="000765DE">
            <w:r w:rsidRPr="00996D75">
              <w:t>$120/year (data transfer)</w:t>
            </w:r>
          </w:p>
        </w:tc>
      </w:tr>
      <w:tr w:rsidR="00996D75" w14:paraId="297C97A5" w14:textId="77777777" w:rsidTr="000765DE">
        <w:tc>
          <w:tcPr>
            <w:tcW w:w="2254" w:type="dxa"/>
          </w:tcPr>
          <w:p w14:paraId="5F3752F4" w14:textId="29CA5074" w:rsidR="00996D75" w:rsidRDefault="00996D75" w:rsidP="00996D75">
            <w:pPr>
              <w:jc w:val="center"/>
            </w:pPr>
            <w:r>
              <w:t>Cluster Management</w:t>
            </w:r>
          </w:p>
        </w:tc>
        <w:tc>
          <w:tcPr>
            <w:tcW w:w="2254" w:type="dxa"/>
          </w:tcPr>
          <w:p w14:paraId="68764B41" w14:textId="400D86FB" w:rsidR="00996D75" w:rsidRDefault="00996D75" w:rsidP="00996D75">
            <w:pPr>
              <w:jc w:val="center"/>
            </w:pPr>
            <w:r>
              <w:t>-</w:t>
            </w:r>
          </w:p>
        </w:tc>
        <w:tc>
          <w:tcPr>
            <w:tcW w:w="2254" w:type="dxa"/>
          </w:tcPr>
          <w:p w14:paraId="1D31FD0B" w14:textId="62002D0A" w:rsidR="00996D75" w:rsidRDefault="00996D75" w:rsidP="00996D75">
            <w:pPr>
              <w:jc w:val="center"/>
            </w:pPr>
            <w:r>
              <w:t>-</w:t>
            </w:r>
          </w:p>
        </w:tc>
        <w:tc>
          <w:tcPr>
            <w:tcW w:w="2254" w:type="dxa"/>
          </w:tcPr>
          <w:p w14:paraId="21C54F36" w14:textId="62C05133" w:rsidR="00996D75" w:rsidRDefault="00996D75" w:rsidP="000765DE">
            <w:r w:rsidRPr="00996D75">
              <w:t>$876/year (EKS fee)</w:t>
            </w:r>
          </w:p>
        </w:tc>
      </w:tr>
    </w:tbl>
    <w:p w14:paraId="7E4DB882" w14:textId="066D5238" w:rsidR="000765DE" w:rsidRDefault="000765DE" w:rsidP="000765DE"/>
    <w:p w14:paraId="2AF7E3EB" w14:textId="2435B676" w:rsidR="00957E38" w:rsidRDefault="00957E38" w:rsidP="000765DE">
      <w:pPr>
        <w:rPr>
          <w:b/>
          <w:bCs/>
          <w:u w:val="single"/>
        </w:rPr>
      </w:pPr>
      <w:r w:rsidRPr="00957E38">
        <w:rPr>
          <w:b/>
          <w:bCs/>
          <w:u w:val="single"/>
        </w:rPr>
        <w:t>Total Costs</w:t>
      </w:r>
    </w:p>
    <w:tbl>
      <w:tblPr>
        <w:tblStyle w:val="TableGrid"/>
        <w:tblW w:w="0" w:type="auto"/>
        <w:tblLook w:val="04A0" w:firstRow="1" w:lastRow="0" w:firstColumn="1" w:lastColumn="0" w:noHBand="0" w:noVBand="1"/>
      </w:tblPr>
      <w:tblGrid>
        <w:gridCol w:w="2254"/>
        <w:gridCol w:w="2254"/>
        <w:gridCol w:w="2254"/>
        <w:gridCol w:w="2254"/>
      </w:tblGrid>
      <w:tr w:rsidR="00957E38" w:rsidRPr="000765DE" w14:paraId="64700D18" w14:textId="77777777" w:rsidTr="00A05615">
        <w:tc>
          <w:tcPr>
            <w:tcW w:w="2254" w:type="dxa"/>
            <w:shd w:val="clear" w:color="auto" w:fill="000000" w:themeFill="text1"/>
          </w:tcPr>
          <w:p w14:paraId="4B27C5F3" w14:textId="486326D9" w:rsidR="00957E38" w:rsidRPr="000765DE" w:rsidRDefault="00957E38" w:rsidP="00996D75">
            <w:pPr>
              <w:tabs>
                <w:tab w:val="center" w:pos="1019"/>
              </w:tabs>
              <w:jc w:val="center"/>
              <w:rPr>
                <w:b/>
                <w:bCs/>
                <w:color w:val="FFFFFF" w:themeColor="background1"/>
              </w:rPr>
            </w:pPr>
            <w:r>
              <w:rPr>
                <w:b/>
                <w:bCs/>
                <w:color w:val="FFFFFF" w:themeColor="background1"/>
              </w:rPr>
              <w:t>Year</w:t>
            </w:r>
          </w:p>
        </w:tc>
        <w:tc>
          <w:tcPr>
            <w:tcW w:w="2254" w:type="dxa"/>
            <w:shd w:val="clear" w:color="auto" w:fill="000000" w:themeFill="text1"/>
          </w:tcPr>
          <w:p w14:paraId="4FE1D80A" w14:textId="77777777" w:rsidR="00957E38" w:rsidRPr="000765DE" w:rsidRDefault="00957E38" w:rsidP="00996D75">
            <w:pPr>
              <w:jc w:val="center"/>
              <w:rPr>
                <w:b/>
                <w:bCs/>
                <w:color w:val="FFFFFF" w:themeColor="background1"/>
              </w:rPr>
            </w:pPr>
            <w:r w:rsidRPr="000765DE">
              <w:rPr>
                <w:b/>
                <w:bCs/>
                <w:color w:val="FFFFFF" w:themeColor="background1"/>
              </w:rPr>
              <w:t>Hosted In-House</w:t>
            </w:r>
          </w:p>
        </w:tc>
        <w:tc>
          <w:tcPr>
            <w:tcW w:w="2254" w:type="dxa"/>
            <w:shd w:val="clear" w:color="auto" w:fill="000000" w:themeFill="text1"/>
          </w:tcPr>
          <w:p w14:paraId="2629CC87" w14:textId="77777777" w:rsidR="00957E38" w:rsidRPr="000765DE" w:rsidRDefault="00957E38" w:rsidP="00996D75">
            <w:pPr>
              <w:jc w:val="center"/>
              <w:rPr>
                <w:b/>
                <w:bCs/>
                <w:color w:val="FFFFFF" w:themeColor="background1"/>
              </w:rPr>
            </w:pPr>
            <w:r w:rsidRPr="000765DE">
              <w:rPr>
                <w:b/>
                <w:bCs/>
                <w:color w:val="FFFFFF" w:themeColor="background1"/>
              </w:rPr>
              <w:t xml:space="preserve">Cloud </w:t>
            </w:r>
            <w:r>
              <w:rPr>
                <w:b/>
                <w:bCs/>
                <w:color w:val="FFFFFF" w:themeColor="background1"/>
              </w:rPr>
              <w:t>Compute/</w:t>
            </w:r>
            <w:r w:rsidRPr="000765DE">
              <w:rPr>
                <w:b/>
                <w:bCs/>
                <w:color w:val="FFFFFF" w:themeColor="background1"/>
              </w:rPr>
              <w:t>VMs</w:t>
            </w:r>
          </w:p>
        </w:tc>
        <w:tc>
          <w:tcPr>
            <w:tcW w:w="2254" w:type="dxa"/>
            <w:shd w:val="clear" w:color="auto" w:fill="000000" w:themeFill="text1"/>
          </w:tcPr>
          <w:p w14:paraId="2C98292A" w14:textId="77777777" w:rsidR="00957E38" w:rsidRPr="000765DE" w:rsidRDefault="00957E38" w:rsidP="00996D75">
            <w:pPr>
              <w:jc w:val="center"/>
              <w:rPr>
                <w:b/>
                <w:bCs/>
                <w:color w:val="FFFFFF" w:themeColor="background1"/>
              </w:rPr>
            </w:pPr>
            <w:r w:rsidRPr="000765DE">
              <w:rPr>
                <w:b/>
                <w:bCs/>
                <w:color w:val="FFFFFF" w:themeColor="background1"/>
              </w:rPr>
              <w:t>Cloud Kubernetes</w:t>
            </w:r>
          </w:p>
        </w:tc>
      </w:tr>
      <w:tr w:rsidR="00957E38" w14:paraId="7231BD61" w14:textId="77777777" w:rsidTr="00A05615">
        <w:tc>
          <w:tcPr>
            <w:tcW w:w="2254" w:type="dxa"/>
          </w:tcPr>
          <w:p w14:paraId="56C87E33" w14:textId="706E002D" w:rsidR="00957E38" w:rsidRDefault="00957E38" w:rsidP="00996D75">
            <w:pPr>
              <w:jc w:val="center"/>
            </w:pPr>
            <w:r>
              <w:t>Year 1</w:t>
            </w:r>
          </w:p>
        </w:tc>
        <w:tc>
          <w:tcPr>
            <w:tcW w:w="2254" w:type="dxa"/>
          </w:tcPr>
          <w:p w14:paraId="649E42DE" w14:textId="25325962" w:rsidR="00957E38" w:rsidRPr="00996D75" w:rsidRDefault="00996D75" w:rsidP="00996D75">
            <w:pPr>
              <w:jc w:val="center"/>
              <w:rPr>
                <w:lang w:val="en-US"/>
              </w:rPr>
            </w:pPr>
            <w:r w:rsidRPr="00996D75">
              <w:rPr>
                <w:lang w:val="en-US"/>
              </w:rPr>
              <w:t>$85,700</w:t>
            </w:r>
          </w:p>
        </w:tc>
        <w:tc>
          <w:tcPr>
            <w:tcW w:w="2254" w:type="dxa"/>
          </w:tcPr>
          <w:p w14:paraId="26781E69" w14:textId="6EAB0D05" w:rsidR="00957E38" w:rsidRDefault="00996D75" w:rsidP="00996D75">
            <w:pPr>
              <w:jc w:val="center"/>
            </w:pPr>
            <w:r w:rsidRPr="00996D75">
              <w:t>$2,100</w:t>
            </w:r>
          </w:p>
        </w:tc>
        <w:tc>
          <w:tcPr>
            <w:tcW w:w="2254" w:type="dxa"/>
          </w:tcPr>
          <w:p w14:paraId="69335ADD" w14:textId="0360DACC" w:rsidR="00957E38" w:rsidRDefault="00996D75" w:rsidP="00996D75">
            <w:pPr>
              <w:jc w:val="center"/>
            </w:pPr>
            <w:r w:rsidRPr="00996D75">
              <w:t>$3,312</w:t>
            </w:r>
          </w:p>
        </w:tc>
      </w:tr>
      <w:tr w:rsidR="00957E38" w14:paraId="7044B98C" w14:textId="77777777" w:rsidTr="00A05615">
        <w:tc>
          <w:tcPr>
            <w:tcW w:w="2254" w:type="dxa"/>
          </w:tcPr>
          <w:p w14:paraId="793B1E0F" w14:textId="08D0108E" w:rsidR="00957E38" w:rsidRDefault="00957E38" w:rsidP="00996D75">
            <w:pPr>
              <w:jc w:val="center"/>
            </w:pPr>
            <w:r>
              <w:t>Year 2</w:t>
            </w:r>
          </w:p>
        </w:tc>
        <w:tc>
          <w:tcPr>
            <w:tcW w:w="2254" w:type="dxa"/>
          </w:tcPr>
          <w:p w14:paraId="6BFD0DF9" w14:textId="3D699FC4" w:rsidR="00957E38" w:rsidRDefault="00996D75" w:rsidP="00996D75">
            <w:pPr>
              <w:jc w:val="center"/>
            </w:pPr>
            <w:r w:rsidRPr="00996D75">
              <w:t>$81,200</w:t>
            </w:r>
          </w:p>
        </w:tc>
        <w:tc>
          <w:tcPr>
            <w:tcW w:w="2254" w:type="dxa"/>
          </w:tcPr>
          <w:p w14:paraId="660DF248" w14:textId="21D093B4" w:rsidR="00957E38" w:rsidRDefault="00996D75" w:rsidP="00996D75">
            <w:pPr>
              <w:jc w:val="center"/>
            </w:pPr>
            <w:r w:rsidRPr="00996D75">
              <w:t>$2,100</w:t>
            </w:r>
          </w:p>
        </w:tc>
        <w:tc>
          <w:tcPr>
            <w:tcW w:w="2254" w:type="dxa"/>
          </w:tcPr>
          <w:p w14:paraId="4014927E" w14:textId="7F11FCD1" w:rsidR="00957E38" w:rsidRDefault="00996D75" w:rsidP="00996D75">
            <w:pPr>
              <w:jc w:val="center"/>
            </w:pPr>
            <w:r w:rsidRPr="00996D75">
              <w:t>$3,312</w:t>
            </w:r>
          </w:p>
        </w:tc>
      </w:tr>
      <w:tr w:rsidR="00957E38" w14:paraId="76D86FB1" w14:textId="77777777" w:rsidTr="00A05615">
        <w:tc>
          <w:tcPr>
            <w:tcW w:w="2254" w:type="dxa"/>
          </w:tcPr>
          <w:p w14:paraId="178F1E88" w14:textId="39BBE916" w:rsidR="00957E38" w:rsidRDefault="00957E38" w:rsidP="00996D75">
            <w:pPr>
              <w:jc w:val="center"/>
            </w:pPr>
            <w:r>
              <w:t>Year 3</w:t>
            </w:r>
          </w:p>
        </w:tc>
        <w:tc>
          <w:tcPr>
            <w:tcW w:w="2254" w:type="dxa"/>
          </w:tcPr>
          <w:p w14:paraId="689305D2" w14:textId="02EE8DAA" w:rsidR="00957E38" w:rsidRDefault="00996D75" w:rsidP="00996D75">
            <w:pPr>
              <w:jc w:val="center"/>
            </w:pPr>
            <w:r w:rsidRPr="00996D75">
              <w:t>$81,200</w:t>
            </w:r>
          </w:p>
        </w:tc>
        <w:tc>
          <w:tcPr>
            <w:tcW w:w="2254" w:type="dxa"/>
          </w:tcPr>
          <w:p w14:paraId="6B532EE4" w14:textId="6244B21F" w:rsidR="00957E38" w:rsidRDefault="00996D75" w:rsidP="00996D75">
            <w:pPr>
              <w:jc w:val="center"/>
            </w:pPr>
            <w:r w:rsidRPr="00996D75">
              <w:t>$2,100</w:t>
            </w:r>
          </w:p>
        </w:tc>
        <w:tc>
          <w:tcPr>
            <w:tcW w:w="2254" w:type="dxa"/>
          </w:tcPr>
          <w:p w14:paraId="713AC65A" w14:textId="49EDD250" w:rsidR="00957E38" w:rsidRDefault="00996D75" w:rsidP="00996D75">
            <w:pPr>
              <w:jc w:val="center"/>
            </w:pPr>
            <w:r w:rsidRPr="00996D75">
              <w:t>$3,312</w:t>
            </w:r>
          </w:p>
        </w:tc>
      </w:tr>
    </w:tbl>
    <w:p w14:paraId="3BA5830A" w14:textId="77777777" w:rsidR="00957E38" w:rsidRPr="00957E38" w:rsidRDefault="00957E38" w:rsidP="000765DE"/>
    <w:p w14:paraId="1C5EF911" w14:textId="666141D6" w:rsidR="00EF4A65" w:rsidRPr="00EF4A65" w:rsidRDefault="00EF4A65" w:rsidP="000765DE">
      <w:pPr>
        <w:rPr>
          <w:b/>
          <w:bCs/>
          <w:u w:val="single"/>
        </w:rPr>
      </w:pPr>
      <w:r w:rsidRPr="00EF4A65">
        <w:rPr>
          <w:b/>
          <w:bCs/>
          <w:u w:val="single"/>
        </w:rPr>
        <w:t>Assumptions</w:t>
      </w:r>
    </w:p>
    <w:p w14:paraId="4436FC5A" w14:textId="545DD35C" w:rsidR="00996D75" w:rsidRDefault="00996D75" w:rsidP="00996D75">
      <w:pPr>
        <w:pStyle w:val="ListParagraph"/>
        <w:numPr>
          <w:ilvl w:val="0"/>
          <w:numId w:val="1"/>
        </w:numPr>
      </w:pPr>
      <w:r>
        <w:t>The website’s initial requirements (2GB RAM, 1TB storage) are assumed to remain constant for the first three years for simplicity, though significant growth is expected post-launch. Future scaling costs are not included but considered in the recommendation.</w:t>
      </w:r>
    </w:p>
    <w:p w14:paraId="1F8592E5" w14:textId="77777777" w:rsidR="00996D75" w:rsidRDefault="00996D75" w:rsidP="00996D75">
      <w:pPr>
        <w:pStyle w:val="ListParagraph"/>
        <w:numPr>
          <w:ilvl w:val="0"/>
          <w:numId w:val="1"/>
        </w:numPr>
      </w:pPr>
      <w:r>
        <w:t>One additional support staff member is required for in-house hosting to ensure 99.9% uptime, as existing staff are at capacity and cannot handle continuous support needs.</w:t>
      </w:r>
    </w:p>
    <w:p w14:paraId="626129DD" w14:textId="77777777" w:rsidR="00996D75" w:rsidRDefault="00996D75" w:rsidP="00996D75">
      <w:pPr>
        <w:pStyle w:val="ListParagraph"/>
        <w:numPr>
          <w:ilvl w:val="0"/>
          <w:numId w:val="1"/>
        </w:numPr>
      </w:pPr>
      <w:r>
        <w:t>An AWS EC2 t3.medium instance (2 vCPUs, 4GB RAM) is selected to exceed the minimum 2GB RAM requirement, ensuring performance and slight scalability buffer.</w:t>
      </w:r>
    </w:p>
    <w:p w14:paraId="448FF8D9" w14:textId="77777777" w:rsidR="00996D75" w:rsidRDefault="00996D75" w:rsidP="00996D75">
      <w:pPr>
        <w:pStyle w:val="ListParagraph"/>
        <w:numPr>
          <w:ilvl w:val="0"/>
          <w:numId w:val="1"/>
        </w:numPr>
      </w:pPr>
      <w:r>
        <w:t>AWS Elastic Kubernetes Service (EKS) is used with two t3.medium nodes to support microservices and ensure high availability (99.9% uptime via redundancy).</w:t>
      </w:r>
    </w:p>
    <w:p w14:paraId="624A7672" w14:textId="77777777" w:rsidR="00996D75" w:rsidRDefault="00996D75" w:rsidP="00996D75">
      <w:pPr>
        <w:pStyle w:val="ListParagraph"/>
        <w:numPr>
          <w:ilvl w:val="0"/>
          <w:numId w:val="1"/>
        </w:numPr>
      </w:pPr>
      <w:r>
        <w:t>Minimal data transfer (10GB/month outbound) is assumed, as the service is new and usage patterns are unclear.</w:t>
      </w:r>
    </w:p>
    <w:p w14:paraId="716537FC" w14:textId="5DAED68B" w:rsidR="00996D75" w:rsidRDefault="00996D75" w:rsidP="00996D75">
      <w:pPr>
        <w:pStyle w:val="ListParagraph"/>
        <w:numPr>
          <w:ilvl w:val="0"/>
          <w:numId w:val="1"/>
        </w:numPr>
      </w:pPr>
      <w:r>
        <w:t>Costs from AWS (in USD) are converted to AUD using an exchange rate of 1 USD = 1.50 AUD (approximate as of April 2025).</w:t>
      </w:r>
    </w:p>
    <w:p w14:paraId="524E2CD9" w14:textId="77777777" w:rsidR="00CF3263" w:rsidRDefault="00CF3263" w:rsidP="00CF3263">
      <w:pPr>
        <w:pStyle w:val="ListParagraph"/>
      </w:pPr>
    </w:p>
    <w:p w14:paraId="59A79AB1" w14:textId="77777777" w:rsidR="00996D75" w:rsidRDefault="00AC0ED5" w:rsidP="00996D75">
      <w:pPr>
        <w:rPr>
          <w:b/>
          <w:bCs/>
          <w:u w:val="single"/>
        </w:rPr>
      </w:pPr>
      <w:r w:rsidRPr="00AC0ED5">
        <w:rPr>
          <w:b/>
          <w:bCs/>
          <w:u w:val="single"/>
        </w:rPr>
        <w:t>Cost Basis</w:t>
      </w:r>
    </w:p>
    <w:p w14:paraId="00026280" w14:textId="77777777" w:rsidR="00996D75" w:rsidRDefault="00996D75" w:rsidP="00996D75">
      <w:pPr>
        <w:pStyle w:val="ListParagraph"/>
        <w:numPr>
          <w:ilvl w:val="0"/>
          <w:numId w:val="5"/>
        </w:numPr>
        <w:rPr>
          <w:lang w:val="en-US"/>
        </w:rPr>
      </w:pPr>
      <w:r w:rsidRPr="00996D75">
        <w:rPr>
          <w:b/>
          <w:bCs/>
          <w:lang w:val="en-US"/>
        </w:rPr>
        <w:t>In-House Server</w:t>
      </w:r>
      <w:r w:rsidRPr="00996D75">
        <w:rPr>
          <w:lang w:val="en-US"/>
        </w:rPr>
        <w:t xml:space="preserve">: </w:t>
      </w:r>
    </w:p>
    <w:p w14:paraId="66989FD9" w14:textId="77777777" w:rsidR="00996D75" w:rsidRDefault="00996D75" w:rsidP="00996D75">
      <w:pPr>
        <w:pStyle w:val="ListParagraph"/>
        <w:numPr>
          <w:ilvl w:val="1"/>
          <w:numId w:val="5"/>
        </w:numPr>
        <w:rPr>
          <w:lang w:val="en-US"/>
        </w:rPr>
      </w:pPr>
      <w:r w:rsidRPr="00996D75">
        <w:rPr>
          <w:lang w:val="en-US"/>
        </w:rPr>
        <w:t xml:space="preserve">A Dell PowerEdge R250 with 16GB RAM, 1TB SSD, and Intel Xeon E-2314 processor is priced at approximately $3,000 USD ($4,500 AUD) (Dell Technologies, 2025). </w:t>
      </w:r>
    </w:p>
    <w:p w14:paraId="149C6056" w14:textId="77777777" w:rsidR="00996D75" w:rsidRDefault="00996D75" w:rsidP="00996D75">
      <w:pPr>
        <w:pStyle w:val="ListParagraph"/>
        <w:numPr>
          <w:ilvl w:val="2"/>
          <w:numId w:val="5"/>
        </w:numPr>
        <w:rPr>
          <w:lang w:val="en-US"/>
        </w:rPr>
      </w:pPr>
      <w:r w:rsidRPr="00996D75">
        <w:rPr>
          <w:lang w:val="en-US"/>
        </w:rPr>
        <w:lastRenderedPageBreak/>
        <w:t xml:space="preserve">Electricity is estimated at $100/month ($1,200/year) for a small server in a datacenter, based on average Australian rates. </w:t>
      </w:r>
    </w:p>
    <w:p w14:paraId="171E2B4A" w14:textId="08392DBD" w:rsidR="00996D75" w:rsidRDefault="00996D75" w:rsidP="00996D75">
      <w:pPr>
        <w:pStyle w:val="ListParagraph"/>
        <w:numPr>
          <w:ilvl w:val="2"/>
          <w:numId w:val="5"/>
        </w:numPr>
        <w:rPr>
          <w:lang w:val="en-US"/>
        </w:rPr>
      </w:pPr>
      <w:r w:rsidRPr="00996D75">
        <w:rPr>
          <w:lang w:val="en-US"/>
        </w:rPr>
        <w:t xml:space="preserve">One additional staff member at $80,000/year ensures 99.9% uptime. </w:t>
      </w:r>
    </w:p>
    <w:p w14:paraId="7B03E26A" w14:textId="77777777" w:rsidR="00996D75" w:rsidRPr="00996D75" w:rsidRDefault="00996D75" w:rsidP="00996D75">
      <w:pPr>
        <w:pStyle w:val="ListParagraph"/>
        <w:ind w:left="1440"/>
        <w:rPr>
          <w:lang w:val="en-US"/>
        </w:rPr>
      </w:pPr>
    </w:p>
    <w:p w14:paraId="3211CCB2" w14:textId="77777777" w:rsidR="00996D75" w:rsidRDefault="00996D75" w:rsidP="00996D75">
      <w:pPr>
        <w:pStyle w:val="ListParagraph"/>
        <w:numPr>
          <w:ilvl w:val="0"/>
          <w:numId w:val="5"/>
        </w:numPr>
        <w:rPr>
          <w:lang w:val="en-US"/>
        </w:rPr>
      </w:pPr>
      <w:r w:rsidRPr="00996D75">
        <w:rPr>
          <w:b/>
          <w:bCs/>
          <w:lang w:val="en-US"/>
        </w:rPr>
        <w:t>Cloud Compute/VMs</w:t>
      </w:r>
      <w:r w:rsidRPr="00996D75">
        <w:rPr>
          <w:lang w:val="en-US"/>
        </w:rPr>
        <w:t xml:space="preserve">: </w:t>
      </w:r>
    </w:p>
    <w:p w14:paraId="1846F94D" w14:textId="77777777" w:rsidR="00996D75" w:rsidRDefault="00996D75" w:rsidP="00996D75">
      <w:pPr>
        <w:pStyle w:val="ListParagraph"/>
        <w:numPr>
          <w:ilvl w:val="1"/>
          <w:numId w:val="5"/>
        </w:numPr>
        <w:rPr>
          <w:lang w:val="en-US"/>
        </w:rPr>
      </w:pPr>
      <w:r w:rsidRPr="00996D75">
        <w:rPr>
          <w:lang w:val="en-US"/>
        </w:rPr>
        <w:t xml:space="preserve">AWS EC2 t3.medium costs $0.0416/hour USD ($0.0624 AUD/hour), totaling $1,680 AUD/year (730 hours/month × 12 months). </w:t>
      </w:r>
    </w:p>
    <w:p w14:paraId="70AA35CC" w14:textId="4CDEBEB5" w:rsidR="00996D75" w:rsidRDefault="00996D75" w:rsidP="00996D75">
      <w:pPr>
        <w:pStyle w:val="ListParagraph"/>
        <w:numPr>
          <w:ilvl w:val="2"/>
          <w:numId w:val="5"/>
        </w:numPr>
        <w:rPr>
          <w:lang w:val="en-US"/>
        </w:rPr>
      </w:pPr>
      <w:r w:rsidRPr="00996D75">
        <w:rPr>
          <w:lang w:val="en-US"/>
        </w:rPr>
        <w:t xml:space="preserve">1TB EBS storage is $0.10/GB/month USD ($0.15 AUD/GB/month), totaling $300 AUD/year. </w:t>
      </w:r>
    </w:p>
    <w:p w14:paraId="7B6F73FF" w14:textId="10002578" w:rsidR="00996D75" w:rsidRDefault="00996D75" w:rsidP="00996D75">
      <w:pPr>
        <w:pStyle w:val="ListParagraph"/>
        <w:numPr>
          <w:ilvl w:val="1"/>
          <w:numId w:val="5"/>
        </w:numPr>
        <w:rPr>
          <w:lang w:val="en-US"/>
        </w:rPr>
      </w:pPr>
      <w:r w:rsidRPr="00996D75">
        <w:rPr>
          <w:lang w:val="en-US"/>
        </w:rPr>
        <w:t xml:space="preserve">Data transfer (10GB/month) die transfer) at $0.09/GB USD ($0.135 AUD/GB) adds $120 AUD/year (Amazon Web Services, 2025). </w:t>
      </w:r>
    </w:p>
    <w:p w14:paraId="3AC2BFD2" w14:textId="77777777" w:rsidR="00996D75" w:rsidRPr="00996D75" w:rsidRDefault="00996D75" w:rsidP="00996D75">
      <w:pPr>
        <w:pStyle w:val="ListParagraph"/>
        <w:ind w:left="1440"/>
        <w:rPr>
          <w:lang w:val="en-US"/>
        </w:rPr>
      </w:pPr>
    </w:p>
    <w:p w14:paraId="4D4BB965" w14:textId="77777777" w:rsidR="00996D75" w:rsidRDefault="00996D75" w:rsidP="00996D75">
      <w:pPr>
        <w:pStyle w:val="ListParagraph"/>
        <w:numPr>
          <w:ilvl w:val="0"/>
          <w:numId w:val="6"/>
        </w:numPr>
        <w:rPr>
          <w:lang w:val="en-US"/>
        </w:rPr>
      </w:pPr>
      <w:r w:rsidRPr="00996D75">
        <w:rPr>
          <w:b/>
          <w:bCs/>
          <w:lang w:val="en-US"/>
        </w:rPr>
        <w:t>Cloud Kubernetes</w:t>
      </w:r>
      <w:r w:rsidRPr="00996D75">
        <w:rPr>
          <w:lang w:val="en-US"/>
        </w:rPr>
        <w:t xml:space="preserve">: </w:t>
      </w:r>
    </w:p>
    <w:p w14:paraId="455721A3" w14:textId="77777777" w:rsidR="00996D75" w:rsidRDefault="00996D75" w:rsidP="00996D75">
      <w:pPr>
        <w:pStyle w:val="ListParagraph"/>
        <w:numPr>
          <w:ilvl w:val="1"/>
          <w:numId w:val="6"/>
        </w:numPr>
        <w:rPr>
          <w:lang w:val="en-US"/>
        </w:rPr>
      </w:pPr>
      <w:r w:rsidRPr="00996D75">
        <w:rPr>
          <w:lang w:val="en-US"/>
        </w:rPr>
        <w:t xml:space="preserve">AWS EKS with two t3.medium nodes costs $2,016 AUD/year (2 × $1,680/2). </w:t>
      </w:r>
    </w:p>
    <w:p w14:paraId="77F513A9" w14:textId="24615719" w:rsidR="00996D75" w:rsidRDefault="00996D75" w:rsidP="00996D75">
      <w:pPr>
        <w:pStyle w:val="ListParagraph"/>
        <w:numPr>
          <w:ilvl w:val="2"/>
          <w:numId w:val="6"/>
        </w:numPr>
        <w:rPr>
          <w:lang w:val="en-US"/>
        </w:rPr>
      </w:pPr>
      <w:r w:rsidRPr="00996D75">
        <w:rPr>
          <w:lang w:val="en-US"/>
        </w:rPr>
        <w:t xml:space="preserve">EKS cluster management fee is $0.10/hour USD ($0.15 AUD/hour), totaling $876 AUD/year. </w:t>
      </w:r>
    </w:p>
    <w:p w14:paraId="7DC1EDBA" w14:textId="5C45AC6F" w:rsidR="00996D75" w:rsidRDefault="00996D75" w:rsidP="00996D75">
      <w:pPr>
        <w:pStyle w:val="ListParagraph"/>
        <w:numPr>
          <w:ilvl w:val="1"/>
          <w:numId w:val="6"/>
        </w:numPr>
        <w:rPr>
          <w:lang w:val="en-US"/>
        </w:rPr>
      </w:pPr>
      <w:r w:rsidRPr="00996D75">
        <w:rPr>
          <w:lang w:val="en-US"/>
        </w:rPr>
        <w:t>Storage and networking costs mirror the VM setup ($300 + $120 = $420 AUD/year) (Amazon Web Services, 2025).</w:t>
      </w:r>
    </w:p>
    <w:p w14:paraId="50D67352" w14:textId="77777777" w:rsidR="00CF3263" w:rsidRPr="00996D75" w:rsidRDefault="00CF3263" w:rsidP="00CF3263">
      <w:pPr>
        <w:pStyle w:val="ListParagraph"/>
        <w:ind w:left="1440"/>
        <w:rPr>
          <w:lang w:val="en-US"/>
        </w:rPr>
      </w:pPr>
    </w:p>
    <w:p w14:paraId="6642DABF" w14:textId="5B1463CA" w:rsidR="000765DE" w:rsidRDefault="003C0B0A" w:rsidP="003C0B0A">
      <w:pPr>
        <w:rPr>
          <w:b/>
          <w:bCs/>
          <w:u w:val="single"/>
        </w:rPr>
      </w:pPr>
      <w:r w:rsidRPr="003C0B0A">
        <w:rPr>
          <w:b/>
          <w:bCs/>
          <w:u w:val="single"/>
        </w:rPr>
        <w:t>Summary of Hosted In-House Costs</w:t>
      </w:r>
    </w:p>
    <w:p w14:paraId="36D9B895" w14:textId="77777777" w:rsidR="00996D75" w:rsidRDefault="00996D75" w:rsidP="00996D75">
      <w:pPr>
        <w:pStyle w:val="ListParagraph"/>
        <w:numPr>
          <w:ilvl w:val="0"/>
          <w:numId w:val="6"/>
        </w:numPr>
      </w:pPr>
      <w:r w:rsidRPr="00996D75">
        <w:t xml:space="preserve">The in-house hosting approach incurs a significant initial capital cost of $4,500 AUD for a server, followed by high operational costs dominated by an additional staff member ($80,000/year) to maintain 99.9% uptime (Dell Technologies, 2025). </w:t>
      </w:r>
    </w:p>
    <w:p w14:paraId="45B009EC" w14:textId="77777777" w:rsidR="00996D75" w:rsidRDefault="00996D75" w:rsidP="00996D75">
      <w:pPr>
        <w:pStyle w:val="ListParagraph"/>
        <w:numPr>
          <w:ilvl w:val="0"/>
          <w:numId w:val="6"/>
        </w:numPr>
      </w:pPr>
      <w:r w:rsidRPr="00996D75">
        <w:t xml:space="preserve">Electricity adds a modest $1,200/year. </w:t>
      </w:r>
    </w:p>
    <w:p w14:paraId="0684FDE9" w14:textId="77777777" w:rsidR="00996D75" w:rsidRDefault="00996D75" w:rsidP="00996D75">
      <w:pPr>
        <w:pStyle w:val="ListParagraph"/>
        <w:numPr>
          <w:ilvl w:val="0"/>
          <w:numId w:val="6"/>
        </w:numPr>
      </w:pPr>
      <w:r w:rsidRPr="00996D75">
        <w:t xml:space="preserve">Over three years, the total cost is $248,100 AUD, averaging $82,700/year. </w:t>
      </w:r>
    </w:p>
    <w:p w14:paraId="055BB49C" w14:textId="0D796E31" w:rsidR="00996D75" w:rsidRDefault="00996D75" w:rsidP="00996D75">
      <w:pPr>
        <w:pStyle w:val="ListParagraph"/>
        <w:numPr>
          <w:ilvl w:val="0"/>
          <w:numId w:val="6"/>
        </w:numPr>
      </w:pPr>
      <w:r w:rsidRPr="00996D75">
        <w:t>While this offers full control and leverages existing infrastructure (e.g., networking), the high staffing cost and limited scalability without further hardware purchases reduce its value for money, especially given expected growth.</w:t>
      </w:r>
    </w:p>
    <w:p w14:paraId="2749A56C" w14:textId="77777777" w:rsidR="00996D75" w:rsidRPr="00996D75" w:rsidRDefault="00996D75" w:rsidP="00996D75">
      <w:pPr>
        <w:pStyle w:val="ListParagraph"/>
      </w:pPr>
    </w:p>
    <w:p w14:paraId="252E3C58" w14:textId="4E289151" w:rsidR="003C0B0A" w:rsidRDefault="003C0B0A" w:rsidP="003C0B0A">
      <w:pPr>
        <w:rPr>
          <w:b/>
          <w:bCs/>
          <w:u w:val="single"/>
        </w:rPr>
      </w:pPr>
      <w:r w:rsidRPr="003C0B0A">
        <w:rPr>
          <w:b/>
          <w:bCs/>
          <w:u w:val="single"/>
        </w:rPr>
        <w:t>Summary of Cloud VMs Costs</w:t>
      </w:r>
    </w:p>
    <w:p w14:paraId="3B23FFD5" w14:textId="77777777" w:rsidR="00996D75" w:rsidRDefault="00996D75" w:rsidP="00996D75">
      <w:pPr>
        <w:pStyle w:val="ListParagraph"/>
        <w:numPr>
          <w:ilvl w:val="0"/>
          <w:numId w:val="7"/>
        </w:numPr>
        <w:rPr>
          <w:lang w:val="en-US"/>
        </w:rPr>
      </w:pPr>
      <w:r w:rsidRPr="00996D75">
        <w:rPr>
          <w:lang w:val="en-US"/>
        </w:rPr>
        <w:t xml:space="preserve">Cloud VMs on AWS EC2 provide a low-cost entry at $2,100 AUD/year, with no upfront capital expenditure (Amazon Web Services, 2025). </w:t>
      </w:r>
    </w:p>
    <w:p w14:paraId="612314C6" w14:textId="77777777" w:rsidR="00996D75" w:rsidRDefault="00996D75" w:rsidP="00996D75">
      <w:pPr>
        <w:pStyle w:val="ListParagraph"/>
        <w:numPr>
          <w:ilvl w:val="0"/>
          <w:numId w:val="7"/>
        </w:numPr>
        <w:rPr>
          <w:lang w:val="en-US"/>
        </w:rPr>
      </w:pPr>
      <w:r w:rsidRPr="00996D75">
        <w:rPr>
          <w:lang w:val="en-US"/>
        </w:rPr>
        <w:t xml:space="preserve">Costs are operational, covering compute ($1,680), storage ($300), and networking ($120). </w:t>
      </w:r>
    </w:p>
    <w:p w14:paraId="64D3A0BF" w14:textId="77777777" w:rsidR="00996D75" w:rsidRDefault="00996D75" w:rsidP="00996D75">
      <w:pPr>
        <w:pStyle w:val="ListParagraph"/>
        <w:numPr>
          <w:ilvl w:val="0"/>
          <w:numId w:val="7"/>
        </w:numPr>
        <w:rPr>
          <w:lang w:val="en-US"/>
        </w:rPr>
      </w:pPr>
      <w:r w:rsidRPr="00996D75">
        <w:rPr>
          <w:lang w:val="en-US"/>
        </w:rPr>
        <w:t xml:space="preserve">This pay-as-you-go model offers excellent flexibility and scalability, aligning costs with usage. </w:t>
      </w:r>
    </w:p>
    <w:p w14:paraId="6BB231B8" w14:textId="77777777" w:rsidR="00996D75" w:rsidRDefault="00996D75" w:rsidP="00996D75">
      <w:pPr>
        <w:pStyle w:val="ListParagraph"/>
        <w:numPr>
          <w:ilvl w:val="0"/>
          <w:numId w:val="7"/>
        </w:numPr>
        <w:rPr>
          <w:lang w:val="en-US"/>
        </w:rPr>
      </w:pPr>
      <w:r w:rsidRPr="00996D75">
        <w:rPr>
          <w:lang w:val="en-US"/>
        </w:rPr>
        <w:t xml:space="preserve">However, achieving 99.9% uptime may require additional instances or redundancy (not included here), potentially increasing costs slightly. </w:t>
      </w:r>
    </w:p>
    <w:p w14:paraId="72EBE091" w14:textId="25CAAF42" w:rsidR="00996D75" w:rsidRPr="00996D75" w:rsidRDefault="00996D75" w:rsidP="00996D75">
      <w:pPr>
        <w:pStyle w:val="ListParagraph"/>
        <w:numPr>
          <w:ilvl w:val="0"/>
          <w:numId w:val="7"/>
        </w:numPr>
        <w:rPr>
          <w:lang w:val="en-US"/>
        </w:rPr>
      </w:pPr>
      <w:r w:rsidRPr="00996D75">
        <w:rPr>
          <w:lang w:val="en-US"/>
        </w:rPr>
        <w:t>The lack of staffing overhead makes this cost-effective for the initial phase, though long-term growth could elevate expenses.</w:t>
      </w:r>
    </w:p>
    <w:p w14:paraId="40880F0F" w14:textId="77777777" w:rsidR="00996D75" w:rsidRDefault="00996D75" w:rsidP="003C0B0A"/>
    <w:p w14:paraId="2357982B" w14:textId="2CE0A0DD" w:rsidR="003C0B0A" w:rsidRDefault="003C0B0A" w:rsidP="003C0B0A">
      <w:pPr>
        <w:rPr>
          <w:b/>
          <w:bCs/>
          <w:u w:val="single"/>
        </w:rPr>
      </w:pPr>
      <w:r w:rsidRPr="003C0B0A">
        <w:rPr>
          <w:b/>
          <w:bCs/>
          <w:u w:val="single"/>
        </w:rPr>
        <w:t>Summary of Cloud Kubernetes Costs</w:t>
      </w:r>
    </w:p>
    <w:p w14:paraId="5C3F11E8" w14:textId="77777777" w:rsidR="00996D75" w:rsidRDefault="00996D75" w:rsidP="00996D75">
      <w:pPr>
        <w:pStyle w:val="ListParagraph"/>
        <w:numPr>
          <w:ilvl w:val="0"/>
          <w:numId w:val="8"/>
        </w:numPr>
      </w:pPr>
      <w:r w:rsidRPr="00996D75">
        <w:t xml:space="preserve">Cloud Kubernetes via AWS EKS costs $3,312 AUD/year, including compute ($2,016), storage ($300), networking ($120), and a cluster management fee ($876) (Amazon Web Services, 2025). </w:t>
      </w:r>
    </w:p>
    <w:p w14:paraId="39956DEB" w14:textId="77777777" w:rsidR="00996D75" w:rsidRDefault="00996D75" w:rsidP="00996D75">
      <w:pPr>
        <w:pStyle w:val="ListParagraph"/>
        <w:numPr>
          <w:ilvl w:val="0"/>
          <w:numId w:val="8"/>
        </w:numPr>
      </w:pPr>
      <w:r w:rsidRPr="00996D75">
        <w:t xml:space="preserve">This is higher than VMs due to the EKS fee and multi-node setup for high availability, aligning with the microservices architecture and 99.9% uptime requirement. </w:t>
      </w:r>
    </w:p>
    <w:p w14:paraId="74FFD7C6" w14:textId="77777777" w:rsidR="00996D75" w:rsidRDefault="00996D75" w:rsidP="00996D75">
      <w:pPr>
        <w:pStyle w:val="ListParagraph"/>
        <w:numPr>
          <w:ilvl w:val="0"/>
          <w:numId w:val="8"/>
        </w:numPr>
      </w:pPr>
      <w:r w:rsidRPr="00996D75">
        <w:lastRenderedPageBreak/>
        <w:t xml:space="preserve">It offers superior scalability and fault tolerance, ideal for future expansion into consultancy and restoration services. </w:t>
      </w:r>
    </w:p>
    <w:p w14:paraId="1595A816" w14:textId="34A69070" w:rsidR="00996D75" w:rsidRDefault="00996D75" w:rsidP="00996D75">
      <w:pPr>
        <w:pStyle w:val="ListParagraph"/>
        <w:numPr>
          <w:ilvl w:val="0"/>
          <w:numId w:val="8"/>
        </w:numPr>
      </w:pPr>
      <w:r w:rsidRPr="00996D75">
        <w:t>However, the added complexity and cost may not be fully justified for the initial small-scale deployment.</w:t>
      </w:r>
    </w:p>
    <w:p w14:paraId="765EF8FA" w14:textId="77777777" w:rsidR="00996D75" w:rsidRPr="008119F4" w:rsidRDefault="00996D75" w:rsidP="00996D75">
      <w:pPr>
        <w:pStyle w:val="ListParagraph"/>
      </w:pPr>
    </w:p>
    <w:p w14:paraId="581C2A3A" w14:textId="09881123" w:rsidR="003C0B0A" w:rsidRDefault="007D49BC" w:rsidP="003C0B0A">
      <w:pPr>
        <w:rPr>
          <w:b/>
          <w:bCs/>
          <w:u w:val="single"/>
        </w:rPr>
      </w:pPr>
      <w:r>
        <w:rPr>
          <w:b/>
          <w:bCs/>
          <w:u w:val="single"/>
        </w:rPr>
        <w:t>Recommendation</w:t>
      </w:r>
    </w:p>
    <w:p w14:paraId="223A17D6" w14:textId="77777777" w:rsidR="00996D75" w:rsidRDefault="00996D75" w:rsidP="00996D75">
      <w:pPr>
        <w:rPr>
          <w:lang w:val="en-US"/>
        </w:rPr>
      </w:pPr>
      <w:r w:rsidRPr="00996D75">
        <w:rPr>
          <w:lang w:val="en-US"/>
        </w:rPr>
        <w:t xml:space="preserve">I recommend the </w:t>
      </w:r>
      <w:r w:rsidRPr="00996D75">
        <w:rPr>
          <w:b/>
          <w:bCs/>
          <w:lang w:val="en-US"/>
        </w:rPr>
        <w:t>Cloud Compute/VMs</w:t>
      </w:r>
      <w:r w:rsidRPr="00996D75">
        <w:rPr>
          <w:lang w:val="en-US"/>
        </w:rPr>
        <w:t xml:space="preserve"> approach for the organisation’s new web service. At $2,100 AUD/year, it provides the lowest total cost over three years ($6,300 AUD) compared to $248,100 AUD for in-house and $9,936 AUD for Kubernetes (Amazon Web Services, 2025; Dell Technologies, 2025). </w:t>
      </w:r>
    </w:p>
    <w:p w14:paraId="52D1713E" w14:textId="77777777" w:rsidR="00996D75" w:rsidRDefault="00996D75" w:rsidP="00996D75">
      <w:pPr>
        <w:pStyle w:val="ListParagraph"/>
        <w:numPr>
          <w:ilvl w:val="0"/>
          <w:numId w:val="9"/>
        </w:numPr>
        <w:rPr>
          <w:lang w:val="en-US"/>
        </w:rPr>
      </w:pPr>
      <w:r w:rsidRPr="00996D75">
        <w:rPr>
          <w:lang w:val="en-US"/>
        </w:rPr>
        <w:t xml:space="preserve">This aligns with the organisation’s need for a cost-effective, scalable solution without immediate capital investment, leveraging AWS EC2’s flexibility to handle expected growth. </w:t>
      </w:r>
    </w:p>
    <w:p w14:paraId="7A411C9A" w14:textId="3AA7CF88" w:rsidR="00996D75" w:rsidRPr="00996D75" w:rsidRDefault="00996D75" w:rsidP="00996D75">
      <w:pPr>
        <w:pStyle w:val="ListParagraph"/>
        <w:numPr>
          <w:ilvl w:val="0"/>
          <w:numId w:val="9"/>
        </w:numPr>
        <w:rPr>
          <w:lang w:val="en-US"/>
        </w:rPr>
      </w:pPr>
      <w:r w:rsidRPr="00996D75">
        <w:rPr>
          <w:lang w:val="en-US"/>
        </w:rPr>
        <w:t>The microservices architecture can run efficiently on a single VM initially, with the ability to add instances as demand increases, ensuring 99.9% uptime via AWS’s robust infrastructure.</w:t>
      </w:r>
    </w:p>
    <w:p w14:paraId="55C0F098" w14:textId="77777777" w:rsidR="00CF3263" w:rsidRDefault="00996D75" w:rsidP="00996D75">
      <w:pPr>
        <w:rPr>
          <w:lang w:val="en-US"/>
        </w:rPr>
      </w:pPr>
      <w:r w:rsidRPr="00996D75">
        <w:rPr>
          <w:lang w:val="en-US"/>
        </w:rPr>
        <w:t xml:space="preserve">The in-house option is less favorable due to its high staffing cost ($80,000/year) and limited scalability without further hardware purchases, which could disrupt service during upgrades (Dell Technologies, 2025). </w:t>
      </w:r>
    </w:p>
    <w:p w14:paraId="18C7D4AC" w14:textId="77777777" w:rsidR="00CF3263" w:rsidRDefault="00996D75" w:rsidP="00996D75">
      <w:pPr>
        <w:rPr>
          <w:lang w:val="en-US"/>
        </w:rPr>
      </w:pPr>
      <w:r w:rsidRPr="00996D75">
        <w:rPr>
          <w:lang w:val="en-US"/>
        </w:rPr>
        <w:t xml:space="preserve">Kubernetes, while ideal for microservices and future expansion, is overkill for the initial phase, with its higher cost ($3,312/year) and complexity not yet warranted (Amazon Web Services, 2025). </w:t>
      </w:r>
    </w:p>
    <w:p w14:paraId="2EF34971" w14:textId="65DADFC7" w:rsidR="00996D75" w:rsidRPr="00996D75" w:rsidRDefault="00996D75" w:rsidP="00996D75">
      <w:pPr>
        <w:rPr>
          <w:lang w:val="en-US"/>
        </w:rPr>
      </w:pPr>
      <w:r w:rsidRPr="00996D75">
        <w:rPr>
          <w:lang w:val="en-US"/>
        </w:rPr>
        <w:t>The VM approach balances cost, simplicity, and scalability, making it the best choice for launching the service while preserving resources for future growth.</w:t>
      </w:r>
    </w:p>
    <w:p w14:paraId="0A845E9A" w14:textId="1B2AA1A3" w:rsidR="00C90A20" w:rsidRDefault="00C90A20" w:rsidP="003C0B0A"/>
    <w:p w14:paraId="7977BE70" w14:textId="77777777" w:rsidR="00CF3263" w:rsidRPr="00CF3263" w:rsidRDefault="00CF3263" w:rsidP="00CF3263">
      <w:pPr>
        <w:rPr>
          <w:b/>
          <w:bCs/>
          <w:u w:val="single"/>
          <w:lang w:val="en-US"/>
        </w:rPr>
      </w:pPr>
      <w:r w:rsidRPr="00CF3263">
        <w:rPr>
          <w:b/>
          <w:bCs/>
          <w:u w:val="single"/>
          <w:lang w:val="en-US"/>
        </w:rPr>
        <w:t>References</w:t>
      </w:r>
    </w:p>
    <w:p w14:paraId="01D1B737" w14:textId="77777777" w:rsidR="00CF3263" w:rsidRPr="00CF3263" w:rsidRDefault="00CF3263" w:rsidP="00CF3263">
      <w:pPr>
        <w:rPr>
          <w:lang w:val="en-US"/>
        </w:rPr>
      </w:pPr>
      <w:r w:rsidRPr="00CF3263">
        <w:rPr>
          <w:lang w:val="en-US"/>
        </w:rPr>
        <w:t xml:space="preserve">Amazon Web Services. (2025). </w:t>
      </w:r>
      <w:r w:rsidRPr="00CF3263">
        <w:rPr>
          <w:i/>
          <w:iCs/>
          <w:lang w:val="en-US"/>
        </w:rPr>
        <w:t>AWS pricing calculator</w:t>
      </w:r>
      <w:r w:rsidRPr="00CF3263">
        <w:rPr>
          <w:lang w:val="en-US"/>
        </w:rPr>
        <w:t xml:space="preserve">. </w:t>
      </w:r>
      <w:hyperlink r:id="rId5" w:tgtFrame="_blank" w:history="1">
        <w:r w:rsidRPr="00CF3263">
          <w:rPr>
            <w:rStyle w:val="Hyperlink"/>
            <w:lang w:val="en-US"/>
          </w:rPr>
          <w:t>https://calculator.aws/</w:t>
        </w:r>
      </w:hyperlink>
      <w:r w:rsidRPr="00CF3263">
        <w:rPr>
          <w:lang w:val="en-US"/>
        </w:rPr>
        <w:br/>
        <w:t xml:space="preserve">Dell Technologies. (2025). </w:t>
      </w:r>
      <w:r w:rsidRPr="00CF3263">
        <w:rPr>
          <w:i/>
          <w:iCs/>
          <w:lang w:val="en-US"/>
        </w:rPr>
        <w:t>Dell PowerEdge R250 pricing</w:t>
      </w:r>
      <w:r w:rsidRPr="00CF3263">
        <w:rPr>
          <w:lang w:val="en-US"/>
        </w:rPr>
        <w:t xml:space="preserve">. </w:t>
      </w:r>
      <w:hyperlink r:id="rId6" w:tgtFrame="_blank" w:history="1">
        <w:r w:rsidRPr="00CF3263">
          <w:rPr>
            <w:rStyle w:val="Hyperlink"/>
            <w:lang w:val="en-US"/>
          </w:rPr>
          <w:t>https://www.dell.com/en-au/shop/servers/</w:t>
        </w:r>
      </w:hyperlink>
    </w:p>
    <w:p w14:paraId="49E4CFF3" w14:textId="77777777" w:rsidR="00CF3263" w:rsidRPr="008119F4" w:rsidRDefault="00CF3263" w:rsidP="003C0B0A"/>
    <w:sectPr w:rsidR="00CF3263" w:rsidRPr="008119F4" w:rsidSect="007E4A5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40908"/>
    <w:multiLevelType w:val="hybridMultilevel"/>
    <w:tmpl w:val="690A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C1412"/>
    <w:multiLevelType w:val="hybridMultilevel"/>
    <w:tmpl w:val="7876DC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0F807E7"/>
    <w:multiLevelType w:val="hybridMultilevel"/>
    <w:tmpl w:val="97A8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D22EF"/>
    <w:multiLevelType w:val="hybridMultilevel"/>
    <w:tmpl w:val="BE5E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56122"/>
    <w:multiLevelType w:val="hybridMultilevel"/>
    <w:tmpl w:val="62F4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8A07CA"/>
    <w:multiLevelType w:val="hybridMultilevel"/>
    <w:tmpl w:val="89AAE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55CB0"/>
    <w:multiLevelType w:val="hybridMultilevel"/>
    <w:tmpl w:val="79D6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AA6631"/>
    <w:multiLevelType w:val="hybridMultilevel"/>
    <w:tmpl w:val="5380B4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79202302"/>
    <w:multiLevelType w:val="hybridMultilevel"/>
    <w:tmpl w:val="80B05F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140999580">
    <w:abstractNumId w:val="3"/>
  </w:num>
  <w:num w:numId="2" w16cid:durableId="1377926832">
    <w:abstractNumId w:val="8"/>
  </w:num>
  <w:num w:numId="3" w16cid:durableId="920874849">
    <w:abstractNumId w:val="1"/>
  </w:num>
  <w:num w:numId="4" w16cid:durableId="1767454652">
    <w:abstractNumId w:val="7"/>
  </w:num>
  <w:num w:numId="5" w16cid:durableId="2127579206">
    <w:abstractNumId w:val="5"/>
  </w:num>
  <w:num w:numId="6" w16cid:durableId="1841198080">
    <w:abstractNumId w:val="6"/>
  </w:num>
  <w:num w:numId="7" w16cid:durableId="183789261">
    <w:abstractNumId w:val="0"/>
  </w:num>
  <w:num w:numId="8" w16cid:durableId="1040662803">
    <w:abstractNumId w:val="4"/>
  </w:num>
  <w:num w:numId="9" w16cid:durableId="24453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5DE"/>
    <w:rsid w:val="000765DE"/>
    <w:rsid w:val="003C0B0A"/>
    <w:rsid w:val="00511715"/>
    <w:rsid w:val="007D49BC"/>
    <w:rsid w:val="007E4A5E"/>
    <w:rsid w:val="008119F4"/>
    <w:rsid w:val="008523FE"/>
    <w:rsid w:val="0093246C"/>
    <w:rsid w:val="00957E38"/>
    <w:rsid w:val="00996D75"/>
    <w:rsid w:val="00A70392"/>
    <w:rsid w:val="00AC0ED5"/>
    <w:rsid w:val="00C7593D"/>
    <w:rsid w:val="00C90A20"/>
    <w:rsid w:val="00CF3263"/>
    <w:rsid w:val="00DD2DAB"/>
    <w:rsid w:val="00EF4A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D032"/>
  <w15:chartTrackingRefBased/>
  <w15:docId w15:val="{AC41B294-578F-4044-A0C8-859EBB16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F4"/>
  </w:style>
  <w:style w:type="paragraph" w:styleId="Heading1">
    <w:name w:val="heading 1"/>
    <w:basedOn w:val="Normal"/>
    <w:next w:val="Normal"/>
    <w:link w:val="Heading1Char"/>
    <w:uiPriority w:val="9"/>
    <w:qFormat/>
    <w:rsid w:val="00076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CF32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5D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765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65DE"/>
    <w:rPr>
      <w:rFonts w:eastAsiaTheme="minorEastAsia"/>
      <w:color w:val="5A5A5A" w:themeColor="text1" w:themeTint="A5"/>
      <w:spacing w:val="15"/>
    </w:rPr>
  </w:style>
  <w:style w:type="paragraph" w:styleId="Title">
    <w:name w:val="Title"/>
    <w:basedOn w:val="Normal"/>
    <w:next w:val="Normal"/>
    <w:link w:val="TitleChar"/>
    <w:uiPriority w:val="10"/>
    <w:qFormat/>
    <w:rsid w:val="00076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5D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76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D75"/>
    <w:pPr>
      <w:ind w:left="720"/>
      <w:contextualSpacing/>
    </w:pPr>
  </w:style>
  <w:style w:type="character" w:customStyle="1" w:styleId="Heading4Char">
    <w:name w:val="Heading 4 Char"/>
    <w:basedOn w:val="DefaultParagraphFont"/>
    <w:link w:val="Heading4"/>
    <w:uiPriority w:val="9"/>
    <w:semiHidden/>
    <w:rsid w:val="00CF326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3263"/>
    <w:rPr>
      <w:color w:val="0563C1" w:themeColor="hyperlink"/>
      <w:u w:val="single"/>
    </w:rPr>
  </w:style>
  <w:style w:type="character" w:styleId="UnresolvedMention">
    <w:name w:val="Unresolved Mention"/>
    <w:basedOn w:val="DefaultParagraphFont"/>
    <w:uiPriority w:val="99"/>
    <w:semiHidden/>
    <w:unhideWhenUsed/>
    <w:rsid w:val="00CF3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0480">
      <w:bodyDiv w:val="1"/>
      <w:marLeft w:val="0"/>
      <w:marRight w:val="0"/>
      <w:marTop w:val="0"/>
      <w:marBottom w:val="0"/>
      <w:divBdr>
        <w:top w:val="none" w:sz="0" w:space="0" w:color="auto"/>
        <w:left w:val="none" w:sz="0" w:space="0" w:color="auto"/>
        <w:bottom w:val="none" w:sz="0" w:space="0" w:color="auto"/>
        <w:right w:val="none" w:sz="0" w:space="0" w:color="auto"/>
      </w:divBdr>
      <w:divsChild>
        <w:div w:id="561450742">
          <w:marLeft w:val="0"/>
          <w:marRight w:val="0"/>
          <w:marTop w:val="0"/>
          <w:marBottom w:val="0"/>
          <w:divBdr>
            <w:top w:val="none" w:sz="0" w:space="0" w:color="auto"/>
            <w:left w:val="none" w:sz="0" w:space="0" w:color="auto"/>
            <w:bottom w:val="none" w:sz="0" w:space="0" w:color="auto"/>
            <w:right w:val="none" w:sz="0" w:space="0" w:color="auto"/>
          </w:divBdr>
        </w:div>
      </w:divsChild>
    </w:div>
    <w:div w:id="179245186">
      <w:bodyDiv w:val="1"/>
      <w:marLeft w:val="0"/>
      <w:marRight w:val="0"/>
      <w:marTop w:val="0"/>
      <w:marBottom w:val="0"/>
      <w:divBdr>
        <w:top w:val="none" w:sz="0" w:space="0" w:color="auto"/>
        <w:left w:val="none" w:sz="0" w:space="0" w:color="auto"/>
        <w:bottom w:val="none" w:sz="0" w:space="0" w:color="auto"/>
        <w:right w:val="none" w:sz="0" w:space="0" w:color="auto"/>
      </w:divBdr>
      <w:divsChild>
        <w:div w:id="1288732581">
          <w:marLeft w:val="0"/>
          <w:marRight w:val="0"/>
          <w:marTop w:val="0"/>
          <w:marBottom w:val="0"/>
          <w:divBdr>
            <w:top w:val="none" w:sz="0" w:space="0" w:color="auto"/>
            <w:left w:val="none" w:sz="0" w:space="0" w:color="auto"/>
            <w:bottom w:val="none" w:sz="0" w:space="0" w:color="auto"/>
            <w:right w:val="none" w:sz="0" w:space="0" w:color="auto"/>
          </w:divBdr>
        </w:div>
      </w:divsChild>
    </w:div>
    <w:div w:id="396781572">
      <w:bodyDiv w:val="1"/>
      <w:marLeft w:val="0"/>
      <w:marRight w:val="0"/>
      <w:marTop w:val="0"/>
      <w:marBottom w:val="0"/>
      <w:divBdr>
        <w:top w:val="none" w:sz="0" w:space="0" w:color="auto"/>
        <w:left w:val="none" w:sz="0" w:space="0" w:color="auto"/>
        <w:bottom w:val="none" w:sz="0" w:space="0" w:color="auto"/>
        <w:right w:val="none" w:sz="0" w:space="0" w:color="auto"/>
      </w:divBdr>
      <w:divsChild>
        <w:div w:id="875430015">
          <w:marLeft w:val="0"/>
          <w:marRight w:val="0"/>
          <w:marTop w:val="0"/>
          <w:marBottom w:val="0"/>
          <w:divBdr>
            <w:top w:val="none" w:sz="0" w:space="0" w:color="auto"/>
            <w:left w:val="none" w:sz="0" w:space="0" w:color="auto"/>
            <w:bottom w:val="none" w:sz="0" w:space="0" w:color="auto"/>
            <w:right w:val="none" w:sz="0" w:space="0" w:color="auto"/>
          </w:divBdr>
        </w:div>
      </w:divsChild>
    </w:div>
    <w:div w:id="471674766">
      <w:bodyDiv w:val="1"/>
      <w:marLeft w:val="0"/>
      <w:marRight w:val="0"/>
      <w:marTop w:val="0"/>
      <w:marBottom w:val="0"/>
      <w:divBdr>
        <w:top w:val="none" w:sz="0" w:space="0" w:color="auto"/>
        <w:left w:val="none" w:sz="0" w:space="0" w:color="auto"/>
        <w:bottom w:val="none" w:sz="0" w:space="0" w:color="auto"/>
        <w:right w:val="none" w:sz="0" w:space="0" w:color="auto"/>
      </w:divBdr>
      <w:divsChild>
        <w:div w:id="1088847298">
          <w:marLeft w:val="0"/>
          <w:marRight w:val="0"/>
          <w:marTop w:val="0"/>
          <w:marBottom w:val="0"/>
          <w:divBdr>
            <w:top w:val="none" w:sz="0" w:space="0" w:color="auto"/>
            <w:left w:val="none" w:sz="0" w:space="0" w:color="auto"/>
            <w:bottom w:val="none" w:sz="0" w:space="0" w:color="auto"/>
            <w:right w:val="none" w:sz="0" w:space="0" w:color="auto"/>
          </w:divBdr>
        </w:div>
      </w:divsChild>
    </w:div>
    <w:div w:id="529224470">
      <w:bodyDiv w:val="1"/>
      <w:marLeft w:val="0"/>
      <w:marRight w:val="0"/>
      <w:marTop w:val="0"/>
      <w:marBottom w:val="0"/>
      <w:divBdr>
        <w:top w:val="none" w:sz="0" w:space="0" w:color="auto"/>
        <w:left w:val="none" w:sz="0" w:space="0" w:color="auto"/>
        <w:bottom w:val="none" w:sz="0" w:space="0" w:color="auto"/>
        <w:right w:val="none" w:sz="0" w:space="0" w:color="auto"/>
      </w:divBdr>
      <w:divsChild>
        <w:div w:id="2097511253">
          <w:marLeft w:val="0"/>
          <w:marRight w:val="0"/>
          <w:marTop w:val="0"/>
          <w:marBottom w:val="0"/>
          <w:divBdr>
            <w:top w:val="none" w:sz="0" w:space="0" w:color="auto"/>
            <w:left w:val="none" w:sz="0" w:space="0" w:color="auto"/>
            <w:bottom w:val="none" w:sz="0" w:space="0" w:color="auto"/>
            <w:right w:val="none" w:sz="0" w:space="0" w:color="auto"/>
          </w:divBdr>
        </w:div>
      </w:divsChild>
    </w:div>
    <w:div w:id="573130869">
      <w:bodyDiv w:val="1"/>
      <w:marLeft w:val="0"/>
      <w:marRight w:val="0"/>
      <w:marTop w:val="0"/>
      <w:marBottom w:val="0"/>
      <w:divBdr>
        <w:top w:val="none" w:sz="0" w:space="0" w:color="auto"/>
        <w:left w:val="none" w:sz="0" w:space="0" w:color="auto"/>
        <w:bottom w:val="none" w:sz="0" w:space="0" w:color="auto"/>
        <w:right w:val="none" w:sz="0" w:space="0" w:color="auto"/>
      </w:divBdr>
      <w:divsChild>
        <w:div w:id="2130125861">
          <w:marLeft w:val="0"/>
          <w:marRight w:val="0"/>
          <w:marTop w:val="0"/>
          <w:marBottom w:val="0"/>
          <w:divBdr>
            <w:top w:val="none" w:sz="0" w:space="0" w:color="auto"/>
            <w:left w:val="none" w:sz="0" w:space="0" w:color="auto"/>
            <w:bottom w:val="none" w:sz="0" w:space="0" w:color="auto"/>
            <w:right w:val="none" w:sz="0" w:space="0" w:color="auto"/>
          </w:divBdr>
        </w:div>
      </w:divsChild>
    </w:div>
    <w:div w:id="628898735">
      <w:bodyDiv w:val="1"/>
      <w:marLeft w:val="0"/>
      <w:marRight w:val="0"/>
      <w:marTop w:val="0"/>
      <w:marBottom w:val="0"/>
      <w:divBdr>
        <w:top w:val="none" w:sz="0" w:space="0" w:color="auto"/>
        <w:left w:val="none" w:sz="0" w:space="0" w:color="auto"/>
        <w:bottom w:val="none" w:sz="0" w:space="0" w:color="auto"/>
        <w:right w:val="none" w:sz="0" w:space="0" w:color="auto"/>
      </w:divBdr>
      <w:divsChild>
        <w:div w:id="526986074">
          <w:marLeft w:val="0"/>
          <w:marRight w:val="0"/>
          <w:marTop w:val="0"/>
          <w:marBottom w:val="0"/>
          <w:divBdr>
            <w:top w:val="none" w:sz="0" w:space="0" w:color="auto"/>
            <w:left w:val="none" w:sz="0" w:space="0" w:color="auto"/>
            <w:bottom w:val="none" w:sz="0" w:space="0" w:color="auto"/>
            <w:right w:val="none" w:sz="0" w:space="0" w:color="auto"/>
          </w:divBdr>
        </w:div>
      </w:divsChild>
    </w:div>
    <w:div w:id="697969314">
      <w:bodyDiv w:val="1"/>
      <w:marLeft w:val="0"/>
      <w:marRight w:val="0"/>
      <w:marTop w:val="0"/>
      <w:marBottom w:val="0"/>
      <w:divBdr>
        <w:top w:val="none" w:sz="0" w:space="0" w:color="auto"/>
        <w:left w:val="none" w:sz="0" w:space="0" w:color="auto"/>
        <w:bottom w:val="none" w:sz="0" w:space="0" w:color="auto"/>
        <w:right w:val="none" w:sz="0" w:space="0" w:color="auto"/>
      </w:divBdr>
      <w:divsChild>
        <w:div w:id="1529560800">
          <w:marLeft w:val="0"/>
          <w:marRight w:val="0"/>
          <w:marTop w:val="0"/>
          <w:marBottom w:val="0"/>
          <w:divBdr>
            <w:top w:val="none" w:sz="0" w:space="0" w:color="auto"/>
            <w:left w:val="none" w:sz="0" w:space="0" w:color="auto"/>
            <w:bottom w:val="none" w:sz="0" w:space="0" w:color="auto"/>
            <w:right w:val="none" w:sz="0" w:space="0" w:color="auto"/>
          </w:divBdr>
        </w:div>
      </w:divsChild>
    </w:div>
    <w:div w:id="762451861">
      <w:bodyDiv w:val="1"/>
      <w:marLeft w:val="0"/>
      <w:marRight w:val="0"/>
      <w:marTop w:val="0"/>
      <w:marBottom w:val="0"/>
      <w:divBdr>
        <w:top w:val="none" w:sz="0" w:space="0" w:color="auto"/>
        <w:left w:val="none" w:sz="0" w:space="0" w:color="auto"/>
        <w:bottom w:val="none" w:sz="0" w:space="0" w:color="auto"/>
        <w:right w:val="none" w:sz="0" w:space="0" w:color="auto"/>
      </w:divBdr>
      <w:divsChild>
        <w:div w:id="1860778930">
          <w:marLeft w:val="0"/>
          <w:marRight w:val="0"/>
          <w:marTop w:val="0"/>
          <w:marBottom w:val="0"/>
          <w:divBdr>
            <w:top w:val="none" w:sz="0" w:space="0" w:color="auto"/>
            <w:left w:val="none" w:sz="0" w:space="0" w:color="auto"/>
            <w:bottom w:val="none" w:sz="0" w:space="0" w:color="auto"/>
            <w:right w:val="none" w:sz="0" w:space="0" w:color="auto"/>
          </w:divBdr>
        </w:div>
      </w:divsChild>
    </w:div>
    <w:div w:id="763693496">
      <w:bodyDiv w:val="1"/>
      <w:marLeft w:val="0"/>
      <w:marRight w:val="0"/>
      <w:marTop w:val="0"/>
      <w:marBottom w:val="0"/>
      <w:divBdr>
        <w:top w:val="none" w:sz="0" w:space="0" w:color="auto"/>
        <w:left w:val="none" w:sz="0" w:space="0" w:color="auto"/>
        <w:bottom w:val="none" w:sz="0" w:space="0" w:color="auto"/>
        <w:right w:val="none" w:sz="0" w:space="0" w:color="auto"/>
      </w:divBdr>
      <w:divsChild>
        <w:div w:id="1274244188">
          <w:marLeft w:val="0"/>
          <w:marRight w:val="0"/>
          <w:marTop w:val="0"/>
          <w:marBottom w:val="0"/>
          <w:divBdr>
            <w:top w:val="none" w:sz="0" w:space="0" w:color="auto"/>
            <w:left w:val="none" w:sz="0" w:space="0" w:color="auto"/>
            <w:bottom w:val="none" w:sz="0" w:space="0" w:color="auto"/>
            <w:right w:val="none" w:sz="0" w:space="0" w:color="auto"/>
          </w:divBdr>
        </w:div>
      </w:divsChild>
    </w:div>
    <w:div w:id="786854576">
      <w:bodyDiv w:val="1"/>
      <w:marLeft w:val="0"/>
      <w:marRight w:val="0"/>
      <w:marTop w:val="0"/>
      <w:marBottom w:val="0"/>
      <w:divBdr>
        <w:top w:val="none" w:sz="0" w:space="0" w:color="auto"/>
        <w:left w:val="none" w:sz="0" w:space="0" w:color="auto"/>
        <w:bottom w:val="none" w:sz="0" w:space="0" w:color="auto"/>
        <w:right w:val="none" w:sz="0" w:space="0" w:color="auto"/>
      </w:divBdr>
      <w:divsChild>
        <w:div w:id="1840656182">
          <w:marLeft w:val="0"/>
          <w:marRight w:val="0"/>
          <w:marTop w:val="0"/>
          <w:marBottom w:val="0"/>
          <w:divBdr>
            <w:top w:val="none" w:sz="0" w:space="0" w:color="auto"/>
            <w:left w:val="none" w:sz="0" w:space="0" w:color="auto"/>
            <w:bottom w:val="none" w:sz="0" w:space="0" w:color="auto"/>
            <w:right w:val="none" w:sz="0" w:space="0" w:color="auto"/>
          </w:divBdr>
        </w:div>
      </w:divsChild>
    </w:div>
    <w:div w:id="802650235">
      <w:bodyDiv w:val="1"/>
      <w:marLeft w:val="0"/>
      <w:marRight w:val="0"/>
      <w:marTop w:val="0"/>
      <w:marBottom w:val="0"/>
      <w:divBdr>
        <w:top w:val="none" w:sz="0" w:space="0" w:color="auto"/>
        <w:left w:val="none" w:sz="0" w:space="0" w:color="auto"/>
        <w:bottom w:val="none" w:sz="0" w:space="0" w:color="auto"/>
        <w:right w:val="none" w:sz="0" w:space="0" w:color="auto"/>
      </w:divBdr>
      <w:divsChild>
        <w:div w:id="675569765">
          <w:marLeft w:val="0"/>
          <w:marRight w:val="0"/>
          <w:marTop w:val="0"/>
          <w:marBottom w:val="0"/>
          <w:divBdr>
            <w:top w:val="none" w:sz="0" w:space="0" w:color="auto"/>
            <w:left w:val="none" w:sz="0" w:space="0" w:color="auto"/>
            <w:bottom w:val="none" w:sz="0" w:space="0" w:color="auto"/>
            <w:right w:val="none" w:sz="0" w:space="0" w:color="auto"/>
          </w:divBdr>
        </w:div>
      </w:divsChild>
    </w:div>
    <w:div w:id="932280707">
      <w:bodyDiv w:val="1"/>
      <w:marLeft w:val="0"/>
      <w:marRight w:val="0"/>
      <w:marTop w:val="0"/>
      <w:marBottom w:val="0"/>
      <w:divBdr>
        <w:top w:val="none" w:sz="0" w:space="0" w:color="auto"/>
        <w:left w:val="none" w:sz="0" w:space="0" w:color="auto"/>
        <w:bottom w:val="none" w:sz="0" w:space="0" w:color="auto"/>
        <w:right w:val="none" w:sz="0" w:space="0" w:color="auto"/>
      </w:divBdr>
      <w:divsChild>
        <w:div w:id="173887895">
          <w:marLeft w:val="0"/>
          <w:marRight w:val="0"/>
          <w:marTop w:val="0"/>
          <w:marBottom w:val="0"/>
          <w:divBdr>
            <w:top w:val="none" w:sz="0" w:space="0" w:color="auto"/>
            <w:left w:val="none" w:sz="0" w:space="0" w:color="auto"/>
            <w:bottom w:val="none" w:sz="0" w:space="0" w:color="auto"/>
            <w:right w:val="none" w:sz="0" w:space="0" w:color="auto"/>
          </w:divBdr>
        </w:div>
      </w:divsChild>
    </w:div>
    <w:div w:id="1253592206">
      <w:bodyDiv w:val="1"/>
      <w:marLeft w:val="0"/>
      <w:marRight w:val="0"/>
      <w:marTop w:val="0"/>
      <w:marBottom w:val="0"/>
      <w:divBdr>
        <w:top w:val="none" w:sz="0" w:space="0" w:color="auto"/>
        <w:left w:val="none" w:sz="0" w:space="0" w:color="auto"/>
        <w:bottom w:val="none" w:sz="0" w:space="0" w:color="auto"/>
        <w:right w:val="none" w:sz="0" w:space="0" w:color="auto"/>
      </w:divBdr>
      <w:divsChild>
        <w:div w:id="1477917665">
          <w:marLeft w:val="0"/>
          <w:marRight w:val="0"/>
          <w:marTop w:val="0"/>
          <w:marBottom w:val="0"/>
          <w:divBdr>
            <w:top w:val="none" w:sz="0" w:space="0" w:color="auto"/>
            <w:left w:val="none" w:sz="0" w:space="0" w:color="auto"/>
            <w:bottom w:val="none" w:sz="0" w:space="0" w:color="auto"/>
            <w:right w:val="none" w:sz="0" w:space="0" w:color="auto"/>
          </w:divBdr>
        </w:div>
      </w:divsChild>
    </w:div>
    <w:div w:id="1407873151">
      <w:bodyDiv w:val="1"/>
      <w:marLeft w:val="0"/>
      <w:marRight w:val="0"/>
      <w:marTop w:val="0"/>
      <w:marBottom w:val="0"/>
      <w:divBdr>
        <w:top w:val="none" w:sz="0" w:space="0" w:color="auto"/>
        <w:left w:val="none" w:sz="0" w:space="0" w:color="auto"/>
        <w:bottom w:val="none" w:sz="0" w:space="0" w:color="auto"/>
        <w:right w:val="none" w:sz="0" w:space="0" w:color="auto"/>
      </w:divBdr>
      <w:divsChild>
        <w:div w:id="1956473185">
          <w:marLeft w:val="0"/>
          <w:marRight w:val="0"/>
          <w:marTop w:val="0"/>
          <w:marBottom w:val="0"/>
          <w:divBdr>
            <w:top w:val="none" w:sz="0" w:space="0" w:color="auto"/>
            <w:left w:val="none" w:sz="0" w:space="0" w:color="auto"/>
            <w:bottom w:val="none" w:sz="0" w:space="0" w:color="auto"/>
            <w:right w:val="none" w:sz="0" w:space="0" w:color="auto"/>
          </w:divBdr>
        </w:div>
      </w:divsChild>
    </w:div>
    <w:div w:id="1465733598">
      <w:bodyDiv w:val="1"/>
      <w:marLeft w:val="0"/>
      <w:marRight w:val="0"/>
      <w:marTop w:val="0"/>
      <w:marBottom w:val="0"/>
      <w:divBdr>
        <w:top w:val="none" w:sz="0" w:space="0" w:color="auto"/>
        <w:left w:val="none" w:sz="0" w:space="0" w:color="auto"/>
        <w:bottom w:val="none" w:sz="0" w:space="0" w:color="auto"/>
        <w:right w:val="none" w:sz="0" w:space="0" w:color="auto"/>
      </w:divBdr>
      <w:divsChild>
        <w:div w:id="1279217869">
          <w:marLeft w:val="0"/>
          <w:marRight w:val="0"/>
          <w:marTop w:val="0"/>
          <w:marBottom w:val="0"/>
          <w:divBdr>
            <w:top w:val="none" w:sz="0" w:space="0" w:color="auto"/>
            <w:left w:val="none" w:sz="0" w:space="0" w:color="auto"/>
            <w:bottom w:val="none" w:sz="0" w:space="0" w:color="auto"/>
            <w:right w:val="none" w:sz="0" w:space="0" w:color="auto"/>
          </w:divBdr>
        </w:div>
      </w:divsChild>
    </w:div>
    <w:div w:id="1489177483">
      <w:bodyDiv w:val="1"/>
      <w:marLeft w:val="0"/>
      <w:marRight w:val="0"/>
      <w:marTop w:val="0"/>
      <w:marBottom w:val="0"/>
      <w:divBdr>
        <w:top w:val="none" w:sz="0" w:space="0" w:color="auto"/>
        <w:left w:val="none" w:sz="0" w:space="0" w:color="auto"/>
        <w:bottom w:val="none" w:sz="0" w:space="0" w:color="auto"/>
        <w:right w:val="none" w:sz="0" w:space="0" w:color="auto"/>
      </w:divBdr>
      <w:divsChild>
        <w:div w:id="429664241">
          <w:marLeft w:val="0"/>
          <w:marRight w:val="0"/>
          <w:marTop w:val="0"/>
          <w:marBottom w:val="0"/>
          <w:divBdr>
            <w:top w:val="none" w:sz="0" w:space="0" w:color="auto"/>
            <w:left w:val="none" w:sz="0" w:space="0" w:color="auto"/>
            <w:bottom w:val="none" w:sz="0" w:space="0" w:color="auto"/>
            <w:right w:val="none" w:sz="0" w:space="0" w:color="auto"/>
          </w:divBdr>
        </w:div>
      </w:divsChild>
    </w:div>
    <w:div w:id="1518229199">
      <w:bodyDiv w:val="1"/>
      <w:marLeft w:val="0"/>
      <w:marRight w:val="0"/>
      <w:marTop w:val="0"/>
      <w:marBottom w:val="0"/>
      <w:divBdr>
        <w:top w:val="none" w:sz="0" w:space="0" w:color="auto"/>
        <w:left w:val="none" w:sz="0" w:space="0" w:color="auto"/>
        <w:bottom w:val="none" w:sz="0" w:space="0" w:color="auto"/>
        <w:right w:val="none" w:sz="0" w:space="0" w:color="auto"/>
      </w:divBdr>
      <w:divsChild>
        <w:div w:id="1056703264">
          <w:marLeft w:val="0"/>
          <w:marRight w:val="0"/>
          <w:marTop w:val="0"/>
          <w:marBottom w:val="0"/>
          <w:divBdr>
            <w:top w:val="none" w:sz="0" w:space="0" w:color="auto"/>
            <w:left w:val="none" w:sz="0" w:space="0" w:color="auto"/>
            <w:bottom w:val="none" w:sz="0" w:space="0" w:color="auto"/>
            <w:right w:val="none" w:sz="0" w:space="0" w:color="auto"/>
          </w:divBdr>
        </w:div>
      </w:divsChild>
    </w:div>
    <w:div w:id="1573930668">
      <w:bodyDiv w:val="1"/>
      <w:marLeft w:val="0"/>
      <w:marRight w:val="0"/>
      <w:marTop w:val="0"/>
      <w:marBottom w:val="0"/>
      <w:divBdr>
        <w:top w:val="none" w:sz="0" w:space="0" w:color="auto"/>
        <w:left w:val="none" w:sz="0" w:space="0" w:color="auto"/>
        <w:bottom w:val="none" w:sz="0" w:space="0" w:color="auto"/>
        <w:right w:val="none" w:sz="0" w:space="0" w:color="auto"/>
      </w:divBdr>
      <w:divsChild>
        <w:div w:id="2125884599">
          <w:marLeft w:val="0"/>
          <w:marRight w:val="0"/>
          <w:marTop w:val="0"/>
          <w:marBottom w:val="0"/>
          <w:divBdr>
            <w:top w:val="none" w:sz="0" w:space="0" w:color="auto"/>
            <w:left w:val="none" w:sz="0" w:space="0" w:color="auto"/>
            <w:bottom w:val="none" w:sz="0" w:space="0" w:color="auto"/>
            <w:right w:val="none" w:sz="0" w:space="0" w:color="auto"/>
          </w:divBdr>
        </w:div>
      </w:divsChild>
    </w:div>
    <w:div w:id="1693602369">
      <w:bodyDiv w:val="1"/>
      <w:marLeft w:val="0"/>
      <w:marRight w:val="0"/>
      <w:marTop w:val="0"/>
      <w:marBottom w:val="0"/>
      <w:divBdr>
        <w:top w:val="none" w:sz="0" w:space="0" w:color="auto"/>
        <w:left w:val="none" w:sz="0" w:space="0" w:color="auto"/>
        <w:bottom w:val="none" w:sz="0" w:space="0" w:color="auto"/>
        <w:right w:val="none" w:sz="0" w:space="0" w:color="auto"/>
      </w:divBdr>
      <w:divsChild>
        <w:div w:id="1398550047">
          <w:marLeft w:val="0"/>
          <w:marRight w:val="0"/>
          <w:marTop w:val="0"/>
          <w:marBottom w:val="0"/>
          <w:divBdr>
            <w:top w:val="none" w:sz="0" w:space="0" w:color="auto"/>
            <w:left w:val="none" w:sz="0" w:space="0" w:color="auto"/>
            <w:bottom w:val="none" w:sz="0" w:space="0" w:color="auto"/>
            <w:right w:val="none" w:sz="0" w:space="0" w:color="auto"/>
          </w:divBdr>
        </w:div>
      </w:divsChild>
    </w:div>
    <w:div w:id="1787387734">
      <w:bodyDiv w:val="1"/>
      <w:marLeft w:val="0"/>
      <w:marRight w:val="0"/>
      <w:marTop w:val="0"/>
      <w:marBottom w:val="0"/>
      <w:divBdr>
        <w:top w:val="none" w:sz="0" w:space="0" w:color="auto"/>
        <w:left w:val="none" w:sz="0" w:space="0" w:color="auto"/>
        <w:bottom w:val="none" w:sz="0" w:space="0" w:color="auto"/>
        <w:right w:val="none" w:sz="0" w:space="0" w:color="auto"/>
      </w:divBdr>
      <w:divsChild>
        <w:div w:id="810096778">
          <w:marLeft w:val="0"/>
          <w:marRight w:val="0"/>
          <w:marTop w:val="0"/>
          <w:marBottom w:val="0"/>
          <w:divBdr>
            <w:top w:val="none" w:sz="0" w:space="0" w:color="auto"/>
            <w:left w:val="none" w:sz="0" w:space="0" w:color="auto"/>
            <w:bottom w:val="none" w:sz="0" w:space="0" w:color="auto"/>
            <w:right w:val="none" w:sz="0" w:space="0" w:color="auto"/>
          </w:divBdr>
        </w:div>
      </w:divsChild>
    </w:div>
    <w:div w:id="1814826998">
      <w:bodyDiv w:val="1"/>
      <w:marLeft w:val="0"/>
      <w:marRight w:val="0"/>
      <w:marTop w:val="0"/>
      <w:marBottom w:val="0"/>
      <w:divBdr>
        <w:top w:val="none" w:sz="0" w:space="0" w:color="auto"/>
        <w:left w:val="none" w:sz="0" w:space="0" w:color="auto"/>
        <w:bottom w:val="none" w:sz="0" w:space="0" w:color="auto"/>
        <w:right w:val="none" w:sz="0" w:space="0" w:color="auto"/>
      </w:divBdr>
      <w:divsChild>
        <w:div w:id="1255431434">
          <w:marLeft w:val="0"/>
          <w:marRight w:val="0"/>
          <w:marTop w:val="0"/>
          <w:marBottom w:val="0"/>
          <w:divBdr>
            <w:top w:val="none" w:sz="0" w:space="0" w:color="auto"/>
            <w:left w:val="none" w:sz="0" w:space="0" w:color="auto"/>
            <w:bottom w:val="none" w:sz="0" w:space="0" w:color="auto"/>
            <w:right w:val="none" w:sz="0" w:space="0" w:color="auto"/>
          </w:divBdr>
        </w:div>
      </w:divsChild>
    </w:div>
    <w:div w:id="1825514268">
      <w:bodyDiv w:val="1"/>
      <w:marLeft w:val="0"/>
      <w:marRight w:val="0"/>
      <w:marTop w:val="0"/>
      <w:marBottom w:val="0"/>
      <w:divBdr>
        <w:top w:val="none" w:sz="0" w:space="0" w:color="auto"/>
        <w:left w:val="none" w:sz="0" w:space="0" w:color="auto"/>
        <w:bottom w:val="none" w:sz="0" w:space="0" w:color="auto"/>
        <w:right w:val="none" w:sz="0" w:space="0" w:color="auto"/>
      </w:divBdr>
      <w:divsChild>
        <w:div w:id="1339884724">
          <w:marLeft w:val="0"/>
          <w:marRight w:val="0"/>
          <w:marTop w:val="0"/>
          <w:marBottom w:val="0"/>
          <w:divBdr>
            <w:top w:val="none" w:sz="0" w:space="0" w:color="auto"/>
            <w:left w:val="none" w:sz="0" w:space="0" w:color="auto"/>
            <w:bottom w:val="none" w:sz="0" w:space="0" w:color="auto"/>
            <w:right w:val="none" w:sz="0" w:space="0" w:color="auto"/>
          </w:divBdr>
        </w:div>
      </w:divsChild>
    </w:div>
    <w:div w:id="1896697377">
      <w:bodyDiv w:val="1"/>
      <w:marLeft w:val="0"/>
      <w:marRight w:val="0"/>
      <w:marTop w:val="0"/>
      <w:marBottom w:val="0"/>
      <w:divBdr>
        <w:top w:val="none" w:sz="0" w:space="0" w:color="auto"/>
        <w:left w:val="none" w:sz="0" w:space="0" w:color="auto"/>
        <w:bottom w:val="none" w:sz="0" w:space="0" w:color="auto"/>
        <w:right w:val="none" w:sz="0" w:space="0" w:color="auto"/>
      </w:divBdr>
      <w:divsChild>
        <w:div w:id="327289579">
          <w:marLeft w:val="0"/>
          <w:marRight w:val="0"/>
          <w:marTop w:val="0"/>
          <w:marBottom w:val="0"/>
          <w:divBdr>
            <w:top w:val="none" w:sz="0" w:space="0" w:color="auto"/>
            <w:left w:val="none" w:sz="0" w:space="0" w:color="auto"/>
            <w:bottom w:val="none" w:sz="0" w:space="0" w:color="auto"/>
            <w:right w:val="none" w:sz="0" w:space="0" w:color="auto"/>
          </w:divBdr>
        </w:div>
      </w:divsChild>
    </w:div>
    <w:div w:id="1917545531">
      <w:bodyDiv w:val="1"/>
      <w:marLeft w:val="0"/>
      <w:marRight w:val="0"/>
      <w:marTop w:val="0"/>
      <w:marBottom w:val="0"/>
      <w:divBdr>
        <w:top w:val="none" w:sz="0" w:space="0" w:color="auto"/>
        <w:left w:val="none" w:sz="0" w:space="0" w:color="auto"/>
        <w:bottom w:val="none" w:sz="0" w:space="0" w:color="auto"/>
        <w:right w:val="none" w:sz="0" w:space="0" w:color="auto"/>
      </w:divBdr>
      <w:divsChild>
        <w:div w:id="831674837">
          <w:marLeft w:val="0"/>
          <w:marRight w:val="0"/>
          <w:marTop w:val="0"/>
          <w:marBottom w:val="0"/>
          <w:divBdr>
            <w:top w:val="none" w:sz="0" w:space="0" w:color="auto"/>
            <w:left w:val="none" w:sz="0" w:space="0" w:color="auto"/>
            <w:bottom w:val="none" w:sz="0" w:space="0" w:color="auto"/>
            <w:right w:val="none" w:sz="0" w:space="0" w:color="auto"/>
          </w:divBdr>
        </w:div>
      </w:divsChild>
    </w:div>
    <w:div w:id="2057587344">
      <w:bodyDiv w:val="1"/>
      <w:marLeft w:val="0"/>
      <w:marRight w:val="0"/>
      <w:marTop w:val="0"/>
      <w:marBottom w:val="0"/>
      <w:divBdr>
        <w:top w:val="none" w:sz="0" w:space="0" w:color="auto"/>
        <w:left w:val="none" w:sz="0" w:space="0" w:color="auto"/>
        <w:bottom w:val="none" w:sz="0" w:space="0" w:color="auto"/>
        <w:right w:val="none" w:sz="0" w:space="0" w:color="auto"/>
      </w:divBdr>
      <w:divsChild>
        <w:div w:id="1991709557">
          <w:marLeft w:val="0"/>
          <w:marRight w:val="0"/>
          <w:marTop w:val="0"/>
          <w:marBottom w:val="0"/>
          <w:divBdr>
            <w:top w:val="none" w:sz="0" w:space="0" w:color="auto"/>
            <w:left w:val="none" w:sz="0" w:space="0" w:color="auto"/>
            <w:bottom w:val="none" w:sz="0" w:space="0" w:color="auto"/>
            <w:right w:val="none" w:sz="0" w:space="0" w:color="auto"/>
          </w:divBdr>
        </w:div>
      </w:divsChild>
    </w:div>
    <w:div w:id="2058041872">
      <w:bodyDiv w:val="1"/>
      <w:marLeft w:val="0"/>
      <w:marRight w:val="0"/>
      <w:marTop w:val="0"/>
      <w:marBottom w:val="0"/>
      <w:divBdr>
        <w:top w:val="none" w:sz="0" w:space="0" w:color="auto"/>
        <w:left w:val="none" w:sz="0" w:space="0" w:color="auto"/>
        <w:bottom w:val="none" w:sz="0" w:space="0" w:color="auto"/>
        <w:right w:val="none" w:sz="0" w:space="0" w:color="auto"/>
      </w:divBdr>
      <w:divsChild>
        <w:div w:id="1801342668">
          <w:marLeft w:val="0"/>
          <w:marRight w:val="0"/>
          <w:marTop w:val="0"/>
          <w:marBottom w:val="0"/>
          <w:divBdr>
            <w:top w:val="none" w:sz="0" w:space="0" w:color="auto"/>
            <w:left w:val="none" w:sz="0" w:space="0" w:color="auto"/>
            <w:bottom w:val="none" w:sz="0" w:space="0" w:color="auto"/>
            <w:right w:val="none" w:sz="0" w:space="0" w:color="auto"/>
          </w:divBdr>
        </w:div>
      </w:divsChild>
    </w:div>
    <w:div w:id="2064909364">
      <w:bodyDiv w:val="1"/>
      <w:marLeft w:val="0"/>
      <w:marRight w:val="0"/>
      <w:marTop w:val="0"/>
      <w:marBottom w:val="0"/>
      <w:divBdr>
        <w:top w:val="none" w:sz="0" w:space="0" w:color="auto"/>
        <w:left w:val="none" w:sz="0" w:space="0" w:color="auto"/>
        <w:bottom w:val="none" w:sz="0" w:space="0" w:color="auto"/>
        <w:right w:val="none" w:sz="0" w:space="0" w:color="auto"/>
      </w:divBdr>
      <w:divsChild>
        <w:div w:id="609706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ll.com/en-au/shop/servers/" TargetMode="External"/><Relationship Id="rId5" Type="http://schemas.openxmlformats.org/officeDocument/2006/relationships/hyperlink" Target="https://calculator.a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Rough</dc:creator>
  <cp:keywords/>
  <dc:description/>
  <cp:lastModifiedBy>Lac Duong</cp:lastModifiedBy>
  <cp:revision>9</cp:revision>
  <dcterms:created xsi:type="dcterms:W3CDTF">2021-03-07T05:16:00Z</dcterms:created>
  <dcterms:modified xsi:type="dcterms:W3CDTF">2025-04-07T00:43:00Z</dcterms:modified>
</cp:coreProperties>
</file>