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2DC2F6" w14:textId="28F2465F" w:rsidR="00B42596" w:rsidRPr="00B42596" w:rsidRDefault="00B42596" w:rsidP="00B42596">
      <w:pPr>
        <w:rPr>
          <w:b/>
          <w:bCs/>
        </w:rPr>
      </w:pPr>
      <w:r w:rsidRPr="00B42596">
        <w:rPr>
          <w:b/>
          <w:bCs/>
        </w:rPr>
        <w:t>Elasticity in Cloud Computing</w:t>
      </w:r>
    </w:p>
    <w:p w14:paraId="7E97BDF4" w14:textId="77777777" w:rsidR="00B42596" w:rsidRDefault="00B42596" w:rsidP="00B42596">
      <w:r>
        <w:t>Elasticity in cloud computing refers to the ability of a system to dynamically scale resources up or down</w:t>
      </w:r>
      <w:r>
        <w:t xml:space="preserve"> </w:t>
      </w:r>
      <w:r>
        <w:t xml:space="preserve">based on demand, ensuring optimal performance and cost efficiency </w:t>
      </w:r>
      <w:r>
        <w:t>(Armbrust et al., 2010)</w:t>
      </w:r>
      <w:r>
        <w:t xml:space="preserve">. </w:t>
      </w:r>
    </w:p>
    <w:p w14:paraId="57176B2B" w14:textId="592706E3" w:rsidR="00B42596" w:rsidRDefault="00B42596" w:rsidP="00B42596">
      <w:r>
        <w:t>This is achieved through automated</w:t>
      </w:r>
      <w:r>
        <w:t xml:space="preserve"> </w:t>
      </w:r>
      <w:r>
        <w:t>resource allocation, allowing applications to handle varying workloads without manual intervention. For</w:t>
      </w:r>
      <w:r>
        <w:t xml:space="preserve"> </w:t>
      </w:r>
      <w:r>
        <w:t>example, during peak traffic, additional virtual machines or containers can be provisioned, and scaled</w:t>
      </w:r>
      <w:r>
        <w:t xml:space="preserve"> </w:t>
      </w:r>
      <w:r>
        <w:t xml:space="preserve">down during low demand to reduce costs. </w:t>
      </w:r>
    </w:p>
    <w:p w14:paraId="7293F2FA" w14:textId="3B8119AB" w:rsidR="00B42596" w:rsidRDefault="00B42596" w:rsidP="00B42596">
      <w:r>
        <w:t>Elasticity benefits applications by improving availability, as</w:t>
      </w:r>
      <w:r>
        <w:t xml:space="preserve"> </w:t>
      </w:r>
      <w:r>
        <w:t>resources are adjusted to prevent overload, and enhancing fault tolerance, as systems can adapt to failures</w:t>
      </w:r>
      <w:r>
        <w:t xml:space="preserve"> </w:t>
      </w:r>
      <w:r>
        <w:t>by redistributing resources. It also optimizes costs, as organizations pay only for resources used, making</w:t>
      </w:r>
      <w:r>
        <w:t xml:space="preserve"> </w:t>
      </w:r>
      <w:r>
        <w:t xml:space="preserve">it ideal for unpredictable workloads </w:t>
      </w:r>
      <w:r>
        <w:t>(Mell &amp; Grance, 2011)</w:t>
      </w:r>
      <w:r>
        <w:t>.</w:t>
      </w:r>
    </w:p>
    <w:p w14:paraId="7B84A9A6" w14:textId="77777777" w:rsidR="00B42596" w:rsidRDefault="00B42596" w:rsidP="00B42596"/>
    <w:p w14:paraId="30DD6046" w14:textId="2B6D4429" w:rsidR="00B42596" w:rsidRPr="00B42596" w:rsidRDefault="00B42596" w:rsidP="00B42596">
      <w:pPr>
        <w:rPr>
          <w:b/>
          <w:bCs/>
        </w:rPr>
      </w:pPr>
      <w:r w:rsidRPr="00B42596">
        <w:rPr>
          <w:b/>
          <w:bCs/>
        </w:rPr>
        <w:t>Vendor Lock-In and Kubernetes</w:t>
      </w:r>
    </w:p>
    <w:p w14:paraId="510BE5FE" w14:textId="77777777" w:rsidR="00B42596" w:rsidRDefault="00B42596" w:rsidP="00B42596">
      <w:r>
        <w:t>Vendor lock-in occurs when applications are tightly coupled to a specific cloud provider’s proprietary</w:t>
      </w:r>
      <w:r>
        <w:t xml:space="preserve"> </w:t>
      </w:r>
      <w:r>
        <w:t xml:space="preserve">services, making migration to other providers costly and complex </w:t>
      </w:r>
      <w:r>
        <w:t>(Vaquero et al., 2011)</w:t>
      </w:r>
      <w:r>
        <w:t xml:space="preserve">. </w:t>
      </w:r>
    </w:p>
    <w:p w14:paraId="78A1BDA4" w14:textId="16FB22CA" w:rsidR="00B42596" w:rsidRDefault="00B42596" w:rsidP="00B42596">
      <w:r>
        <w:t>This dependency arises from using</w:t>
      </w:r>
      <w:r>
        <w:t xml:space="preserve"> </w:t>
      </w:r>
      <w:r>
        <w:t>provider-specific APIs, databases, or compute services, which are not portable. Kubernetes mitigates this</w:t>
      </w:r>
      <w:r>
        <w:t xml:space="preserve"> </w:t>
      </w:r>
      <w:r>
        <w:t>by providing a standardized, open-source platform for container orchestration that operates consistently</w:t>
      </w:r>
      <w:r>
        <w:t xml:space="preserve"> </w:t>
      </w:r>
      <w:r>
        <w:t xml:space="preserve">across public, private, and hybrid clouds </w:t>
      </w:r>
      <w:r>
        <w:t>(Burns et al., 2016)</w:t>
      </w:r>
      <w:r>
        <w:t xml:space="preserve">. </w:t>
      </w:r>
    </w:p>
    <w:p w14:paraId="3FA68C38" w14:textId="183D002C" w:rsidR="00B42596" w:rsidRDefault="00B42596" w:rsidP="00B42596">
      <w:r>
        <w:t>By abstracting infrastructure details, Kubernetes allows</w:t>
      </w:r>
      <w:r>
        <w:t xml:space="preserve"> </w:t>
      </w:r>
      <w:r>
        <w:t>applications to be deployed using portable container images and configurations, reducing reliance on</w:t>
      </w:r>
      <w:r>
        <w:t xml:space="preserve"> </w:t>
      </w:r>
      <w:r>
        <w:t>vendor-specific services. This portability enables organizations to switch providers or adopt multi-cloud</w:t>
      </w:r>
      <w:r>
        <w:t xml:space="preserve"> </w:t>
      </w:r>
      <w:r>
        <w:t xml:space="preserve">strategies with minimal rework, enhancing flexibility and cost control </w:t>
      </w:r>
      <w:r>
        <w:t>(Hoffmann et al., 2019)</w:t>
      </w:r>
      <w:r>
        <w:t>.</w:t>
      </w:r>
    </w:p>
    <w:p w14:paraId="47DA72B6" w14:textId="77777777" w:rsidR="00B42596" w:rsidRDefault="00B42596" w:rsidP="00B42596"/>
    <w:p w14:paraId="735E0D84" w14:textId="6094CF1D" w:rsidR="00B42596" w:rsidRPr="00B42596" w:rsidRDefault="00B42596" w:rsidP="00B42596">
      <w:pPr>
        <w:rPr>
          <w:b/>
          <w:bCs/>
        </w:rPr>
      </w:pPr>
      <w:r w:rsidRPr="00B42596">
        <w:rPr>
          <w:b/>
          <w:bCs/>
        </w:rPr>
        <w:t>Kubernetes on Private Infrastructure and Hybrid Cloud</w:t>
      </w:r>
    </w:p>
    <w:p w14:paraId="5AF6B49D" w14:textId="77777777" w:rsidR="00B42596" w:rsidRDefault="00B42596" w:rsidP="00B42596">
      <w:r>
        <w:t>Using Kubernetes on private infrastructure allows organizations to leverage existing on-premises resources</w:t>
      </w:r>
      <w:r>
        <w:t xml:space="preserve"> </w:t>
      </w:r>
      <w:r>
        <w:t xml:space="preserve">while achieving cloud-like capabilities such as scalability and automated management </w:t>
      </w:r>
      <w:r>
        <w:t>(Bernstein, 2014)</w:t>
      </w:r>
      <w:r>
        <w:t xml:space="preserve">. </w:t>
      </w:r>
    </w:p>
    <w:p w14:paraId="6CD75D34" w14:textId="390936CB" w:rsidR="00B42596" w:rsidRDefault="00B42596" w:rsidP="00B42596">
      <w:r>
        <w:lastRenderedPageBreak/>
        <w:t>Kubernetes clusters can orchestrate containers on private servers, optimizing resource utilization and enabling consistent</w:t>
      </w:r>
      <w:r>
        <w:t xml:space="preserve"> </w:t>
      </w:r>
      <w:r>
        <w:t>application deployment. This is beneficial for sensitive workloads requiring compliance or low-latency</w:t>
      </w:r>
      <w:r>
        <w:t xml:space="preserve"> </w:t>
      </w:r>
      <w:r>
        <w:t>access. Transitioning to a hybrid cloud is facilitated as Kubernetes provides a unified management layer</w:t>
      </w:r>
      <w:r>
        <w:t xml:space="preserve"> </w:t>
      </w:r>
      <w:r>
        <w:t xml:space="preserve">across private and public clouds </w:t>
      </w:r>
      <w:r>
        <w:t>(Pahl, 2015)</w:t>
      </w:r>
      <w:r>
        <w:t xml:space="preserve">. </w:t>
      </w:r>
    </w:p>
    <w:p w14:paraId="6BBBE15D" w14:textId="0CB0BF6D" w:rsidR="00B42596" w:rsidRDefault="00B42596" w:rsidP="00B42596">
      <w:r>
        <w:t>Organizations can extend private clusters to public clouds using Kubernetes federation or service meshes, ensuring seamless workload portability and resource scaling. This</w:t>
      </w:r>
      <w:r>
        <w:t xml:space="preserve"> </w:t>
      </w:r>
      <w:r>
        <w:t xml:space="preserve">hybrid approach balances cost, control, and scalability, allowing dynamic resource allocation while maintaining data sovereignty </w:t>
      </w:r>
      <w:r>
        <w:t>(Vaquero et al., 2011)</w:t>
      </w:r>
      <w:r>
        <w:t>.</w:t>
      </w:r>
    </w:p>
    <w:p w14:paraId="5130C381" w14:textId="77777777" w:rsidR="00B42596" w:rsidRDefault="00B42596" w:rsidP="00B42596"/>
    <w:p w14:paraId="21C19CBB" w14:textId="01345F18" w:rsidR="00B42596" w:rsidRPr="00283516" w:rsidRDefault="00B42596" w:rsidP="00283516">
      <w:pPr>
        <w:jc w:val="center"/>
        <w:rPr>
          <w:b/>
          <w:bCs/>
        </w:rPr>
      </w:pPr>
      <w:r w:rsidRPr="00283516">
        <w:rPr>
          <w:b/>
          <w:bCs/>
        </w:rPr>
        <w:t>References</w:t>
      </w:r>
    </w:p>
    <w:p w14:paraId="7C8C2A9F" w14:textId="3F39821D" w:rsidR="00B42596" w:rsidRDefault="00B42596" w:rsidP="00B42596">
      <w:r>
        <w:t>Armbrust, M., Fox, A., Griffith, R., Joseph, A. D., Katz, R., Konwinski, A., Lee, G., Patterson, D.,</w:t>
      </w:r>
      <w:r>
        <w:t xml:space="preserve"> </w:t>
      </w:r>
      <w:r>
        <w:t>Rabkin, A., Stoica, I., &amp; Zaharia, M. (2010). A view of cloud computing. Communications of the</w:t>
      </w:r>
      <w:r>
        <w:t xml:space="preserve"> </w:t>
      </w:r>
      <w:r>
        <w:t xml:space="preserve">ACM, 53(4), 50–58. </w:t>
      </w:r>
      <w:hyperlink r:id="rId5" w:history="1">
        <w:r w:rsidRPr="00DC2147">
          <w:rPr>
            <w:rStyle w:val="Hyperlink"/>
          </w:rPr>
          <w:t>https://doi.org/10.1145/1721654.1721672</w:t>
        </w:r>
      </w:hyperlink>
    </w:p>
    <w:p w14:paraId="667AEF75" w14:textId="0E0F6291" w:rsidR="00B42596" w:rsidRDefault="00B42596" w:rsidP="00B42596">
      <w:r>
        <w:t xml:space="preserve">Bernstein, D. (2014). Containers and cloud: From LXC to Docker to Kubernetes. IEEE Cloud Computing, 1(3), 81–84. </w:t>
      </w:r>
      <w:hyperlink r:id="rId6" w:history="1">
        <w:r w:rsidRPr="00DC2147">
          <w:rPr>
            <w:rStyle w:val="Hyperlink"/>
          </w:rPr>
          <w:t>https://doi.org/10.1109/MCC.2014.51</w:t>
        </w:r>
      </w:hyperlink>
    </w:p>
    <w:p w14:paraId="046265B4" w14:textId="7BABE8F7" w:rsidR="00B42596" w:rsidRDefault="00B42596" w:rsidP="00B42596">
      <w:r>
        <w:t xml:space="preserve">Burns, B., Grant, B., Oppenheimer, D., Brewer, E., &amp; Wilkes, J. (2016). Borg, Omega, and Kubernetes. Communications of the ACM, 59(5), 50–57. </w:t>
      </w:r>
      <w:hyperlink r:id="rId7" w:history="1">
        <w:r w:rsidRPr="00DC2147">
          <w:rPr>
            <w:rStyle w:val="Hyperlink"/>
          </w:rPr>
          <w:t>https://doi.org/10.1145/2890784</w:t>
        </w:r>
      </w:hyperlink>
    </w:p>
    <w:p w14:paraId="52004F3B" w14:textId="16C5F08C" w:rsidR="00B42596" w:rsidRDefault="00B42596" w:rsidP="00B42596">
      <w:r>
        <w:t>Hoffmann, M., Lessner, T., &amp; Lübken, J. (2019). A survey on cloud vendor lock-in mitigation strategies.</w:t>
      </w:r>
      <w:r>
        <w:t xml:space="preserve"> </w:t>
      </w:r>
      <w:r>
        <w:t>Proceedings of the 9th International Conference on Cloud Computing and Services Science, 316–323.</w:t>
      </w:r>
      <w:r>
        <w:t xml:space="preserve"> </w:t>
      </w:r>
      <w:hyperlink r:id="rId8" w:history="1">
        <w:r w:rsidRPr="00DC2147">
          <w:rPr>
            <w:rStyle w:val="Hyperlink"/>
          </w:rPr>
          <w:t>https://doi.org/10.5220/0007739603160323</w:t>
        </w:r>
      </w:hyperlink>
    </w:p>
    <w:p w14:paraId="1A3FA343" w14:textId="6B88248F" w:rsidR="00B42596" w:rsidRDefault="00B42596" w:rsidP="00B42596">
      <w:r>
        <w:t>Mell, P., &amp; Grance, T. (2011). The NIST definition of cloud computing. National Institute of Standards</w:t>
      </w:r>
      <w:r>
        <w:t xml:space="preserve"> </w:t>
      </w:r>
      <w:r>
        <w:t xml:space="preserve">and Technology, 53(6), 1–7. </w:t>
      </w:r>
      <w:hyperlink r:id="rId9" w:history="1">
        <w:r w:rsidRPr="00DC2147">
          <w:rPr>
            <w:rStyle w:val="Hyperlink"/>
          </w:rPr>
          <w:t>https://doi.org/10.6028/NIST.SP.800-145</w:t>
        </w:r>
      </w:hyperlink>
    </w:p>
    <w:p w14:paraId="10FB455D" w14:textId="1F48B9E0" w:rsidR="00B42596" w:rsidRDefault="00B42596" w:rsidP="00B42596">
      <w:r>
        <w:t xml:space="preserve">Pahl, C. (2015). Containerization and the PaaS cloud. IEEE Cloud Computing, 2(3), 24–31. </w:t>
      </w:r>
      <w:hyperlink r:id="rId10" w:history="1">
        <w:r w:rsidRPr="00DC2147">
          <w:rPr>
            <w:rStyle w:val="Hyperlink"/>
          </w:rPr>
          <w:t>https://doi.org/10.1109/MCC.2015.51</w:t>
        </w:r>
      </w:hyperlink>
    </w:p>
    <w:p w14:paraId="12EF787B" w14:textId="6D4ECA31" w:rsidR="00C81A85" w:rsidRDefault="00B42596" w:rsidP="00B42596">
      <w:r>
        <w:t>Vaquero, L. M., Rodero-Merino, L., &amp; Morán, D. (2011). Locking the sky: A survey on IaaS cloud</w:t>
      </w:r>
      <w:r>
        <w:t xml:space="preserve"> </w:t>
      </w:r>
      <w:r>
        <w:t xml:space="preserve">lock-in. Computing, 91(1), 93–111. </w:t>
      </w:r>
      <w:hyperlink r:id="rId11" w:history="1">
        <w:r w:rsidRPr="00DC2147">
          <w:rPr>
            <w:rStyle w:val="Hyperlink"/>
          </w:rPr>
          <w:t>https://doi.org/10.1007/s00607-010-0140-9</w:t>
        </w:r>
      </w:hyperlink>
    </w:p>
    <w:p w14:paraId="563C8366" w14:textId="77777777" w:rsidR="00B42596" w:rsidRDefault="00B42596" w:rsidP="00B42596"/>
    <w:sectPr w:rsidR="00B42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F307D"/>
    <w:multiLevelType w:val="hybridMultilevel"/>
    <w:tmpl w:val="F03CD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277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53C"/>
    <w:rsid w:val="00283516"/>
    <w:rsid w:val="002C2CF0"/>
    <w:rsid w:val="0058153B"/>
    <w:rsid w:val="009F0DEE"/>
    <w:rsid w:val="00B42596"/>
    <w:rsid w:val="00C81A85"/>
    <w:rsid w:val="00CA1BC1"/>
    <w:rsid w:val="00E319AA"/>
    <w:rsid w:val="00ED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1E930"/>
  <w15:chartTrackingRefBased/>
  <w15:docId w15:val="{3092EFF2-8D01-44F8-83B6-598A284C6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5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45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45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45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45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45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45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45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45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5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45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45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45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45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45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45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45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45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45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45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45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45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45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45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45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45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45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45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453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4259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25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5220/000773960316032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i.org/10.1145/289078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109/MCC.2014.51" TargetMode="External"/><Relationship Id="rId11" Type="http://schemas.openxmlformats.org/officeDocument/2006/relationships/hyperlink" Target="https://doi.org/10.1007/s00607-010-0140-9" TargetMode="External"/><Relationship Id="rId5" Type="http://schemas.openxmlformats.org/officeDocument/2006/relationships/hyperlink" Target="https://doi.org/10.1145/1721654.1721672" TargetMode="External"/><Relationship Id="rId10" Type="http://schemas.openxmlformats.org/officeDocument/2006/relationships/hyperlink" Target="https://doi.org/10.1109/MCC.2015.5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6028/NIST.SP.800-1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653</Words>
  <Characters>3728</Characters>
  <Application>Microsoft Office Word</Application>
  <DocSecurity>0</DocSecurity>
  <Lines>31</Lines>
  <Paragraphs>8</Paragraphs>
  <ScaleCrop>false</ScaleCrop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 Duong</dc:creator>
  <cp:keywords/>
  <dc:description/>
  <cp:lastModifiedBy>Lac Duong</cp:lastModifiedBy>
  <cp:revision>3</cp:revision>
  <dcterms:created xsi:type="dcterms:W3CDTF">2025-05-06T03:16:00Z</dcterms:created>
  <dcterms:modified xsi:type="dcterms:W3CDTF">2025-05-06T03:24:00Z</dcterms:modified>
</cp:coreProperties>
</file>