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F17B5" w14:textId="431AA7B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Supplementary Material</w:t>
      </w:r>
      <w:r w:rsidR="00A36E93">
        <w:rPr>
          <w:rFonts w:asciiTheme="minorHAnsi" w:hAnsiTheme="minorHAnsi" w:cstheme="minorHAnsi"/>
          <w:b/>
          <w:bCs/>
          <w:lang w:val="en-AU"/>
        </w:rPr>
        <w:t xml:space="preserve"> for Schilling et al,</w:t>
      </w:r>
    </w:p>
    <w:p w14:paraId="0DFD392C" w14:textId="77777777" w:rsidR="00922E04" w:rsidRDefault="00922E04" w:rsidP="00922E04">
      <w:pPr>
        <w:spacing w:line="360" w:lineRule="auto"/>
        <w:rPr>
          <w:rFonts w:asciiTheme="minorHAnsi" w:hAnsiTheme="minorHAnsi" w:cstheme="minorHAnsi"/>
          <w:lang w:val="en-AU"/>
        </w:rPr>
      </w:pPr>
    </w:p>
    <w:p w14:paraId="46870C39" w14:textId="41B11FF0" w:rsidR="00922E04" w:rsidRPr="00F15D89" w:rsidRDefault="00555CC6" w:rsidP="00922E04">
      <w:pPr>
        <w:spacing w:line="360" w:lineRule="auto"/>
        <w:rPr>
          <w:rFonts w:asciiTheme="minorHAnsi" w:hAnsiTheme="minorHAnsi" w:cstheme="minorHAnsi"/>
          <w:lang w:val="en-AU"/>
        </w:rPr>
      </w:pPr>
      <w:r>
        <w:rPr>
          <w:rFonts w:asciiTheme="minorHAnsi" w:hAnsiTheme="minorHAnsi" w:cstheme="minorHAnsi"/>
          <w:noProof/>
          <w:lang w:val="en-AU"/>
        </w:rPr>
        <w:drawing>
          <wp:inline distT="0" distB="0" distL="0" distR="0" wp14:anchorId="6A027B65" wp14:editId="6490D080">
            <wp:extent cx="4459605" cy="510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9605" cy="5106670"/>
                    </a:xfrm>
                    <a:prstGeom prst="rect">
                      <a:avLst/>
                    </a:prstGeom>
                    <a:noFill/>
                    <a:ln>
                      <a:noFill/>
                    </a:ln>
                  </pic:spPr>
                </pic:pic>
              </a:graphicData>
            </a:graphic>
          </wp:inline>
        </w:drawing>
      </w:r>
    </w:p>
    <w:p w14:paraId="45ECCC3C" w14:textId="060D804A" w:rsidR="00922E04"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S1</w:t>
      </w:r>
      <w:r>
        <w:rPr>
          <w:rFonts w:asciiTheme="minorHAnsi" w:hAnsiTheme="minorHAnsi" w:cstheme="minorHAnsi"/>
          <w:lang w:val="en-AU"/>
        </w:rPr>
        <w:t xml:space="preserve"> MODIS Chlorophyll </w:t>
      </w:r>
      <w:r w:rsidRPr="0072168F">
        <w:rPr>
          <w:rFonts w:asciiTheme="minorHAnsi" w:hAnsiTheme="minorHAnsi" w:cstheme="minorHAnsi"/>
          <w:i/>
          <w:iCs/>
          <w:lang w:val="en-AU"/>
        </w:rPr>
        <w:t>a</w:t>
      </w:r>
      <w:r>
        <w:rPr>
          <w:rFonts w:asciiTheme="minorHAnsi" w:hAnsiTheme="minorHAnsi" w:cstheme="minorHAnsi"/>
          <w:lang w:val="en-AU"/>
        </w:rPr>
        <w:t xml:space="preserve"> (mg m</w:t>
      </w:r>
      <w:r>
        <w:rPr>
          <w:rFonts w:asciiTheme="minorHAnsi" w:hAnsiTheme="minorHAnsi" w:cstheme="minorHAnsi"/>
          <w:vertAlign w:val="superscript"/>
          <w:lang w:val="en-AU"/>
        </w:rPr>
        <w:t>-3</w:t>
      </w:r>
      <w:r>
        <w:rPr>
          <w:rFonts w:asciiTheme="minorHAnsi" w:hAnsiTheme="minorHAnsi" w:cstheme="minorHAnsi"/>
          <w:lang w:val="en-AU"/>
        </w:rPr>
        <w:t>) in the region during our study showing low amounts of Chlorophyll at all the transect sites (black lines) during our study.</w:t>
      </w:r>
      <w:r w:rsidR="00555CC6">
        <w:rPr>
          <w:rFonts w:asciiTheme="minorHAnsi" w:hAnsiTheme="minorHAnsi" w:cstheme="minorHAnsi"/>
          <w:lang w:val="en-AU"/>
        </w:rPr>
        <w:t xml:space="preserve"> Black contour lines connect areas of equal sea surface height anomaly.</w:t>
      </w:r>
    </w:p>
    <w:p w14:paraId="2863F8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1E3B9DBE" w14:textId="77777777" w:rsidR="00922E04" w:rsidRPr="00F15D89" w:rsidRDefault="00922E04" w:rsidP="00922E04">
      <w:pPr>
        <w:spacing w:line="360" w:lineRule="auto"/>
        <w:rPr>
          <w:rFonts w:asciiTheme="minorHAnsi" w:hAnsiTheme="minorHAnsi" w:cstheme="minorHAnsi"/>
          <w:lang w:val="en-AU"/>
        </w:rPr>
      </w:pPr>
      <w:r>
        <w:rPr>
          <w:noProof/>
        </w:rPr>
        <w:lastRenderedPageBreak/>
        <w:drawing>
          <wp:inline distT="0" distB="0" distL="0" distR="0" wp14:anchorId="3F1350F0" wp14:editId="6314E811">
            <wp:extent cx="5943600" cy="4184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701F3DF7" w14:textId="77777777" w:rsidR="00922E04" w:rsidRPr="00F15D89"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S2</w:t>
      </w:r>
      <w:r w:rsidRPr="00F15D89">
        <w:rPr>
          <w:rFonts w:asciiTheme="minorHAnsi" w:hAnsiTheme="minorHAnsi" w:cstheme="minorHAnsi"/>
          <w:lang w:val="en-AU"/>
        </w:rPr>
        <w:t xml:space="preserve"> Satellite observed chlorophyll </w:t>
      </w:r>
      <w:r w:rsidRPr="00F15D89">
        <w:rPr>
          <w:rFonts w:asciiTheme="minorHAnsi" w:hAnsiTheme="minorHAnsi" w:cstheme="minorHAnsi"/>
          <w:i/>
          <w:iCs/>
          <w:lang w:val="en-AU"/>
        </w:rPr>
        <w:t>a</w:t>
      </w:r>
      <w:r w:rsidRPr="00F15D89">
        <w:rPr>
          <w:rFonts w:asciiTheme="minorHAnsi" w:hAnsiTheme="minorHAnsi" w:cstheme="minorHAnsi"/>
          <w:lang w:val="en-AU"/>
        </w:rPr>
        <w:t xml:space="preserve"> in the month prior to each transect based upon a </w:t>
      </w:r>
      <w:r>
        <w:rPr>
          <w:rFonts w:asciiTheme="minorHAnsi" w:hAnsiTheme="minorHAnsi" w:cstheme="minorHAnsi"/>
          <w:lang w:val="en-AU"/>
        </w:rPr>
        <w:t>10</w:t>
      </w:r>
      <w:r w:rsidRPr="00F15D89">
        <w:rPr>
          <w:rFonts w:asciiTheme="minorHAnsi" w:hAnsiTheme="minorHAnsi" w:cstheme="minorHAnsi"/>
          <w:lang w:val="en-AU"/>
        </w:rPr>
        <w:t xml:space="preserve"> x </w:t>
      </w:r>
      <w:r>
        <w:rPr>
          <w:rFonts w:asciiTheme="minorHAnsi" w:hAnsiTheme="minorHAnsi" w:cstheme="minorHAnsi"/>
          <w:lang w:val="en-AU"/>
        </w:rPr>
        <w:t>10</w:t>
      </w:r>
      <w:r w:rsidRPr="00F15D89">
        <w:rPr>
          <w:rFonts w:asciiTheme="minorHAnsi" w:hAnsiTheme="minorHAnsi" w:cstheme="minorHAnsi"/>
          <w:lang w:val="en-AU"/>
        </w:rPr>
        <w:t xml:space="preserve"> km region around the western and eastern edges of each transect. Gaps are due to days with no data due to cloud cover. The vertical red line shows the day each transect was sampled.</w:t>
      </w:r>
    </w:p>
    <w:p w14:paraId="7999128E" w14:textId="77777777" w:rsidR="00922E04" w:rsidRPr="00F15D89" w:rsidRDefault="00922E04" w:rsidP="00922E04">
      <w:pPr>
        <w:spacing w:line="360" w:lineRule="auto"/>
        <w:rPr>
          <w:rFonts w:asciiTheme="minorHAnsi" w:hAnsiTheme="minorHAnsi" w:cstheme="minorHAnsi"/>
          <w:lang w:val="en-AU"/>
        </w:rPr>
      </w:pPr>
    </w:p>
    <w:p w14:paraId="0069CC19"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75C78DF5" w14:textId="77777777" w:rsidR="00922E04" w:rsidRPr="0072168F" w:rsidRDefault="00922E04" w:rsidP="00922E04">
      <w:pPr>
        <w:spacing w:line="360" w:lineRule="auto"/>
        <w:rPr>
          <w:rFonts w:asciiTheme="minorHAnsi" w:hAnsiTheme="minorHAnsi" w:cstheme="minorHAnsi"/>
          <w:lang w:val="en-AU"/>
        </w:rPr>
      </w:pPr>
    </w:p>
    <w:p w14:paraId="039DD6A9" w14:textId="77777777" w:rsidR="00922E04" w:rsidRDefault="00922E04" w:rsidP="00922E04">
      <w:pPr>
        <w:spacing w:line="360" w:lineRule="auto"/>
        <w:rPr>
          <w:rFonts w:asciiTheme="minorHAnsi" w:hAnsiTheme="minorHAnsi" w:cstheme="minorHAnsi"/>
          <w:lang w:val="en-AU"/>
        </w:rPr>
      </w:pPr>
    </w:p>
    <w:p w14:paraId="5940CD69" w14:textId="77777777" w:rsidR="00922E04" w:rsidRDefault="00922E04" w:rsidP="00922E04">
      <w:pPr>
        <w:spacing w:line="360" w:lineRule="auto"/>
        <w:rPr>
          <w:rFonts w:asciiTheme="minorHAnsi" w:hAnsiTheme="minorHAnsi" w:cstheme="minorHAnsi"/>
          <w:lang w:val="en-AU"/>
        </w:rPr>
      </w:pPr>
      <w:r>
        <w:rPr>
          <w:noProof/>
        </w:rPr>
        <w:drawing>
          <wp:inline distT="0" distB="0" distL="0" distR="0" wp14:anchorId="3417CF0F" wp14:editId="106F4818">
            <wp:extent cx="5943600" cy="187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61521F1" w14:textId="77777777" w:rsidR="00922E04" w:rsidRDefault="00922E04" w:rsidP="00922E04">
      <w:pPr>
        <w:spacing w:line="360" w:lineRule="auto"/>
        <w:rPr>
          <w:rFonts w:asciiTheme="minorHAnsi" w:hAnsiTheme="minorHAnsi" w:cstheme="minorHAnsi"/>
          <w:lang w:val="en-AU"/>
        </w:rPr>
      </w:pPr>
    </w:p>
    <w:p w14:paraId="13C3EA81" w14:textId="77777777" w:rsidR="00922E04" w:rsidRPr="00F15D89"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S3</w:t>
      </w:r>
      <w:r>
        <w:rPr>
          <w:rFonts w:asciiTheme="minorHAnsi" w:hAnsiTheme="minorHAnsi" w:cstheme="minorHAnsi"/>
          <w:lang w:val="en-AU"/>
        </w:rPr>
        <w:t xml:space="preserve"> Time-series of along-shelf (northward) wind stress component calculated from the observed wind at Coffs Harbour (30° S, local time). Negative values show upwelling favourable winds. The vertical black lines show the times of the 4 transects in this study, in chronological order these were Diamond Head, North Solitary, Evans Head then Cape Byron.</w:t>
      </w:r>
    </w:p>
    <w:p w14:paraId="5E080312" w14:textId="77777777" w:rsidR="00922E04" w:rsidRPr="00F15D89" w:rsidRDefault="00922E04" w:rsidP="00922E04">
      <w:pPr>
        <w:spacing w:line="360" w:lineRule="auto"/>
        <w:rPr>
          <w:rFonts w:asciiTheme="minorHAnsi" w:hAnsiTheme="minorHAnsi" w:cstheme="minorHAnsi"/>
          <w:lang w:val="en-AU"/>
        </w:rPr>
      </w:pPr>
    </w:p>
    <w:p w14:paraId="746AA9D2"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3B01C6CA" w14:textId="74457884" w:rsidR="00922E04" w:rsidRDefault="00133BE7" w:rsidP="00922E04">
      <w:pPr>
        <w:spacing w:line="360" w:lineRule="auto"/>
        <w:rPr>
          <w:rFonts w:asciiTheme="minorHAnsi" w:hAnsiTheme="minorHAnsi" w:cstheme="minorHAnsi"/>
          <w:lang w:val="en-AU"/>
        </w:rPr>
      </w:pPr>
      <w:r>
        <w:rPr>
          <w:rFonts w:asciiTheme="minorHAnsi" w:hAnsiTheme="minorHAnsi" w:cstheme="minorHAnsi"/>
          <w:noProof/>
          <w:lang w:val="en-AU"/>
        </w:rPr>
        <w:lastRenderedPageBreak/>
        <w:drawing>
          <wp:inline distT="0" distB="0" distL="0" distR="0" wp14:anchorId="4D3A654E" wp14:editId="6923F866">
            <wp:extent cx="5727700" cy="66789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6678930"/>
                    </a:xfrm>
                    <a:prstGeom prst="rect">
                      <a:avLst/>
                    </a:prstGeom>
                    <a:noFill/>
                    <a:ln>
                      <a:noFill/>
                    </a:ln>
                  </pic:spPr>
                </pic:pic>
              </a:graphicData>
            </a:graphic>
          </wp:inline>
        </w:drawing>
      </w:r>
    </w:p>
    <w:p w14:paraId="4E3403A1" w14:textId="77777777" w:rsidR="00922E04"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S4</w:t>
      </w:r>
      <w:r>
        <w:rPr>
          <w:rFonts w:asciiTheme="minorHAnsi" w:hAnsiTheme="minorHAnsi" w:cstheme="minorHAnsi"/>
          <w:lang w:val="en-AU"/>
        </w:rPr>
        <w:t xml:space="preserve"> Cross-shelf</w:t>
      </w:r>
      <w:r w:rsidRPr="00F15D89">
        <w:rPr>
          <w:rFonts w:asciiTheme="minorHAnsi" w:hAnsiTheme="minorHAnsi" w:cstheme="minorHAnsi"/>
          <w:lang w:val="en-AU"/>
        </w:rPr>
        <w:t xml:space="preserve"> velocity across the four cross shelf transects (Figure 1). Transects were conducted with an Acoustic Doppler Current Profiler during a CTD Transect. Grey lines join areas of equal velocity.</w:t>
      </w:r>
      <w:r>
        <w:rPr>
          <w:rFonts w:asciiTheme="minorHAnsi" w:hAnsiTheme="minorHAnsi" w:cstheme="minorHAnsi"/>
          <w:lang w:val="en-AU"/>
        </w:rPr>
        <w:t xml:space="preserve"> The red line shows the 21°C isotherm based on the </w:t>
      </w:r>
      <w:proofErr w:type="spellStart"/>
      <w:r>
        <w:rPr>
          <w:rFonts w:asciiTheme="minorHAnsi" w:hAnsiTheme="minorHAnsi" w:cstheme="minorHAnsi"/>
          <w:lang w:val="en-AU"/>
        </w:rPr>
        <w:t>SeaSoar</w:t>
      </w:r>
      <w:proofErr w:type="spellEnd"/>
      <w:r>
        <w:rPr>
          <w:rFonts w:asciiTheme="minorHAnsi" w:hAnsiTheme="minorHAnsi" w:cstheme="minorHAnsi"/>
          <w:lang w:val="en-AU"/>
        </w:rPr>
        <w:t xml:space="preserve"> transect.</w:t>
      </w:r>
      <w:r w:rsidRPr="00F15D89">
        <w:rPr>
          <w:rFonts w:asciiTheme="minorHAnsi" w:hAnsiTheme="minorHAnsi" w:cstheme="minorHAnsi"/>
          <w:lang w:val="en-AU"/>
        </w:rPr>
        <w:t xml:space="preserve"> </w:t>
      </w:r>
      <w:r>
        <w:rPr>
          <w:rFonts w:asciiTheme="minorHAnsi" w:hAnsiTheme="minorHAnsi" w:cstheme="minorHAnsi"/>
          <w:lang w:val="en-AU"/>
        </w:rPr>
        <w:t>Note there was no 21°C isotherm for Diamond Head.</w:t>
      </w:r>
    </w:p>
    <w:p w14:paraId="3C7C25EF"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01C811A1" w14:textId="77777777" w:rsidR="00922E04" w:rsidRPr="00F15D89" w:rsidRDefault="00922E04" w:rsidP="00922E04">
      <w:pPr>
        <w:spacing w:line="360" w:lineRule="auto"/>
        <w:rPr>
          <w:rFonts w:asciiTheme="minorHAnsi" w:hAnsiTheme="minorHAnsi" w:cstheme="minorHAnsi"/>
          <w:b/>
          <w:bCs/>
          <w:lang w:val="en-AU"/>
        </w:rPr>
      </w:pPr>
      <w:r>
        <w:rPr>
          <w:rFonts w:asciiTheme="minorHAnsi" w:hAnsiTheme="minorHAnsi" w:cstheme="minorHAnsi"/>
          <w:b/>
          <w:bCs/>
          <w:noProof/>
          <w:lang w:val="en-AU"/>
        </w:rPr>
        <w:lastRenderedPageBreak/>
        <w:drawing>
          <wp:inline distT="0" distB="0" distL="0" distR="0" wp14:anchorId="3C3FFDB1" wp14:editId="7DF44072">
            <wp:extent cx="3857625" cy="64378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299" cy="6440684"/>
                    </a:xfrm>
                    <a:prstGeom prst="rect">
                      <a:avLst/>
                    </a:prstGeom>
                    <a:noFill/>
                    <a:ln>
                      <a:noFill/>
                    </a:ln>
                  </pic:spPr>
                </pic:pic>
              </a:graphicData>
            </a:graphic>
          </wp:inline>
        </w:drawing>
      </w:r>
    </w:p>
    <w:p w14:paraId="7358EBC2"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S5</w:t>
      </w:r>
      <w:r w:rsidRPr="00F15D89">
        <w:rPr>
          <w:rFonts w:asciiTheme="minorHAnsi" w:hAnsiTheme="minorHAnsi" w:cstheme="minorHAnsi"/>
          <w:lang w:val="en-AU"/>
        </w:rPr>
        <w:t xml:space="preserve"> Biomass by distance from the coast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r w:rsidRPr="00F15D89">
        <w:rPr>
          <w:rFonts w:asciiTheme="minorHAnsi" w:hAnsiTheme="minorHAnsi" w:cstheme="minorHAnsi"/>
          <w:b/>
          <w:bCs/>
          <w:lang w:val="en-AU"/>
        </w:rPr>
        <w:br w:type="page"/>
      </w:r>
    </w:p>
    <w:p w14:paraId="35595A01" w14:textId="77777777" w:rsidR="00922E04" w:rsidRPr="00F15D89" w:rsidRDefault="00922E04" w:rsidP="00922E04">
      <w:pPr>
        <w:spacing w:line="360" w:lineRule="auto"/>
        <w:rPr>
          <w:rFonts w:asciiTheme="minorHAnsi" w:hAnsiTheme="minorHAnsi" w:cstheme="minorHAnsi"/>
          <w:lang w:val="en-AU"/>
        </w:rPr>
      </w:pPr>
      <w:r>
        <w:rPr>
          <w:noProof/>
          <w:lang w:val="en-AU" w:eastAsia="en-AU"/>
        </w:rPr>
        <w:lastRenderedPageBreak/>
        <w:drawing>
          <wp:inline distT="0" distB="0" distL="0" distR="0" wp14:anchorId="1E594AC1" wp14:editId="629592F8">
            <wp:extent cx="3915304" cy="653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6375" cy="6535938"/>
                    </a:xfrm>
                    <a:prstGeom prst="rect">
                      <a:avLst/>
                    </a:prstGeom>
                    <a:noFill/>
                    <a:ln>
                      <a:noFill/>
                    </a:ln>
                  </pic:spPr>
                </pic:pic>
              </a:graphicData>
            </a:graphic>
          </wp:inline>
        </w:drawing>
      </w:r>
      <w:r w:rsidRPr="00F15D89">
        <w:rPr>
          <w:rFonts w:asciiTheme="minorHAnsi" w:hAnsiTheme="minorHAnsi" w:cstheme="minorHAnsi"/>
          <w:lang w:val="en-AU"/>
        </w:rPr>
        <w:t xml:space="preserve"> </w:t>
      </w:r>
    </w:p>
    <w:p w14:paraId="3FDEB1C1" w14:textId="77777777" w:rsidR="00922E04" w:rsidRDefault="00922E04" w:rsidP="00922E04">
      <w:pPr>
        <w:spacing w:before="240" w:line="360" w:lineRule="auto"/>
        <w:rPr>
          <w:rFonts w:asciiTheme="minorHAnsi" w:hAnsiTheme="minorHAnsi" w:cstheme="minorHAnsi"/>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S6</w:t>
      </w:r>
      <w:r w:rsidRPr="00F15D89">
        <w:rPr>
          <w:rFonts w:asciiTheme="minorHAnsi" w:hAnsiTheme="minorHAnsi" w:cstheme="minorHAnsi"/>
          <w:b/>
          <w:bCs/>
          <w:lang w:val="en-AU"/>
        </w:rPr>
        <w:t xml:space="preserve"> </w:t>
      </w:r>
      <w:r w:rsidRPr="00F15D89">
        <w:rPr>
          <w:rFonts w:asciiTheme="minorHAnsi" w:hAnsiTheme="minorHAnsi" w:cstheme="minorHAnsi"/>
          <w:lang w:val="en-AU"/>
        </w:rPr>
        <w:t>Biomass by sample depth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w:t>
      </w:r>
      <w:r>
        <w:rPr>
          <w:rFonts w:asciiTheme="minorHAnsi" w:hAnsiTheme="minorHAnsi" w:cstheme="minorHAnsi"/>
          <w:vertAlign w:val="subscript"/>
          <w:lang w:val="en-AU"/>
        </w:rPr>
        <w:softHyphen/>
        <w:t>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p>
    <w:p w14:paraId="645E248F" w14:textId="527234F5" w:rsidR="00133BE7" w:rsidRDefault="00922E04" w:rsidP="00133BE7">
      <w:pPr>
        <w:spacing w:line="360" w:lineRule="auto"/>
        <w:rPr>
          <w:rFonts w:asciiTheme="minorHAnsi" w:hAnsiTheme="minorHAnsi" w:cstheme="minorHAnsi"/>
          <w:b/>
          <w:bCs/>
          <w:lang w:val="en-AU"/>
        </w:rPr>
      </w:pPr>
      <w:r>
        <w:rPr>
          <w:rFonts w:asciiTheme="minorHAnsi" w:hAnsiTheme="minorHAnsi" w:cstheme="minorHAnsi"/>
          <w:lang w:val="en-AU"/>
        </w:rPr>
        <w:br w:type="page"/>
      </w:r>
      <w:r w:rsidR="00BB7B8C">
        <w:rPr>
          <w:rFonts w:asciiTheme="minorHAnsi" w:hAnsiTheme="minorHAnsi" w:cstheme="minorHAnsi"/>
          <w:noProof/>
          <w:lang w:val="en-AU"/>
        </w:rPr>
        <w:lastRenderedPageBreak/>
        <w:drawing>
          <wp:inline distT="0" distB="0" distL="0" distR="0" wp14:anchorId="56C105A0" wp14:editId="653236EE">
            <wp:extent cx="5723890" cy="6685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6685915"/>
                    </a:xfrm>
                    <a:prstGeom prst="rect">
                      <a:avLst/>
                    </a:prstGeom>
                    <a:noFill/>
                    <a:ln>
                      <a:noFill/>
                    </a:ln>
                  </pic:spPr>
                </pic:pic>
              </a:graphicData>
            </a:graphic>
          </wp:inline>
        </w:drawing>
      </w:r>
    </w:p>
    <w:p w14:paraId="5D560756" w14:textId="238BC814" w:rsidR="00922E04" w:rsidRDefault="00133BE7" w:rsidP="00133BE7">
      <w:pPr>
        <w:spacing w:line="360" w:lineRule="auto"/>
        <w:rPr>
          <w:rFonts w:asciiTheme="minorHAnsi" w:hAnsiTheme="minorHAnsi" w:cstheme="minorHAnsi"/>
          <w:lang w:val="en-AU"/>
        </w:rPr>
      </w:pPr>
      <w:r>
        <w:rPr>
          <w:rFonts w:asciiTheme="minorHAnsi" w:hAnsiTheme="minorHAnsi" w:cstheme="minorHAnsi"/>
          <w:b/>
          <w:bCs/>
          <w:lang w:val="en-AU"/>
        </w:rPr>
        <w:t xml:space="preserve">Figure S7 </w:t>
      </w:r>
      <w:r>
        <w:rPr>
          <w:rFonts w:asciiTheme="minorHAnsi" w:hAnsiTheme="minorHAnsi" w:cstheme="minorHAnsi"/>
          <w:lang w:val="en-AU"/>
        </w:rPr>
        <w:t xml:space="preserve">Cross-shelf interpolations of </w:t>
      </w:r>
      <w:r w:rsidR="00A36E93">
        <w:rPr>
          <w:rFonts w:asciiTheme="minorHAnsi" w:hAnsiTheme="minorHAnsi" w:cstheme="minorHAnsi"/>
          <w:szCs w:val="24"/>
          <w:lang w:val="en-AU"/>
        </w:rPr>
        <w:t>particulate (</w:t>
      </w:r>
      <w:r w:rsidR="00A36E93" w:rsidRPr="00F15D89">
        <w:rPr>
          <w:rFonts w:asciiTheme="minorHAnsi" w:hAnsiTheme="minorHAnsi" w:cstheme="minorHAnsi"/>
          <w:szCs w:val="24"/>
          <w:lang w:val="en-AU"/>
        </w:rPr>
        <w:t>zooplankton</w:t>
      </w:r>
      <w:r w:rsidR="00A36E93">
        <w:rPr>
          <w:rFonts w:asciiTheme="minorHAnsi" w:hAnsiTheme="minorHAnsi" w:cstheme="minorHAnsi"/>
          <w:szCs w:val="24"/>
          <w:lang w:val="en-AU"/>
        </w:rPr>
        <w:t>)</w:t>
      </w:r>
      <w:r w:rsidR="00A36E93" w:rsidRPr="00F15D89">
        <w:rPr>
          <w:rFonts w:asciiTheme="minorHAnsi" w:hAnsiTheme="minorHAnsi" w:cstheme="minorHAnsi"/>
          <w:szCs w:val="24"/>
          <w:lang w:val="en-AU"/>
        </w:rPr>
        <w:t xml:space="preserve"> </w:t>
      </w:r>
      <w:r>
        <w:rPr>
          <w:rFonts w:asciiTheme="minorHAnsi" w:hAnsiTheme="minorHAnsi" w:cstheme="minorHAnsi"/>
          <w:lang w:val="en-AU"/>
        </w:rPr>
        <w:t>abundance (individuals m</w:t>
      </w:r>
      <w:r w:rsidRPr="00D91963">
        <w:rPr>
          <w:rFonts w:asciiTheme="minorHAnsi" w:hAnsiTheme="minorHAnsi" w:cstheme="minorHAnsi"/>
          <w:vertAlign w:val="superscript"/>
          <w:lang w:val="en-AU"/>
        </w:rPr>
        <w:t>-3</w:t>
      </w:r>
      <w:r>
        <w:rPr>
          <w:rFonts w:asciiTheme="minorHAnsi" w:hAnsiTheme="minorHAnsi" w:cstheme="minorHAnsi"/>
          <w:lang w:val="en-AU"/>
        </w:rPr>
        <w:t xml:space="preserve">). Measurements were taken as part of a CTD transect (data points shown as dots). Black lines connect areas of equal temperature (°C).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p>
    <w:p w14:paraId="670980FB" w14:textId="78688E9C" w:rsidR="00133BE7" w:rsidRDefault="00AC7798" w:rsidP="00133BE7">
      <w:pPr>
        <w:spacing w:line="360" w:lineRule="auto"/>
        <w:rPr>
          <w:rFonts w:asciiTheme="minorHAnsi" w:hAnsiTheme="minorHAnsi" w:cstheme="minorHAnsi"/>
          <w:lang w:val="en-AU"/>
        </w:rPr>
      </w:pPr>
      <w:r>
        <w:rPr>
          <w:rFonts w:asciiTheme="minorHAnsi" w:hAnsiTheme="minorHAnsi" w:cstheme="minorHAnsi"/>
          <w:noProof/>
          <w:lang w:val="en-AU"/>
        </w:rPr>
        <w:lastRenderedPageBreak/>
        <w:drawing>
          <wp:inline distT="0" distB="0" distL="0" distR="0" wp14:anchorId="7BF9E5C1" wp14:editId="2DE82D89">
            <wp:extent cx="5459465" cy="6377049"/>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3265" cy="6381488"/>
                    </a:xfrm>
                    <a:prstGeom prst="rect">
                      <a:avLst/>
                    </a:prstGeom>
                    <a:noFill/>
                    <a:ln>
                      <a:noFill/>
                    </a:ln>
                  </pic:spPr>
                </pic:pic>
              </a:graphicData>
            </a:graphic>
          </wp:inline>
        </w:drawing>
      </w:r>
    </w:p>
    <w:p w14:paraId="72A61584" w14:textId="4A1A8270" w:rsidR="00133BE7" w:rsidRDefault="00133BE7" w:rsidP="00133BE7">
      <w:pPr>
        <w:spacing w:line="360" w:lineRule="auto"/>
        <w:rPr>
          <w:rFonts w:asciiTheme="minorHAnsi" w:hAnsiTheme="minorHAnsi" w:cstheme="minorHAnsi"/>
          <w:lang w:val="en-AU"/>
        </w:rPr>
      </w:pPr>
      <w:r>
        <w:rPr>
          <w:rFonts w:asciiTheme="minorHAnsi" w:hAnsiTheme="minorHAnsi" w:cstheme="minorHAnsi"/>
          <w:b/>
          <w:bCs/>
          <w:lang w:val="en-AU"/>
        </w:rPr>
        <w:t>Figure S8</w:t>
      </w:r>
      <w:r>
        <w:rPr>
          <w:rFonts w:asciiTheme="minorHAnsi" w:hAnsiTheme="minorHAnsi" w:cstheme="minorHAnsi"/>
          <w:b/>
          <w:bCs/>
          <w:i/>
          <w:iCs/>
          <w:lang w:val="en-AU"/>
        </w:rPr>
        <w:t xml:space="preserve"> </w:t>
      </w:r>
      <w:r w:rsidRPr="00F15D89">
        <w:rPr>
          <w:rFonts w:asciiTheme="minorHAnsi" w:hAnsiTheme="minorHAnsi" w:cstheme="minorHAnsi"/>
          <w:lang w:val="en-AU"/>
        </w:rPr>
        <w:t xml:space="preserve">Interpolations of the </w:t>
      </w:r>
      <w:r w:rsidR="00A36E93">
        <w:rPr>
          <w:rFonts w:asciiTheme="minorHAnsi" w:hAnsiTheme="minorHAnsi" w:cstheme="minorHAnsi"/>
          <w:szCs w:val="24"/>
          <w:lang w:val="en-AU"/>
        </w:rPr>
        <w:t>particulate (</w:t>
      </w:r>
      <w:r w:rsidR="00A36E93" w:rsidRPr="00F15D89">
        <w:rPr>
          <w:rFonts w:asciiTheme="minorHAnsi" w:hAnsiTheme="minorHAnsi" w:cstheme="minorHAnsi"/>
          <w:szCs w:val="24"/>
          <w:lang w:val="en-AU"/>
        </w:rPr>
        <w:t>zooplankton</w:t>
      </w:r>
      <w:r w:rsidR="00A36E93">
        <w:rPr>
          <w:rFonts w:asciiTheme="minorHAnsi" w:hAnsiTheme="minorHAnsi" w:cstheme="minorHAnsi"/>
          <w:szCs w:val="24"/>
          <w:lang w:val="en-AU"/>
        </w:rPr>
        <w:t>)</w:t>
      </w:r>
      <w:r w:rsidR="00A36E93" w:rsidRPr="00F15D89">
        <w:rPr>
          <w:rFonts w:asciiTheme="minorHAnsi" w:hAnsiTheme="minorHAnsi" w:cstheme="minorHAnsi"/>
          <w:szCs w:val="24"/>
          <w:lang w:val="en-AU"/>
        </w:rPr>
        <w:t xml:space="preserve"> </w:t>
      </w:r>
      <w:r>
        <w:rPr>
          <w:rFonts w:asciiTheme="minorHAnsi" w:hAnsiTheme="minorHAnsi" w:cstheme="minorHAnsi"/>
          <w:lang w:val="en-AU"/>
        </w:rPr>
        <w:t>size spectra</w:t>
      </w:r>
      <w:r w:rsidRPr="00F15D89">
        <w:rPr>
          <w:rFonts w:asciiTheme="minorHAnsi" w:hAnsiTheme="minorHAnsi" w:cstheme="minorHAnsi"/>
          <w:lang w:val="en-AU"/>
        </w:rPr>
        <w:t xml:space="preserve"> slope</w:t>
      </w:r>
      <w:r>
        <w:rPr>
          <w:rFonts w:asciiTheme="minorHAnsi" w:hAnsiTheme="minorHAnsi" w:cstheme="minorHAnsi"/>
          <w:lang w:val="en-AU"/>
        </w:rPr>
        <w:t xml:space="preserve"> using the Normalised Biomass Size Spectrum (NBSS) method</w:t>
      </w:r>
      <w:r w:rsidRPr="00F15D89">
        <w:rPr>
          <w:rFonts w:asciiTheme="minorHAnsi" w:hAnsiTheme="minorHAnsi" w:cstheme="minorHAnsi"/>
          <w:lang w:val="en-AU"/>
        </w:rPr>
        <w:t>.</w:t>
      </w:r>
      <w:r>
        <w:rPr>
          <w:rFonts w:asciiTheme="minorHAnsi" w:hAnsiTheme="minorHAnsi" w:cstheme="minorHAnsi"/>
          <w:lang w:val="en-AU"/>
        </w:rPr>
        <w:t xml:space="preserve">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r>
        <w:rPr>
          <w:rFonts w:asciiTheme="minorHAnsi" w:hAnsiTheme="minorHAnsi" w:cstheme="minorHAnsi"/>
          <w:lang w:val="en-AU"/>
        </w:rPr>
        <w:t xml:space="preserve"> The NBSS slope estimate was strongly correlated to the pareto </w:t>
      </w:r>
      <w:r>
        <w:rPr>
          <w:rFonts w:asciiTheme="minorHAnsi" w:hAnsiTheme="minorHAnsi" w:cstheme="minorHAnsi"/>
          <w:i/>
          <w:iCs/>
          <w:lang w:val="en-AU"/>
        </w:rPr>
        <w:t>c</w:t>
      </w:r>
      <w:r>
        <w:rPr>
          <w:rFonts w:asciiTheme="minorHAnsi" w:hAnsiTheme="minorHAnsi" w:cstheme="minorHAnsi"/>
          <w:lang w:val="en-AU"/>
        </w:rPr>
        <w:t xml:space="preserve"> chape parameter </w:t>
      </w:r>
      <w:r w:rsidRPr="00044EBD">
        <w:rPr>
          <w:rFonts w:asciiTheme="minorHAnsi" w:hAnsiTheme="minorHAnsi" w:cstheme="minorHAnsi"/>
          <w:lang w:val="en-AU"/>
        </w:rPr>
        <w:t>(</w:t>
      </w:r>
      <w:r w:rsidRPr="00CF4DB0">
        <w:rPr>
          <w:rFonts w:asciiTheme="minorHAnsi" w:hAnsiTheme="minorHAnsi" w:cstheme="minorHAnsi"/>
          <w:i/>
          <w:iCs/>
          <w:lang w:val="en-AU"/>
        </w:rPr>
        <w:t>r</w:t>
      </w:r>
      <w:r w:rsidRPr="00044EBD">
        <w:rPr>
          <w:rFonts w:asciiTheme="minorHAnsi" w:hAnsiTheme="minorHAnsi" w:cstheme="minorHAnsi"/>
          <w:lang w:val="en-AU"/>
        </w:rPr>
        <w:t xml:space="preserve"> = 0.934, </w:t>
      </w:r>
      <w:r w:rsidRPr="00044EBD">
        <w:rPr>
          <w:rFonts w:asciiTheme="minorHAnsi" w:hAnsiTheme="minorHAnsi" w:cstheme="minorHAnsi"/>
          <w:i/>
          <w:iCs/>
          <w:lang w:val="en-AU"/>
        </w:rPr>
        <w:t>t</w:t>
      </w:r>
      <w:r w:rsidRPr="00044EBD">
        <w:rPr>
          <w:rFonts w:asciiTheme="minorHAnsi" w:hAnsiTheme="minorHAnsi" w:cstheme="minorHAnsi"/>
          <w:vertAlign w:val="subscript"/>
          <w:lang w:val="en-AU"/>
        </w:rPr>
        <w:t>535</w:t>
      </w:r>
      <w:r w:rsidRPr="00044EBD">
        <w:rPr>
          <w:rFonts w:asciiTheme="minorHAnsi" w:hAnsiTheme="minorHAnsi" w:cstheme="minorHAnsi"/>
          <w:lang w:val="en-AU"/>
        </w:rPr>
        <w:t xml:space="preserve"> = 60.362, </w:t>
      </w:r>
      <w:r>
        <w:rPr>
          <w:rFonts w:asciiTheme="minorHAnsi" w:hAnsiTheme="minorHAnsi" w:cstheme="minorHAnsi"/>
          <w:i/>
          <w:iCs/>
          <w:lang w:val="en-AU"/>
        </w:rPr>
        <w:t>p</w:t>
      </w:r>
      <w:r w:rsidRPr="00044EBD">
        <w:rPr>
          <w:rFonts w:asciiTheme="minorHAnsi" w:hAnsiTheme="minorHAnsi" w:cstheme="minorHAnsi"/>
          <w:i/>
          <w:iCs/>
          <w:lang w:val="en-AU"/>
        </w:rPr>
        <w:t xml:space="preserve"> </w:t>
      </w:r>
      <w:r w:rsidRPr="00044EBD">
        <w:rPr>
          <w:rFonts w:asciiTheme="minorHAnsi" w:hAnsiTheme="minorHAnsi" w:cstheme="minorHAnsi"/>
          <w:lang w:val="en-AU"/>
        </w:rPr>
        <w:t>&lt; 0.001, Figure S7)</w:t>
      </w:r>
      <w:r>
        <w:rPr>
          <w:rFonts w:asciiTheme="minorHAnsi" w:hAnsiTheme="minorHAnsi" w:cstheme="minorHAnsi"/>
          <w:lang w:val="en-AU"/>
        </w:rPr>
        <w:t xml:space="preserve">. Note the smaller coverage compared to the pareto </w:t>
      </w:r>
      <w:r>
        <w:rPr>
          <w:rFonts w:asciiTheme="minorHAnsi" w:hAnsiTheme="minorHAnsi" w:cstheme="minorHAnsi"/>
          <w:i/>
          <w:iCs/>
          <w:lang w:val="en-AU"/>
        </w:rPr>
        <w:t>c</w:t>
      </w:r>
      <w:r>
        <w:rPr>
          <w:rFonts w:asciiTheme="minorHAnsi" w:hAnsiTheme="minorHAnsi" w:cstheme="minorHAnsi"/>
          <w:lang w:val="en-AU"/>
        </w:rPr>
        <w:t xml:space="preserve"> shape parameter due to the inability of the NBSS estimate to handle datapoints with few particles.</w:t>
      </w:r>
    </w:p>
    <w:p w14:paraId="667A2C72" w14:textId="340CB242" w:rsidR="00555CC6" w:rsidRDefault="00555CC6" w:rsidP="00922E04">
      <w:pPr>
        <w:spacing w:line="360" w:lineRule="auto"/>
        <w:rPr>
          <w:rFonts w:asciiTheme="minorHAnsi" w:hAnsiTheme="minorHAnsi" w:cstheme="minorHAnsi"/>
          <w:lang w:val="en-AU"/>
        </w:rPr>
      </w:pPr>
    </w:p>
    <w:p w14:paraId="459C921E" w14:textId="6A538718" w:rsidR="00133BE7" w:rsidRDefault="009459B4" w:rsidP="00133BE7">
      <w:pPr>
        <w:spacing w:line="360" w:lineRule="auto"/>
        <w:rPr>
          <w:rFonts w:asciiTheme="minorHAnsi" w:hAnsiTheme="minorHAnsi" w:cstheme="minorHAnsi"/>
          <w:b/>
          <w:bCs/>
          <w:lang w:val="en-AU"/>
        </w:rPr>
      </w:pPr>
      <w:r>
        <w:rPr>
          <w:rFonts w:asciiTheme="minorHAnsi" w:hAnsiTheme="minorHAnsi" w:cstheme="minorHAnsi"/>
          <w:b/>
          <w:bCs/>
          <w:noProof/>
          <w:lang w:val="en-AU"/>
        </w:rPr>
        <w:drawing>
          <wp:inline distT="0" distB="0" distL="0" distR="0" wp14:anchorId="26C2DF65" wp14:editId="1C0E4400">
            <wp:extent cx="5723890" cy="6685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6685915"/>
                    </a:xfrm>
                    <a:prstGeom prst="rect">
                      <a:avLst/>
                    </a:prstGeom>
                    <a:noFill/>
                    <a:ln>
                      <a:noFill/>
                    </a:ln>
                  </pic:spPr>
                </pic:pic>
              </a:graphicData>
            </a:graphic>
          </wp:inline>
        </w:drawing>
      </w:r>
    </w:p>
    <w:p w14:paraId="229E7552" w14:textId="77777777" w:rsidR="00133BE7" w:rsidRDefault="00133BE7" w:rsidP="00133BE7">
      <w:pPr>
        <w:rPr>
          <w:rFonts w:asciiTheme="minorHAnsi" w:hAnsiTheme="minorHAnsi" w:cstheme="minorHAnsi"/>
          <w:b/>
          <w:bCs/>
          <w:lang w:val="en-AU"/>
        </w:rPr>
      </w:pPr>
    </w:p>
    <w:p w14:paraId="34079E43" w14:textId="11DD827D" w:rsidR="00133BE7" w:rsidRPr="00300F08" w:rsidRDefault="00133BE7" w:rsidP="00133BE7">
      <w:pPr>
        <w:spacing w:line="360" w:lineRule="auto"/>
        <w:rPr>
          <w:rFonts w:asciiTheme="minorHAnsi" w:hAnsiTheme="minorHAnsi" w:cstheme="minorHAnsi"/>
          <w:lang w:val="en-AU"/>
        </w:rPr>
      </w:pPr>
      <w:r>
        <w:rPr>
          <w:rFonts w:asciiTheme="minorHAnsi" w:hAnsiTheme="minorHAnsi" w:cstheme="minorHAnsi"/>
          <w:b/>
          <w:bCs/>
          <w:lang w:val="en-AU"/>
        </w:rPr>
        <w:t xml:space="preserve">Figure S9 </w:t>
      </w:r>
      <w:r>
        <w:rPr>
          <w:rFonts w:asciiTheme="minorHAnsi" w:hAnsiTheme="minorHAnsi" w:cstheme="minorHAnsi"/>
          <w:lang w:val="en-AU"/>
        </w:rPr>
        <w:t xml:space="preserve">Cross-shelf interpolations of salinity.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p>
    <w:p w14:paraId="3B98B00A" w14:textId="7808107D" w:rsidR="00555CC6" w:rsidRDefault="00555CC6">
      <w:pPr>
        <w:spacing w:after="160" w:line="259" w:lineRule="auto"/>
        <w:rPr>
          <w:rFonts w:asciiTheme="minorHAnsi" w:hAnsiTheme="minorHAnsi" w:cstheme="minorHAnsi"/>
          <w:lang w:val="en-AU"/>
        </w:rPr>
      </w:pPr>
      <w:r>
        <w:rPr>
          <w:rFonts w:asciiTheme="minorHAnsi" w:hAnsiTheme="minorHAnsi" w:cstheme="minorHAnsi"/>
          <w:lang w:val="en-AU"/>
        </w:rPr>
        <w:br w:type="page"/>
      </w:r>
    </w:p>
    <w:p w14:paraId="6B929B42" w14:textId="150571AC" w:rsidR="006E4947" w:rsidRDefault="00392ED7" w:rsidP="006E4947">
      <w:pPr>
        <w:spacing w:line="360" w:lineRule="auto"/>
        <w:rPr>
          <w:rFonts w:asciiTheme="minorHAnsi" w:hAnsiTheme="minorHAnsi" w:cstheme="minorHAnsi"/>
          <w:b/>
          <w:bCs/>
          <w:noProof/>
          <w:lang w:val="en-AU"/>
        </w:rPr>
      </w:pPr>
      <w:r>
        <w:rPr>
          <w:rFonts w:asciiTheme="minorHAnsi" w:hAnsiTheme="minorHAnsi" w:cstheme="minorHAnsi"/>
          <w:b/>
          <w:bCs/>
          <w:noProof/>
          <w:lang w:val="en-AU"/>
        </w:rPr>
        <w:lastRenderedPageBreak/>
        <w:drawing>
          <wp:inline distT="0" distB="0" distL="0" distR="0" wp14:anchorId="1926EB3A" wp14:editId="157A6F1D">
            <wp:extent cx="5723890" cy="6685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6685915"/>
                    </a:xfrm>
                    <a:prstGeom prst="rect">
                      <a:avLst/>
                    </a:prstGeom>
                    <a:noFill/>
                    <a:ln>
                      <a:noFill/>
                    </a:ln>
                  </pic:spPr>
                </pic:pic>
              </a:graphicData>
            </a:graphic>
          </wp:inline>
        </w:drawing>
      </w:r>
    </w:p>
    <w:p w14:paraId="725B3679" w14:textId="77777777" w:rsidR="006E4947" w:rsidRDefault="006E4947" w:rsidP="006E4947">
      <w:pPr>
        <w:rPr>
          <w:rFonts w:asciiTheme="minorHAnsi" w:hAnsiTheme="minorHAnsi" w:cstheme="minorHAnsi"/>
          <w:b/>
          <w:bCs/>
          <w:noProof/>
          <w:lang w:val="en-AU"/>
        </w:rPr>
      </w:pPr>
    </w:p>
    <w:p w14:paraId="3045B7C5" w14:textId="65CA3947" w:rsidR="006E4947" w:rsidRPr="00300F08" w:rsidRDefault="006E4947" w:rsidP="006E4947">
      <w:pPr>
        <w:spacing w:line="360" w:lineRule="auto"/>
        <w:rPr>
          <w:rFonts w:asciiTheme="minorHAnsi" w:hAnsiTheme="minorHAnsi" w:cstheme="minorHAnsi"/>
          <w:lang w:val="en-AU"/>
        </w:rPr>
      </w:pPr>
      <w:r>
        <w:rPr>
          <w:rFonts w:asciiTheme="minorHAnsi" w:hAnsiTheme="minorHAnsi" w:cstheme="minorHAnsi"/>
          <w:b/>
          <w:bCs/>
          <w:lang w:val="en-AU"/>
        </w:rPr>
        <w:t xml:space="preserve">Figure S10 </w:t>
      </w:r>
      <w:r>
        <w:rPr>
          <w:rFonts w:asciiTheme="minorHAnsi" w:hAnsiTheme="minorHAnsi" w:cstheme="minorHAnsi"/>
          <w:lang w:val="en-AU"/>
        </w:rPr>
        <w:t>Cross-shelf interpolations of Nitrate c</w:t>
      </w:r>
      <w:r w:rsidRPr="000A5D04">
        <w:rPr>
          <w:rFonts w:asciiTheme="minorHAnsi" w:hAnsiTheme="minorHAnsi" w:cstheme="minorHAnsi"/>
          <w:lang w:val="en-AU"/>
        </w:rPr>
        <w:t xml:space="preserve">oncentration </w:t>
      </w:r>
      <w:r w:rsidRPr="00196019">
        <w:rPr>
          <w:rFonts w:asciiTheme="minorHAnsi" w:hAnsiTheme="minorHAnsi" w:cstheme="minorHAnsi"/>
          <w:lang w:val="en-AU"/>
        </w:rPr>
        <w:t>(</w:t>
      </w:r>
      <w:r w:rsidR="00462636" w:rsidRPr="00196019">
        <w:rPr>
          <w:rFonts w:asciiTheme="minorHAnsi" w:hAnsiTheme="minorHAnsi" w:cstheme="minorHAnsi"/>
          <w:lang w:val="en-AU"/>
        </w:rPr>
        <w:t>mmol</w:t>
      </w:r>
      <w:r w:rsidRPr="00196019">
        <w:rPr>
          <w:rFonts w:asciiTheme="minorHAnsi" w:hAnsiTheme="minorHAnsi" w:cstheme="minorHAnsi"/>
          <w:lang w:val="en-AU"/>
        </w:rPr>
        <w:t xml:space="preserve"> m</w:t>
      </w:r>
      <w:r w:rsidRPr="00196019">
        <w:rPr>
          <w:rFonts w:asciiTheme="minorHAnsi" w:hAnsiTheme="minorHAnsi" w:cstheme="minorHAnsi"/>
          <w:vertAlign w:val="superscript"/>
          <w:lang w:val="en-AU"/>
        </w:rPr>
        <w:t>-3</w:t>
      </w:r>
      <w:r w:rsidRPr="00196019">
        <w:rPr>
          <w:rFonts w:asciiTheme="minorHAnsi" w:hAnsiTheme="minorHAnsi" w:cstheme="minorHAnsi"/>
          <w:lang w:val="en-AU"/>
        </w:rPr>
        <w:t>)</w:t>
      </w:r>
      <w:r w:rsidRPr="000A5D04">
        <w:rPr>
          <w:rFonts w:asciiTheme="minorHAnsi" w:hAnsiTheme="minorHAnsi" w:cstheme="minorHAnsi"/>
          <w:lang w:val="en-AU"/>
        </w:rPr>
        <w:t>. Measurements were taken as part of a CTD transect (data points shown as dots). Black lines connect</w:t>
      </w:r>
      <w:r>
        <w:rPr>
          <w:rFonts w:asciiTheme="minorHAnsi" w:hAnsiTheme="minorHAnsi" w:cstheme="minorHAnsi"/>
          <w:lang w:val="en-AU"/>
        </w:rPr>
        <w:t xml:space="preserve"> areas of equal temperature (°C).</w:t>
      </w:r>
    </w:p>
    <w:p w14:paraId="4D4ABF51" w14:textId="77777777" w:rsidR="00555CC6" w:rsidRDefault="00555CC6" w:rsidP="00922E04">
      <w:pPr>
        <w:spacing w:line="360" w:lineRule="auto"/>
        <w:rPr>
          <w:rFonts w:asciiTheme="minorHAnsi" w:hAnsiTheme="minorHAnsi" w:cstheme="minorHAnsi"/>
          <w:b/>
          <w:bCs/>
          <w:lang w:val="en-AU"/>
        </w:rPr>
      </w:pPr>
    </w:p>
    <w:p w14:paraId="0826E57C" w14:textId="77777777" w:rsidR="00555CC6" w:rsidRDefault="00555CC6" w:rsidP="00922E04">
      <w:pPr>
        <w:spacing w:line="360" w:lineRule="auto"/>
        <w:rPr>
          <w:rFonts w:asciiTheme="minorHAnsi" w:hAnsiTheme="minorHAnsi" w:cstheme="minorHAnsi"/>
          <w:b/>
          <w:bCs/>
          <w:lang w:val="en-AU"/>
        </w:rPr>
      </w:pPr>
    </w:p>
    <w:p w14:paraId="686D8E02" w14:textId="0DF0A7B3" w:rsidR="00555CC6" w:rsidRDefault="00555CC6" w:rsidP="00196019">
      <w:pPr>
        <w:spacing w:line="360" w:lineRule="auto"/>
        <w:rPr>
          <w:rFonts w:asciiTheme="minorHAnsi" w:hAnsiTheme="minorHAnsi" w:cstheme="minorHAnsi"/>
          <w:b/>
          <w:bCs/>
          <w:lang w:val="en-AU"/>
        </w:rPr>
      </w:pPr>
      <w:r>
        <w:rPr>
          <w:rFonts w:asciiTheme="minorHAnsi" w:hAnsiTheme="minorHAnsi" w:cstheme="minorHAnsi"/>
          <w:b/>
          <w:bCs/>
          <w:lang w:val="en-AU"/>
        </w:rPr>
        <w:br w:type="page"/>
      </w:r>
    </w:p>
    <w:p w14:paraId="723D0999" w14:textId="77777777" w:rsidR="009A2AF3" w:rsidRPr="00196019" w:rsidRDefault="009A2AF3" w:rsidP="00196019">
      <w:pPr>
        <w:rPr>
          <w:rFonts w:asciiTheme="minorHAnsi" w:hAnsiTheme="minorHAnsi" w:cstheme="minorHAnsi"/>
          <w:lang w:val="en-AU"/>
        </w:rPr>
      </w:pPr>
    </w:p>
    <w:p w14:paraId="721663F8" w14:textId="7EDD240D" w:rsidR="00555CC6" w:rsidRDefault="00C67EC0" w:rsidP="00922E04">
      <w:pPr>
        <w:spacing w:line="360" w:lineRule="auto"/>
        <w:rPr>
          <w:rFonts w:asciiTheme="minorHAnsi" w:hAnsiTheme="minorHAnsi" w:cstheme="minorHAnsi"/>
          <w:b/>
          <w:bCs/>
          <w:lang w:val="en-AU"/>
        </w:rPr>
      </w:pPr>
      <w:r>
        <w:rPr>
          <w:rFonts w:asciiTheme="minorHAnsi" w:hAnsiTheme="minorHAnsi" w:cstheme="minorHAnsi"/>
          <w:b/>
          <w:bCs/>
          <w:noProof/>
          <w:lang w:val="en-AU"/>
        </w:rPr>
        <w:drawing>
          <wp:inline distT="0" distB="0" distL="0" distR="0" wp14:anchorId="7B52C7D8" wp14:editId="1591364F">
            <wp:extent cx="5723890" cy="6685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6685915"/>
                    </a:xfrm>
                    <a:prstGeom prst="rect">
                      <a:avLst/>
                    </a:prstGeom>
                    <a:noFill/>
                    <a:ln>
                      <a:noFill/>
                    </a:ln>
                  </pic:spPr>
                </pic:pic>
              </a:graphicData>
            </a:graphic>
          </wp:inline>
        </w:drawing>
      </w:r>
    </w:p>
    <w:p w14:paraId="2674BF77" w14:textId="0A2AC779" w:rsidR="00555CC6" w:rsidRPr="00196019" w:rsidRDefault="00555CC6" w:rsidP="00922E04">
      <w:pPr>
        <w:spacing w:line="360" w:lineRule="auto"/>
        <w:rPr>
          <w:rFonts w:asciiTheme="minorHAnsi" w:hAnsiTheme="minorHAnsi" w:cstheme="minorHAnsi"/>
          <w:lang w:val="en-AU"/>
        </w:rPr>
      </w:pPr>
      <w:r>
        <w:rPr>
          <w:rFonts w:asciiTheme="minorHAnsi" w:hAnsiTheme="minorHAnsi" w:cstheme="minorHAnsi"/>
          <w:b/>
          <w:bCs/>
          <w:lang w:val="en-AU"/>
        </w:rPr>
        <w:t xml:space="preserve">Figure </w:t>
      </w:r>
      <w:r w:rsidR="006E4947">
        <w:rPr>
          <w:rFonts w:asciiTheme="minorHAnsi" w:hAnsiTheme="minorHAnsi" w:cstheme="minorHAnsi"/>
          <w:b/>
          <w:bCs/>
          <w:lang w:val="en-AU"/>
        </w:rPr>
        <w:t>S11</w:t>
      </w:r>
      <w:r>
        <w:rPr>
          <w:rFonts w:asciiTheme="minorHAnsi" w:hAnsiTheme="minorHAnsi" w:cstheme="minorHAnsi"/>
          <w:b/>
          <w:bCs/>
          <w:lang w:val="en-AU"/>
        </w:rPr>
        <w:t xml:space="preserve"> </w:t>
      </w:r>
      <w:r>
        <w:rPr>
          <w:rFonts w:asciiTheme="minorHAnsi" w:hAnsiTheme="minorHAnsi" w:cstheme="minorHAnsi"/>
          <w:lang w:val="en-AU"/>
        </w:rPr>
        <w:t xml:space="preserve">Cross-shelf interpolations of Chlorophyll </w:t>
      </w:r>
      <w:r>
        <w:rPr>
          <w:rFonts w:asciiTheme="minorHAnsi" w:hAnsiTheme="minorHAnsi" w:cstheme="minorHAnsi"/>
          <w:i/>
          <w:iCs/>
          <w:lang w:val="en-AU"/>
        </w:rPr>
        <w:t>a</w:t>
      </w:r>
      <w:r>
        <w:rPr>
          <w:rFonts w:asciiTheme="minorHAnsi" w:hAnsiTheme="minorHAnsi" w:cstheme="minorHAnsi"/>
          <w:lang w:val="en-AU"/>
        </w:rPr>
        <w:t xml:space="preserve"> concentration (mg m</w:t>
      </w:r>
      <w:r w:rsidRPr="00196019">
        <w:rPr>
          <w:rFonts w:asciiTheme="minorHAnsi" w:hAnsiTheme="minorHAnsi" w:cstheme="minorHAnsi"/>
          <w:vertAlign w:val="superscript"/>
          <w:lang w:val="en-AU"/>
        </w:rPr>
        <w:t>-3</w:t>
      </w:r>
      <w:r>
        <w:rPr>
          <w:rFonts w:asciiTheme="minorHAnsi" w:hAnsiTheme="minorHAnsi" w:cstheme="minorHAnsi"/>
          <w:lang w:val="en-AU"/>
        </w:rPr>
        <w:t>). Measurements were taken as part of a CTD transect (data points shown as dots). Black lines connect areas of equal temperature (°C).</w:t>
      </w:r>
    </w:p>
    <w:p w14:paraId="6210A56E" w14:textId="77777777" w:rsidR="00555CC6" w:rsidRDefault="00555CC6" w:rsidP="00922E04">
      <w:pPr>
        <w:spacing w:line="360" w:lineRule="auto"/>
        <w:rPr>
          <w:rFonts w:asciiTheme="minorHAnsi" w:hAnsiTheme="minorHAnsi" w:cstheme="minorHAnsi"/>
          <w:b/>
          <w:bCs/>
          <w:lang w:val="en-AU"/>
        </w:rPr>
      </w:pPr>
    </w:p>
    <w:p w14:paraId="6DA3DDD4" w14:textId="77777777" w:rsidR="009A2AF3" w:rsidRDefault="009A2AF3" w:rsidP="00922E04">
      <w:pPr>
        <w:spacing w:line="360" w:lineRule="auto"/>
        <w:rPr>
          <w:rFonts w:asciiTheme="minorHAnsi" w:hAnsiTheme="minorHAnsi" w:cstheme="minorHAnsi"/>
          <w:b/>
          <w:bCs/>
          <w:lang w:val="en-AU"/>
        </w:rPr>
      </w:pPr>
    </w:p>
    <w:p w14:paraId="786C7585" w14:textId="787548C0" w:rsidR="00A027D2" w:rsidRDefault="00392ED7" w:rsidP="00A027D2">
      <w:pPr>
        <w:spacing w:line="360" w:lineRule="auto"/>
        <w:rPr>
          <w:rFonts w:asciiTheme="minorHAnsi" w:hAnsiTheme="minorHAnsi" w:cstheme="minorHAnsi"/>
          <w:b/>
          <w:bCs/>
          <w:lang w:val="en-AU"/>
        </w:rPr>
      </w:pPr>
      <w:r>
        <w:rPr>
          <w:rFonts w:asciiTheme="minorHAnsi" w:hAnsiTheme="minorHAnsi" w:cstheme="minorHAnsi"/>
          <w:b/>
          <w:bCs/>
          <w:noProof/>
          <w:lang w:val="en-AU"/>
        </w:rPr>
        <w:lastRenderedPageBreak/>
        <w:drawing>
          <wp:inline distT="0" distB="0" distL="0" distR="0" wp14:anchorId="7A7E78C4" wp14:editId="382B840A">
            <wp:extent cx="5723890" cy="66859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6685915"/>
                    </a:xfrm>
                    <a:prstGeom prst="rect">
                      <a:avLst/>
                    </a:prstGeom>
                    <a:noFill/>
                    <a:ln>
                      <a:noFill/>
                    </a:ln>
                  </pic:spPr>
                </pic:pic>
              </a:graphicData>
            </a:graphic>
          </wp:inline>
        </w:drawing>
      </w:r>
    </w:p>
    <w:p w14:paraId="73E56C72" w14:textId="77777777" w:rsidR="00A027D2" w:rsidRDefault="00A027D2" w:rsidP="00A027D2">
      <w:pPr>
        <w:spacing w:line="360" w:lineRule="auto"/>
        <w:rPr>
          <w:rFonts w:asciiTheme="minorHAnsi" w:hAnsiTheme="minorHAnsi" w:cstheme="minorHAnsi"/>
          <w:b/>
          <w:bCs/>
          <w:lang w:val="en-AU"/>
        </w:rPr>
      </w:pPr>
    </w:p>
    <w:p w14:paraId="437E3871" w14:textId="2BBADD43" w:rsidR="00A027D2" w:rsidRPr="00300F08" w:rsidRDefault="00A027D2" w:rsidP="00A027D2">
      <w:pPr>
        <w:spacing w:line="360" w:lineRule="auto"/>
        <w:rPr>
          <w:rFonts w:asciiTheme="minorHAnsi" w:hAnsiTheme="minorHAnsi" w:cstheme="minorHAnsi"/>
          <w:lang w:val="en-AU"/>
        </w:rPr>
      </w:pPr>
      <w:r>
        <w:rPr>
          <w:rFonts w:asciiTheme="minorHAnsi" w:hAnsiTheme="minorHAnsi" w:cstheme="minorHAnsi"/>
          <w:b/>
          <w:bCs/>
          <w:lang w:val="en-AU"/>
        </w:rPr>
        <w:t xml:space="preserve">Figure S12 </w:t>
      </w:r>
      <w:r>
        <w:rPr>
          <w:rFonts w:asciiTheme="minorHAnsi" w:hAnsiTheme="minorHAnsi" w:cstheme="minorHAnsi"/>
          <w:lang w:val="en-AU"/>
        </w:rPr>
        <w:t xml:space="preserve">Cross-shelf interpolations of silicate </w:t>
      </w:r>
      <w:r w:rsidRPr="000A5D04">
        <w:rPr>
          <w:rFonts w:asciiTheme="minorHAnsi" w:hAnsiTheme="minorHAnsi" w:cstheme="minorHAnsi"/>
          <w:lang w:val="en-AU"/>
        </w:rPr>
        <w:t xml:space="preserve">concentration </w:t>
      </w:r>
      <w:r w:rsidRPr="00196019">
        <w:rPr>
          <w:rFonts w:asciiTheme="minorHAnsi" w:hAnsiTheme="minorHAnsi" w:cstheme="minorHAnsi"/>
          <w:lang w:val="en-AU"/>
        </w:rPr>
        <w:t>(</w:t>
      </w:r>
      <w:r w:rsidR="00462636" w:rsidRPr="00196019">
        <w:rPr>
          <w:rFonts w:asciiTheme="minorHAnsi" w:hAnsiTheme="minorHAnsi" w:cstheme="minorHAnsi"/>
          <w:lang w:val="en-AU"/>
        </w:rPr>
        <w:t>mmol</w:t>
      </w:r>
      <w:r w:rsidRPr="00196019">
        <w:rPr>
          <w:rFonts w:asciiTheme="minorHAnsi" w:hAnsiTheme="minorHAnsi" w:cstheme="minorHAnsi"/>
          <w:lang w:val="en-AU"/>
        </w:rPr>
        <w:t xml:space="preserve"> m</w:t>
      </w:r>
      <w:r w:rsidRPr="00196019">
        <w:rPr>
          <w:rFonts w:asciiTheme="minorHAnsi" w:hAnsiTheme="minorHAnsi" w:cstheme="minorHAnsi"/>
          <w:vertAlign w:val="superscript"/>
          <w:lang w:val="en-AU"/>
        </w:rPr>
        <w:t>-3</w:t>
      </w:r>
      <w:r w:rsidRPr="00196019">
        <w:rPr>
          <w:rFonts w:asciiTheme="minorHAnsi" w:hAnsiTheme="minorHAnsi" w:cstheme="minorHAnsi"/>
          <w:lang w:val="en-AU"/>
        </w:rPr>
        <w:t>).</w:t>
      </w:r>
      <w:r w:rsidRPr="000A5D04">
        <w:rPr>
          <w:rFonts w:asciiTheme="minorHAnsi" w:hAnsiTheme="minorHAnsi" w:cstheme="minorHAnsi"/>
          <w:lang w:val="en-AU"/>
        </w:rPr>
        <w:t xml:space="preserve"> Measurements were taken as part of a CTD transect (data points shown as dots). Black lines</w:t>
      </w:r>
      <w:r>
        <w:rPr>
          <w:rFonts w:asciiTheme="minorHAnsi" w:hAnsiTheme="minorHAnsi" w:cstheme="minorHAnsi"/>
          <w:lang w:val="en-AU"/>
        </w:rPr>
        <w:t xml:space="preserve"> connect areas of equal temperature (°C).</w:t>
      </w:r>
    </w:p>
    <w:p w14:paraId="0EDBF4F6" w14:textId="77777777" w:rsidR="009A2AF3" w:rsidRDefault="009A2AF3" w:rsidP="00922E04">
      <w:pPr>
        <w:spacing w:line="360" w:lineRule="auto"/>
        <w:rPr>
          <w:rFonts w:asciiTheme="minorHAnsi" w:hAnsiTheme="minorHAnsi" w:cstheme="minorHAnsi"/>
          <w:b/>
          <w:bCs/>
          <w:lang w:val="en-AU"/>
        </w:rPr>
      </w:pPr>
    </w:p>
    <w:p w14:paraId="720EAC82" w14:textId="466C8D00" w:rsidR="009A2AF3" w:rsidRDefault="00ED585C" w:rsidP="00922E04">
      <w:pPr>
        <w:spacing w:line="360" w:lineRule="auto"/>
        <w:rPr>
          <w:rFonts w:asciiTheme="minorHAnsi" w:hAnsiTheme="minorHAnsi" w:cstheme="minorHAnsi"/>
          <w:b/>
          <w:bCs/>
          <w:noProof/>
          <w:lang w:val="en-AU"/>
        </w:rPr>
      </w:pPr>
      <w:r>
        <w:rPr>
          <w:rFonts w:asciiTheme="minorHAnsi" w:hAnsiTheme="minorHAnsi" w:cstheme="minorHAnsi"/>
          <w:b/>
          <w:bCs/>
          <w:noProof/>
          <w:lang w:val="en-AU"/>
        </w:rPr>
        <w:lastRenderedPageBreak/>
        <w:drawing>
          <wp:inline distT="0" distB="0" distL="0" distR="0" wp14:anchorId="17C90DA4" wp14:editId="0277BBCE">
            <wp:extent cx="5723890" cy="6685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6685915"/>
                    </a:xfrm>
                    <a:prstGeom prst="rect">
                      <a:avLst/>
                    </a:prstGeom>
                    <a:noFill/>
                    <a:ln>
                      <a:noFill/>
                    </a:ln>
                  </pic:spPr>
                </pic:pic>
              </a:graphicData>
            </a:graphic>
          </wp:inline>
        </w:drawing>
      </w:r>
    </w:p>
    <w:p w14:paraId="7CAA7FC7" w14:textId="5011D95E" w:rsidR="009A2AF3" w:rsidRPr="00196019" w:rsidRDefault="009A2AF3" w:rsidP="00196019">
      <w:pPr>
        <w:rPr>
          <w:rFonts w:asciiTheme="minorHAnsi" w:hAnsiTheme="minorHAnsi" w:cstheme="minorHAnsi"/>
          <w:lang w:val="en-AU"/>
        </w:rPr>
      </w:pPr>
    </w:p>
    <w:p w14:paraId="316B2612" w14:textId="76A052F5" w:rsidR="009A2AF3" w:rsidRDefault="009A2AF3" w:rsidP="009A2AF3">
      <w:pPr>
        <w:rPr>
          <w:rFonts w:asciiTheme="minorHAnsi" w:hAnsiTheme="minorHAnsi" w:cstheme="minorHAnsi"/>
          <w:b/>
          <w:bCs/>
          <w:noProof/>
          <w:lang w:val="en-AU"/>
        </w:rPr>
      </w:pPr>
    </w:p>
    <w:p w14:paraId="0A992CF0" w14:textId="72997E4E" w:rsidR="009A2AF3" w:rsidRPr="00300F08" w:rsidRDefault="009A2AF3" w:rsidP="009A2AF3">
      <w:pPr>
        <w:spacing w:line="360" w:lineRule="auto"/>
        <w:rPr>
          <w:rFonts w:asciiTheme="minorHAnsi" w:hAnsiTheme="minorHAnsi" w:cstheme="minorHAnsi"/>
          <w:lang w:val="en-AU"/>
        </w:rPr>
      </w:pPr>
      <w:r>
        <w:rPr>
          <w:rFonts w:asciiTheme="minorHAnsi" w:hAnsiTheme="minorHAnsi" w:cstheme="minorHAnsi"/>
          <w:b/>
          <w:bCs/>
          <w:lang w:val="en-AU"/>
        </w:rPr>
        <w:t xml:space="preserve">Figure </w:t>
      </w:r>
      <w:r w:rsidR="003D7082">
        <w:rPr>
          <w:rFonts w:asciiTheme="minorHAnsi" w:hAnsiTheme="minorHAnsi" w:cstheme="minorHAnsi"/>
          <w:b/>
          <w:bCs/>
          <w:lang w:val="en-AU"/>
        </w:rPr>
        <w:t>S13</w:t>
      </w:r>
      <w:r>
        <w:rPr>
          <w:rFonts w:asciiTheme="minorHAnsi" w:hAnsiTheme="minorHAnsi" w:cstheme="minorHAnsi"/>
          <w:b/>
          <w:bCs/>
          <w:lang w:val="en-AU"/>
        </w:rPr>
        <w:t xml:space="preserve"> </w:t>
      </w:r>
      <w:r>
        <w:rPr>
          <w:rFonts w:asciiTheme="minorHAnsi" w:hAnsiTheme="minorHAnsi" w:cstheme="minorHAnsi"/>
          <w:lang w:val="en-AU"/>
        </w:rPr>
        <w:t xml:space="preserve">Cross-shelf interpolations of dissolved oxygen </w:t>
      </w:r>
      <w:r w:rsidRPr="000A5D04">
        <w:rPr>
          <w:rFonts w:asciiTheme="minorHAnsi" w:hAnsiTheme="minorHAnsi" w:cstheme="minorHAnsi"/>
          <w:lang w:val="en-AU"/>
        </w:rPr>
        <w:t>concentration (m</w:t>
      </w:r>
      <w:r w:rsidR="00E143C5" w:rsidRPr="00196019">
        <w:rPr>
          <w:rFonts w:asciiTheme="minorHAnsi" w:hAnsiTheme="minorHAnsi" w:cstheme="minorHAnsi"/>
          <w:lang w:val="en-AU"/>
        </w:rPr>
        <w:t>mol</w:t>
      </w:r>
      <w:r w:rsidRPr="000A5D04">
        <w:rPr>
          <w:rFonts w:asciiTheme="minorHAnsi" w:hAnsiTheme="minorHAnsi" w:cstheme="minorHAnsi"/>
          <w:lang w:val="en-AU"/>
        </w:rPr>
        <w:t xml:space="preserve"> m</w:t>
      </w:r>
      <w:r w:rsidRPr="00196019">
        <w:rPr>
          <w:rFonts w:asciiTheme="minorHAnsi" w:hAnsiTheme="minorHAnsi" w:cstheme="minorHAnsi"/>
          <w:vertAlign w:val="superscript"/>
          <w:lang w:val="en-AU"/>
        </w:rPr>
        <w:t>-3</w:t>
      </w:r>
      <w:r w:rsidRPr="000A5D04">
        <w:rPr>
          <w:rFonts w:asciiTheme="minorHAnsi" w:hAnsiTheme="minorHAnsi" w:cstheme="minorHAnsi"/>
          <w:lang w:val="en-AU"/>
        </w:rPr>
        <w:t>).</w:t>
      </w:r>
      <w:r>
        <w:rPr>
          <w:rFonts w:asciiTheme="minorHAnsi" w:hAnsiTheme="minorHAnsi" w:cstheme="minorHAnsi"/>
          <w:lang w:val="en-AU"/>
        </w:rPr>
        <w:t xml:space="preserve"> Measurements were taken as part of a CTD transect (data points shown as dots). Black lines connect areas of equal temperature (°C).</w:t>
      </w:r>
    </w:p>
    <w:p w14:paraId="7F9B79B6" w14:textId="77777777" w:rsidR="009A2AF3" w:rsidRPr="00196019" w:rsidRDefault="009A2AF3" w:rsidP="00196019">
      <w:pPr>
        <w:rPr>
          <w:rFonts w:asciiTheme="minorHAnsi" w:hAnsiTheme="minorHAnsi" w:cstheme="minorHAnsi"/>
          <w:lang w:val="en-AU"/>
        </w:rPr>
      </w:pPr>
    </w:p>
    <w:p w14:paraId="3979CD37" w14:textId="77777777" w:rsidR="009A2AF3" w:rsidRDefault="009A2AF3" w:rsidP="00922E04">
      <w:pPr>
        <w:spacing w:line="360" w:lineRule="auto"/>
        <w:rPr>
          <w:rFonts w:asciiTheme="minorHAnsi" w:hAnsiTheme="minorHAnsi" w:cstheme="minorHAnsi"/>
          <w:b/>
          <w:bCs/>
          <w:lang w:val="en-AU"/>
        </w:rPr>
      </w:pPr>
    </w:p>
    <w:p w14:paraId="46FCA9EC" w14:textId="77777777" w:rsidR="009A2AF3" w:rsidRDefault="009A2AF3" w:rsidP="009A2AF3">
      <w:pPr>
        <w:rPr>
          <w:rFonts w:asciiTheme="minorHAnsi" w:hAnsiTheme="minorHAnsi" w:cstheme="minorHAnsi"/>
          <w:b/>
          <w:bCs/>
          <w:noProof/>
          <w:lang w:val="en-AU"/>
        </w:rPr>
      </w:pPr>
    </w:p>
    <w:p w14:paraId="6D59A6C8" w14:textId="040F0C9C" w:rsidR="002C7DF0" w:rsidRPr="00196019" w:rsidRDefault="002C7DF0" w:rsidP="00196019">
      <w:pPr>
        <w:rPr>
          <w:rFonts w:asciiTheme="minorHAnsi" w:hAnsiTheme="minorHAnsi" w:cstheme="minorHAnsi"/>
          <w:lang w:val="en-AU"/>
        </w:rPr>
        <w:sectPr w:rsidR="002C7DF0" w:rsidRPr="00196019">
          <w:footerReference w:type="default" r:id="rId19"/>
          <w:headerReference w:type="first" r:id="rId20"/>
          <w:pgSz w:w="11906" w:h="16838"/>
          <w:pgMar w:top="1440" w:right="1440" w:bottom="1440" w:left="1440" w:header="708" w:footer="708" w:gutter="0"/>
          <w:cols w:space="708"/>
          <w:docGrid w:linePitch="360"/>
        </w:sectPr>
      </w:pPr>
    </w:p>
    <w:p w14:paraId="2A578DB5" w14:textId="2ABD4F51" w:rsidR="00922E04" w:rsidRPr="00CF6D2A" w:rsidRDefault="00922E04" w:rsidP="00922E04">
      <w:pPr>
        <w:rPr>
          <w:rFonts w:asciiTheme="minorHAnsi" w:hAnsiTheme="minorHAnsi" w:cstheme="minorHAnsi"/>
          <w:lang w:val="en-AU"/>
        </w:rPr>
      </w:pPr>
      <w:r w:rsidRPr="00EC3B99">
        <w:rPr>
          <w:rFonts w:asciiTheme="minorHAnsi" w:hAnsiTheme="minorHAnsi" w:cstheme="minorHAnsi"/>
          <w:b/>
          <w:bCs/>
          <w:lang w:val="en-AU"/>
        </w:rPr>
        <w:lastRenderedPageBreak/>
        <w:t>Table S1</w:t>
      </w:r>
      <w:r>
        <w:rPr>
          <w:rFonts w:asciiTheme="minorHAnsi" w:hAnsiTheme="minorHAnsi" w:cstheme="minorHAnsi"/>
          <w:b/>
          <w:bCs/>
          <w:lang w:val="en-AU"/>
        </w:rPr>
        <w:t xml:space="preserve"> </w:t>
      </w:r>
      <w:r>
        <w:rPr>
          <w:rFonts w:asciiTheme="minorHAnsi" w:hAnsiTheme="minorHAnsi" w:cstheme="minorHAnsi"/>
          <w:lang w:val="en-AU"/>
        </w:rPr>
        <w:t>Details of the additional studies used in the global summary of inshore-offshore zooplankton patterns.</w:t>
      </w:r>
      <w:r w:rsidRPr="00EC3B99">
        <w:rPr>
          <w:rFonts w:asciiTheme="minorHAnsi" w:hAnsiTheme="minorHAnsi" w:cstheme="minorHAnsi"/>
          <w:b/>
          <w:bCs/>
          <w:lang w:val="en-AU"/>
        </w:rPr>
        <w:t xml:space="preserve"> </w:t>
      </w:r>
      <w:r>
        <w:rPr>
          <w:rFonts w:asciiTheme="minorHAnsi" w:hAnsiTheme="minorHAnsi" w:cstheme="minorHAnsi"/>
          <w:lang w:val="en-AU"/>
        </w:rPr>
        <w:t>Empty cells represent no data.</w:t>
      </w:r>
    </w:p>
    <w:tbl>
      <w:tblPr>
        <w:tblW w:w="15877" w:type="dxa"/>
        <w:tblInd w:w="-714" w:type="dxa"/>
        <w:tblBorders>
          <w:top w:val="single" w:sz="4" w:space="0" w:color="auto"/>
          <w:bottom w:val="single" w:sz="4" w:space="0" w:color="auto"/>
        </w:tblBorders>
        <w:tblLayout w:type="fixed"/>
        <w:tblLook w:val="04A0" w:firstRow="1" w:lastRow="0" w:firstColumn="1" w:lastColumn="0" w:noHBand="0" w:noVBand="1"/>
      </w:tblPr>
      <w:tblGrid>
        <w:gridCol w:w="1276"/>
        <w:gridCol w:w="1701"/>
        <w:gridCol w:w="1134"/>
        <w:gridCol w:w="1134"/>
        <w:gridCol w:w="993"/>
        <w:gridCol w:w="992"/>
        <w:gridCol w:w="992"/>
        <w:gridCol w:w="1276"/>
        <w:gridCol w:w="1276"/>
        <w:gridCol w:w="1275"/>
        <w:gridCol w:w="851"/>
        <w:gridCol w:w="992"/>
        <w:gridCol w:w="709"/>
        <w:gridCol w:w="1276"/>
      </w:tblGrid>
      <w:tr w:rsidR="00922E04" w:rsidRPr="00EC3B99" w14:paraId="54E025A1" w14:textId="77777777" w:rsidTr="00885394">
        <w:trPr>
          <w:trHeight w:val="300"/>
        </w:trPr>
        <w:tc>
          <w:tcPr>
            <w:tcW w:w="1276" w:type="dxa"/>
            <w:tcBorders>
              <w:top w:val="single" w:sz="4" w:space="0" w:color="auto"/>
              <w:bottom w:val="single" w:sz="4" w:space="0" w:color="auto"/>
            </w:tcBorders>
            <w:shd w:val="clear" w:color="auto" w:fill="auto"/>
            <w:noWrap/>
            <w:vAlign w:val="center"/>
            <w:hideMark/>
          </w:tcPr>
          <w:p w14:paraId="7BE42E6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Study</w:t>
            </w:r>
            <w:r>
              <w:rPr>
                <w:rFonts w:ascii="Calibri" w:eastAsia="Times New Roman" w:hAnsi="Calibri" w:cs="Calibri"/>
                <w:b/>
                <w:bCs/>
                <w:color w:val="000000"/>
                <w:sz w:val="20"/>
                <w:lang w:val="en-AU" w:eastAsia="en-AU"/>
              </w:rPr>
              <w:t xml:space="preserve"> (Fig 7 ref. #)</w:t>
            </w:r>
          </w:p>
        </w:tc>
        <w:tc>
          <w:tcPr>
            <w:tcW w:w="1701" w:type="dxa"/>
            <w:tcBorders>
              <w:top w:val="single" w:sz="4" w:space="0" w:color="auto"/>
              <w:bottom w:val="single" w:sz="4" w:space="0" w:color="auto"/>
            </w:tcBorders>
            <w:shd w:val="clear" w:color="auto" w:fill="auto"/>
            <w:noWrap/>
            <w:vAlign w:val="center"/>
            <w:hideMark/>
          </w:tcPr>
          <w:p w14:paraId="7BD4CA21"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Region</w:t>
            </w:r>
          </w:p>
        </w:tc>
        <w:tc>
          <w:tcPr>
            <w:tcW w:w="1134" w:type="dxa"/>
            <w:tcBorders>
              <w:top w:val="single" w:sz="4" w:space="0" w:color="auto"/>
              <w:bottom w:val="single" w:sz="4" w:space="0" w:color="auto"/>
            </w:tcBorders>
            <w:shd w:val="clear" w:color="auto" w:fill="auto"/>
            <w:noWrap/>
            <w:vAlign w:val="center"/>
            <w:hideMark/>
          </w:tcPr>
          <w:p w14:paraId="2D5B547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Latitude (°)</w:t>
            </w:r>
          </w:p>
        </w:tc>
        <w:tc>
          <w:tcPr>
            <w:tcW w:w="1134" w:type="dxa"/>
            <w:tcBorders>
              <w:top w:val="single" w:sz="4" w:space="0" w:color="auto"/>
              <w:bottom w:val="single" w:sz="4" w:space="0" w:color="auto"/>
            </w:tcBorders>
            <w:shd w:val="clear" w:color="auto" w:fill="auto"/>
            <w:noWrap/>
            <w:vAlign w:val="center"/>
            <w:hideMark/>
          </w:tcPr>
          <w:p w14:paraId="23C52D08"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Longitude (°)</w:t>
            </w:r>
          </w:p>
        </w:tc>
        <w:tc>
          <w:tcPr>
            <w:tcW w:w="993" w:type="dxa"/>
            <w:tcBorders>
              <w:top w:val="single" w:sz="4" w:space="0" w:color="auto"/>
              <w:bottom w:val="single" w:sz="4" w:space="0" w:color="auto"/>
            </w:tcBorders>
            <w:shd w:val="clear" w:color="auto" w:fill="auto"/>
            <w:noWrap/>
            <w:vAlign w:val="center"/>
            <w:hideMark/>
          </w:tcPr>
          <w:p w14:paraId="5E5D5BC7"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E96D34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B336F6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Biomass Ratio</w:t>
            </w:r>
          </w:p>
        </w:tc>
        <w:tc>
          <w:tcPr>
            <w:tcW w:w="1276" w:type="dxa"/>
            <w:tcBorders>
              <w:top w:val="single" w:sz="4" w:space="0" w:color="auto"/>
              <w:bottom w:val="single" w:sz="4" w:space="0" w:color="auto"/>
            </w:tcBorders>
            <w:shd w:val="clear" w:color="auto" w:fill="auto"/>
            <w:noWrap/>
            <w:vAlign w:val="center"/>
            <w:hideMark/>
          </w:tcPr>
          <w:p w14:paraId="3F44C55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Abundance (ind.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6" w:type="dxa"/>
            <w:tcBorders>
              <w:top w:val="single" w:sz="4" w:space="0" w:color="auto"/>
              <w:bottom w:val="single" w:sz="4" w:space="0" w:color="auto"/>
            </w:tcBorders>
            <w:shd w:val="clear" w:color="auto" w:fill="auto"/>
            <w:noWrap/>
            <w:vAlign w:val="center"/>
            <w:hideMark/>
          </w:tcPr>
          <w:p w14:paraId="4C54548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Abundance</w:t>
            </w:r>
          </w:p>
          <w:p w14:paraId="5A3CA84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5" w:type="dxa"/>
            <w:tcBorders>
              <w:top w:val="single" w:sz="4" w:space="0" w:color="auto"/>
              <w:bottom w:val="single" w:sz="4" w:space="0" w:color="auto"/>
            </w:tcBorders>
            <w:shd w:val="clear" w:color="auto" w:fill="auto"/>
            <w:noWrap/>
            <w:vAlign w:val="center"/>
            <w:hideMark/>
          </w:tcPr>
          <w:p w14:paraId="6410535A"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Abundance Ratio</w:t>
            </w:r>
          </w:p>
        </w:tc>
        <w:tc>
          <w:tcPr>
            <w:tcW w:w="851" w:type="dxa"/>
            <w:tcBorders>
              <w:top w:val="single" w:sz="4" w:space="0" w:color="auto"/>
              <w:bottom w:val="single" w:sz="4" w:space="0" w:color="auto"/>
            </w:tcBorders>
            <w:shd w:val="clear" w:color="auto" w:fill="auto"/>
            <w:noWrap/>
            <w:vAlign w:val="center"/>
            <w:hideMark/>
          </w:tcPr>
          <w:p w14:paraId="615AA04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NBSS Slope</w:t>
            </w:r>
          </w:p>
        </w:tc>
        <w:tc>
          <w:tcPr>
            <w:tcW w:w="992" w:type="dxa"/>
            <w:tcBorders>
              <w:top w:val="single" w:sz="4" w:space="0" w:color="auto"/>
              <w:bottom w:val="single" w:sz="4" w:space="0" w:color="auto"/>
            </w:tcBorders>
            <w:shd w:val="clear" w:color="auto" w:fill="auto"/>
            <w:noWrap/>
            <w:vAlign w:val="center"/>
            <w:hideMark/>
          </w:tcPr>
          <w:p w14:paraId="6CC486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NBSS Slope</w:t>
            </w:r>
          </w:p>
        </w:tc>
        <w:tc>
          <w:tcPr>
            <w:tcW w:w="709" w:type="dxa"/>
            <w:tcBorders>
              <w:top w:val="single" w:sz="4" w:space="0" w:color="auto"/>
              <w:bottom w:val="single" w:sz="4" w:space="0" w:color="auto"/>
            </w:tcBorders>
            <w:shd w:val="clear" w:color="auto" w:fill="auto"/>
            <w:noWrap/>
            <w:vAlign w:val="center"/>
            <w:hideMark/>
          </w:tcPr>
          <w:p w14:paraId="4A662FB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NBSS Slope Ratio</w:t>
            </w:r>
          </w:p>
        </w:tc>
        <w:tc>
          <w:tcPr>
            <w:tcW w:w="1276" w:type="dxa"/>
            <w:tcBorders>
              <w:top w:val="single" w:sz="4" w:space="0" w:color="auto"/>
              <w:bottom w:val="single" w:sz="4" w:space="0" w:color="auto"/>
            </w:tcBorders>
            <w:shd w:val="clear" w:color="auto" w:fill="auto"/>
            <w:noWrap/>
            <w:vAlign w:val="center"/>
            <w:hideMark/>
          </w:tcPr>
          <w:p w14:paraId="4D4115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Notes</w:t>
            </w:r>
          </w:p>
        </w:tc>
      </w:tr>
      <w:tr w:rsidR="00922E04" w:rsidRPr="00EC3B99" w14:paraId="0835F065" w14:textId="77777777" w:rsidTr="00885394">
        <w:trPr>
          <w:trHeight w:val="300"/>
        </w:trPr>
        <w:tc>
          <w:tcPr>
            <w:tcW w:w="1276" w:type="dxa"/>
            <w:tcBorders>
              <w:top w:val="single" w:sz="4" w:space="0" w:color="auto"/>
            </w:tcBorders>
            <w:shd w:val="clear" w:color="auto" w:fill="auto"/>
            <w:noWrap/>
            <w:vAlign w:val="center"/>
            <w:hideMark/>
          </w:tcPr>
          <w:p w14:paraId="36107751" w14:textId="16E3742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Becker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fH0XavtR","properties":{"formattedCitation":"(2018)","plainCitation":"(2018)","noteIndex":0},"citationItems":[{"id":360,"uris":["http://zotero.org/users/local/U6DoygBa/items/6759INYT"],"uri":["http://zotero.org/users/local/U6DoygBa/items/6759INYT"],"itemData":{"id":360,"type":"article-journal","abstract":"Zooplankton in shelf waters is dominated by a highly diverse assemblage of copepods, followed by a variety of organisms sorted according to the environmental conditions. Epipelagic copepod, chaetognath and cladoceran species assemblages in the upper 100 m layer, together with mesozooplankton major groups were characterized in relation to dynamics of the water masses in the subtropical domain of the Brazilian shelf. Water samples for nutrients and chlorophyll, measurements of temperature, salinity and fluorescence (Rosette/CTD) and zooplankton samples were collected in four transects (26°S to 29°S), ~ 250 km long, across the shelf, during early summer. Intrusions of the cold South Atlantic Central Water (~ 15 m) was evidenced by the large abundance (&gt; 3000 ind.m -3 ) of the small copepod Oncaea venusta , highlighting the role of small omnivorous copepods in the coastal upwelling at ~ 26°S. Low-salinity waters (&lt; 34.5) were observed up to 120 km off the bay area at ~ 29°S, together with a high abundance of Temora turbinata . At the slope, the dominance of the Tropical Water increased the prevalence of Clausocalanus furcatus . The chaetognath Flaccisagitta enflata and the cladoceran Penilia avirostris in the inner shelf and the cladoceran Evadne spinifera in the outer shelf were also dominant species in the area. Zooplankton assemblages were related to different oceanographic scenarios, associated with coastal upwelling, coastal and estuarine plumes, shelf and slope areas. These assemblages were mainly comprised of epipelagic and tropical species; however, the recurrent presence of copepod, cladoceran and chaetognath cold-water species reinforced the transitional character of the area. In addition, there was a clear cross-shelf gradient, with an increasing contribution of large copepods, siphonophores, salps and euphausiids toward the ocean. The characteristic tropical species assemblages emphasise the dominant role of small metazoans in the pelagic food webs driven by the dynamics of the water masses. The species assemblages also established the species distribution baseline in the subtropical Brazilian shelf. [ABSTRACT FROM AUTHOR]\nCopyright of Continental Shelf Research is the property of Pergamon Press - An Imprint of Elsevier Science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Abstracts.)","container-title":"Continental Shelf Research","DOI":"10.1016/j.csr.2018.06.011","ISSN":"02784343","journalAbbreviation":"Cont. Shelf Res.","page":"10-21","source":"eih","title":"Mesozooplankton distribution, especially copepods, according to water masses dynamics in the upper layer of the Southwestern Atlantic shelf (26°S to 29°S)","volume":"166","author":[{"family":"Becker","given":"Érica Caroline"},{"family":"Eiras Garcia","given":"Carlos Alberto"},{"family":"Freire","given":"Andrea Santarosa"}],"issued":{"date-parts":[["2018"]]}},"suppress-author":true}],"schema":"https://github.com/citation-style-language/schema/raw/master/csl-citation.json"}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(#1)</w:t>
            </w:r>
          </w:p>
        </w:tc>
        <w:tc>
          <w:tcPr>
            <w:tcW w:w="1701" w:type="dxa"/>
            <w:tcBorders>
              <w:top w:val="single" w:sz="4" w:space="0" w:color="auto"/>
            </w:tcBorders>
            <w:shd w:val="clear" w:color="auto" w:fill="auto"/>
            <w:noWrap/>
            <w:vAlign w:val="center"/>
            <w:hideMark/>
          </w:tcPr>
          <w:p w14:paraId="30BE327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 Santa Catarina shelf</w:t>
            </w:r>
          </w:p>
        </w:tc>
        <w:tc>
          <w:tcPr>
            <w:tcW w:w="1134" w:type="dxa"/>
            <w:tcBorders>
              <w:top w:val="single" w:sz="4" w:space="0" w:color="auto"/>
            </w:tcBorders>
            <w:shd w:val="clear" w:color="auto" w:fill="auto"/>
            <w:noWrap/>
            <w:vAlign w:val="center"/>
            <w:hideMark/>
          </w:tcPr>
          <w:p w14:paraId="0BA404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w:t>
            </w:r>
          </w:p>
        </w:tc>
        <w:tc>
          <w:tcPr>
            <w:tcW w:w="1134" w:type="dxa"/>
            <w:tcBorders>
              <w:top w:val="single" w:sz="4" w:space="0" w:color="auto"/>
            </w:tcBorders>
            <w:shd w:val="clear" w:color="auto" w:fill="auto"/>
            <w:noWrap/>
            <w:vAlign w:val="center"/>
            <w:hideMark/>
          </w:tcPr>
          <w:p w14:paraId="2E4714A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-47.5</w:t>
            </w:r>
          </w:p>
        </w:tc>
        <w:tc>
          <w:tcPr>
            <w:tcW w:w="993" w:type="dxa"/>
            <w:tcBorders>
              <w:top w:val="single" w:sz="4" w:space="0" w:color="auto"/>
            </w:tcBorders>
            <w:shd w:val="clear" w:color="auto" w:fill="auto"/>
            <w:noWrap/>
            <w:vAlign w:val="center"/>
            <w:hideMark/>
          </w:tcPr>
          <w:p w14:paraId="77F1555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0062D2CE" w14:textId="77777777" w:rsidR="00922E04" w:rsidRPr="00EC3B99" w:rsidRDefault="00922E04" w:rsidP="00922E04">
            <w:pPr>
              <w:jc w:val="center"/>
              <w:rPr>
                <w:rFonts w:eastAsia="Times New Roman"/>
                <w:sz w:val="20"/>
                <w:lang w:val="en-AU" w:eastAsia="en-AU"/>
              </w:rPr>
            </w:pPr>
          </w:p>
        </w:tc>
        <w:tc>
          <w:tcPr>
            <w:tcW w:w="992" w:type="dxa"/>
            <w:tcBorders>
              <w:top w:val="single" w:sz="4" w:space="0" w:color="auto"/>
            </w:tcBorders>
            <w:shd w:val="clear" w:color="auto" w:fill="auto"/>
            <w:noWrap/>
            <w:vAlign w:val="center"/>
            <w:hideMark/>
          </w:tcPr>
          <w:p w14:paraId="6A3DDC4F"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239BAB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2406</w:t>
            </w:r>
          </w:p>
        </w:tc>
        <w:tc>
          <w:tcPr>
            <w:tcW w:w="1276" w:type="dxa"/>
            <w:tcBorders>
              <w:top w:val="single" w:sz="4" w:space="0" w:color="auto"/>
            </w:tcBorders>
            <w:shd w:val="clear" w:color="auto" w:fill="auto"/>
            <w:noWrap/>
            <w:vAlign w:val="center"/>
            <w:hideMark/>
          </w:tcPr>
          <w:p w14:paraId="5BBDA61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580</w:t>
            </w:r>
          </w:p>
        </w:tc>
        <w:tc>
          <w:tcPr>
            <w:tcW w:w="1275" w:type="dxa"/>
            <w:tcBorders>
              <w:top w:val="single" w:sz="4" w:space="0" w:color="auto"/>
            </w:tcBorders>
            <w:shd w:val="clear" w:color="auto" w:fill="auto"/>
            <w:noWrap/>
            <w:vAlign w:val="center"/>
            <w:hideMark/>
          </w:tcPr>
          <w:p w14:paraId="1598F0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4.1</w:t>
            </w:r>
            <w:r>
              <w:rPr>
                <w:rFonts w:ascii="Calibri" w:eastAsia="Times New Roman" w:hAnsi="Calibri" w:cs="Calibri"/>
                <w:color w:val="000000"/>
                <w:sz w:val="20"/>
                <w:lang w:val="en-AU" w:eastAsia="en-AU"/>
              </w:rPr>
              <w:t>5</w:t>
            </w:r>
          </w:p>
        </w:tc>
        <w:tc>
          <w:tcPr>
            <w:tcW w:w="851" w:type="dxa"/>
            <w:tcBorders>
              <w:top w:val="single" w:sz="4" w:space="0" w:color="auto"/>
            </w:tcBorders>
            <w:shd w:val="clear" w:color="auto" w:fill="auto"/>
            <w:noWrap/>
            <w:vAlign w:val="center"/>
            <w:hideMark/>
          </w:tcPr>
          <w:p w14:paraId="2748C705"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2E07D200" w14:textId="77777777" w:rsidR="00922E04" w:rsidRPr="00EC3B99" w:rsidRDefault="00922E04" w:rsidP="00922E04">
            <w:pPr>
              <w:jc w:val="center"/>
              <w:rPr>
                <w:rFonts w:eastAsia="Times New Roman"/>
                <w:sz w:val="20"/>
                <w:lang w:val="en-AU" w:eastAsia="en-AU"/>
              </w:rPr>
            </w:pPr>
          </w:p>
        </w:tc>
        <w:tc>
          <w:tcPr>
            <w:tcW w:w="709" w:type="dxa"/>
            <w:tcBorders>
              <w:top w:val="single" w:sz="4" w:space="0" w:color="auto"/>
            </w:tcBorders>
            <w:shd w:val="clear" w:color="auto" w:fill="auto"/>
            <w:noWrap/>
            <w:vAlign w:val="center"/>
            <w:hideMark/>
          </w:tcPr>
          <w:p w14:paraId="7D1012E7"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CB21E01" w14:textId="77777777" w:rsidR="00922E04" w:rsidRPr="00EC3B99" w:rsidRDefault="00922E04" w:rsidP="00922E04">
            <w:pPr>
              <w:jc w:val="center"/>
              <w:rPr>
                <w:rFonts w:eastAsia="Times New Roman"/>
                <w:sz w:val="20"/>
                <w:lang w:val="en-AU" w:eastAsia="en-AU"/>
              </w:rPr>
            </w:pPr>
          </w:p>
        </w:tc>
      </w:tr>
      <w:tr w:rsidR="00922E04" w:rsidRPr="00EC3B99" w14:paraId="5B5BBCEB" w14:textId="77777777" w:rsidTr="00885394">
        <w:trPr>
          <w:trHeight w:val="300"/>
        </w:trPr>
        <w:tc>
          <w:tcPr>
            <w:tcW w:w="1276" w:type="dxa"/>
            <w:shd w:val="clear" w:color="auto" w:fill="auto"/>
            <w:noWrap/>
            <w:vAlign w:val="center"/>
            <w:hideMark/>
          </w:tcPr>
          <w:p w14:paraId="1854190D" w14:textId="10D2089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Beckley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ixFgSk2","properties":{"formattedCitation":"(2018)","plainCitation":"(2018)","noteIndex":0},"citationItems":[{"id":365,"uris":["http://zotero.org/users/local/U6DoygBa/items/26NYC59A"],"uri":["http://zotero.org/users/local/U6DoygBa/items/26NYC59A"],"itemData":{"id":365,"type":"article-journal","abstract":"In the eastern Indian Ocean, the Kimberley region off north-western Australia is characterised by a wide continental shelf, complex coastal topography and very large tides (&gt;10 m). Diversity of fishes is high although little is known about the distribution of their larvae in this dynamic region. This study investigated spatial variation in ichthyoplankton assemblages along four coastal-oceanic transects and related the results to tidal cycles and other environmental variables. Larvae representing 92 neritic and 21 mesopelagic teleost families were collected; this far exceeds the diversity described for other comparable tropical continental shelf and oceanic systems. Distinct ichthyoplankton assemblages characterised inner shelf (Engraulidae and Gobiidae were dominant families), outer shelf / slope (mixed neritic and mesopelagic taxa) and oceanic waters (mesopelagic taxa, particularly Myctophidae, Gonostomatidae and Phosichthyidae), and were correlated with changes in environmental variables (water depth, seawater density, mixed layer depth and zooplankton). The spring-neap tidal cycle and subsequent tides (same stations sampled 12 h apart) had no significant influence on larval fish assemblages. Coastal waters were delineated by a density front and larval fish assemblages were significantly different from offshore assemblages. This study provides new insights into the pelagic ecosystem in the tropical eastern Indian Ocean and contributes to the understanding of the role of environmental variables and physical forcing in the structuring of larval fish assemblages.","container-title":"Deep Sea Research Part II: Topical Studies in Oceanography","DOI":"https://doi.org/10.1016/j.dsr2.2018.03.008","ISSN":"0967-0645","title":"Structuring of larval fish assemblages along a coastal-oceanic gradient in the macro-tidal, tropical Eastern Indian Ocean","author":[{"family":"Beckley","given":"L. E."},{"family":"Holliday","given":"D."},{"family":"Sutton","given":"A. L."},{"family":"Weller","given":"E."},{"family":"Olivar","given":"M. P."},{"family":"Thompson","given":"P. A."}],"issued":{"date-parts":[["2018",3,19]]}},"suppress-author":true}],"schema":"https://github.com/citation-style-language/schema/raw/master/csl-citation.json"}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(2018)</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(#2)</w:t>
            </w:r>
          </w:p>
        </w:tc>
        <w:tc>
          <w:tcPr>
            <w:tcW w:w="1701" w:type="dxa"/>
            <w:shd w:val="clear" w:color="auto" w:fill="auto"/>
            <w:noWrap/>
            <w:vAlign w:val="center"/>
            <w:hideMark/>
          </w:tcPr>
          <w:p w14:paraId="6D51D0B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NW Australia</w:t>
            </w:r>
          </w:p>
        </w:tc>
        <w:tc>
          <w:tcPr>
            <w:tcW w:w="1134" w:type="dxa"/>
            <w:shd w:val="clear" w:color="auto" w:fill="auto"/>
            <w:noWrap/>
            <w:vAlign w:val="center"/>
            <w:hideMark/>
          </w:tcPr>
          <w:p w14:paraId="76C0601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-15.5</w:t>
            </w:r>
          </w:p>
        </w:tc>
        <w:tc>
          <w:tcPr>
            <w:tcW w:w="1134" w:type="dxa"/>
            <w:shd w:val="clear" w:color="auto" w:fill="auto"/>
            <w:noWrap/>
            <w:vAlign w:val="center"/>
            <w:hideMark/>
          </w:tcPr>
          <w:p w14:paraId="4D32E59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122</w:t>
            </w:r>
          </w:p>
        </w:tc>
        <w:tc>
          <w:tcPr>
            <w:tcW w:w="993" w:type="dxa"/>
            <w:shd w:val="clear" w:color="auto" w:fill="auto"/>
            <w:noWrap/>
            <w:vAlign w:val="center"/>
            <w:hideMark/>
          </w:tcPr>
          <w:p w14:paraId="349F85B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1.34</w:t>
            </w:r>
          </w:p>
        </w:tc>
        <w:tc>
          <w:tcPr>
            <w:tcW w:w="992" w:type="dxa"/>
            <w:shd w:val="clear" w:color="auto" w:fill="auto"/>
            <w:noWrap/>
            <w:vAlign w:val="center"/>
            <w:hideMark/>
          </w:tcPr>
          <w:p w14:paraId="66DA64F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0.33</w:t>
            </w:r>
          </w:p>
        </w:tc>
        <w:tc>
          <w:tcPr>
            <w:tcW w:w="992" w:type="dxa"/>
            <w:shd w:val="clear" w:color="auto" w:fill="auto"/>
            <w:noWrap/>
            <w:vAlign w:val="center"/>
            <w:hideMark/>
          </w:tcPr>
          <w:p w14:paraId="6361737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4.06</w:t>
            </w:r>
          </w:p>
        </w:tc>
        <w:tc>
          <w:tcPr>
            <w:tcW w:w="1276" w:type="dxa"/>
            <w:shd w:val="clear" w:color="auto" w:fill="auto"/>
            <w:noWrap/>
            <w:vAlign w:val="center"/>
            <w:hideMark/>
          </w:tcPr>
          <w:p w14:paraId="2C975421"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44833CCC"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9C02A88"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C2CAE1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91FD750"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1593F6ED"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87493EC" w14:textId="77777777" w:rsidR="00922E04" w:rsidRPr="00EC3B99" w:rsidRDefault="00922E04" w:rsidP="00922E04">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biomass converted from ml m</w:t>
            </w:r>
            <w:r>
              <w:rPr>
                <w:rFonts w:ascii="Calibri" w:eastAsia="Times New Roman" w:hAnsi="Calibri" w:cs="Calibri"/>
                <w:color w:val="000000"/>
                <w:sz w:val="20"/>
                <w:vertAlign w:val="superscript"/>
                <w:lang w:val="en-AU" w:eastAsia="en-AU"/>
              </w:rPr>
              <w:t>-3</w:t>
            </w:r>
          </w:p>
        </w:tc>
      </w:tr>
      <w:tr w:rsidR="00922E04" w:rsidRPr="00EC3B99" w14:paraId="329EB6F6" w14:textId="77777777" w:rsidTr="00885394">
        <w:trPr>
          <w:trHeight w:val="300"/>
        </w:trPr>
        <w:tc>
          <w:tcPr>
            <w:tcW w:w="1276" w:type="dxa"/>
            <w:shd w:val="clear" w:color="auto" w:fill="auto"/>
            <w:noWrap/>
            <w:vAlign w:val="center"/>
            <w:hideMark/>
          </w:tcPr>
          <w:p w14:paraId="696B6AB2" w14:textId="04B0A60D"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Coyle &amp; </w:t>
            </w:r>
            <w:proofErr w:type="spellStart"/>
            <w:r w:rsidRPr="00EC3B99">
              <w:rPr>
                <w:rFonts w:ascii="Calibri" w:eastAsia="Times New Roman" w:hAnsi="Calibri" w:cs="Calibri"/>
                <w:color w:val="000000"/>
                <w:sz w:val="20"/>
                <w:lang w:val="en-AU" w:eastAsia="en-AU"/>
              </w:rPr>
              <w:t>Pinchuk</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YkaHiCxH","properties":{"formattedCitation":"(2005)","plainCitation":"(2005)","noteIndex":0},"citationItems":[{"id":439,"uris":["http://zotero.org/users/local/U6DoygBa/items/ZDDA6FN9"],"uri":["http://zotero.org/users/local/U6DoygBa/items/ZDDA6FN9"],"itemData":{"id":439,"type":"article-journal","abstract":"The cross-shelf distribution of major zooplankton species was examined on the northern Gulf of Alaska (GOA) shelf during the production season for four years, between October 1997 and October 2001. The zooplankton community on the northern GOA shelf consisted of oceanic and neritic species of the North Pacific subarctic species complex. Cross-shelf distribution of the major zooplankton species was influenced by their depth preferences, vertical migration behavior, salinity-temperature preferences, and by cross-shelf water-mass distribution and movement. The neritic community, dominated by Pseudocalanus spp., Metridia pacifica and Calanus marshallae, had highest abundances on the inner shelf, in the Alaska Coastal Current, and in the adjacent fjords in late spring and early summer. The oceanic community, which contained primarily Neocalanus cristatus and Eucalanus bungii, was observed in the Alaskan Stream and adjacent waters near the shelf break. A mid-shelf transition zone contained a mixture of oceanic and neritic species. Prince William Sound (PWS) contained a unique species complex of large mesopelagic copepods, amphipods and shrimp. Neocalanus flemingeri and Oithona similis were abundant in all four regions during spring and early summer. The transition zone commonly crossed much of the shelf between the shelf break and the ACC, but satellite images and CTD data indicate that occasionally a narrow shelf-break front can form, in which case distinct zooplankton species groups are observed on either side of the front. Satellite data also revealed numerous large and small eddies, which probably contribute to cross-shelf mixing in the transition zone.","container-title":"Deep-Sea Research Part II-Topical Studies in Oceanography","DOI":"10.1016/j.dsr2.2004.09.025","ISSN":"0967-0645","journalAbbreviation":"Deep Sea Res., Part II","page":"217-245","source":"edselp","title":"Seasonal cross-shelf distribution of major zooplankton taxa on the northern Gulf of Alaska shelf relative to water mass properties, species depth preferences and vertical migration behavior","volume":"52","author":[{"family":"Coyle","given":"Kenneth O."},{"family":"Pinchuk","given":"Alexei I."}],"issued":{"date-parts":[["2005",1,1]]}},"suppress-author":true}],"schema":"https://github.com/citation-style-language/schema/raw/master/csl-citation.json"}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(2005)</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(#3)</w:t>
            </w:r>
          </w:p>
        </w:tc>
        <w:tc>
          <w:tcPr>
            <w:tcW w:w="1701" w:type="dxa"/>
            <w:shd w:val="clear" w:color="auto" w:fill="auto"/>
            <w:noWrap/>
            <w:vAlign w:val="center"/>
            <w:hideMark/>
          </w:tcPr>
          <w:p w14:paraId="58E91B0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Gulf of Alaska</w:t>
            </w:r>
          </w:p>
        </w:tc>
        <w:tc>
          <w:tcPr>
            <w:tcW w:w="1134" w:type="dxa"/>
            <w:shd w:val="clear" w:color="auto" w:fill="auto"/>
            <w:noWrap/>
            <w:vAlign w:val="center"/>
            <w:hideMark/>
          </w:tcPr>
          <w:p w14:paraId="01BE0E9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59</w:t>
            </w:r>
          </w:p>
        </w:tc>
        <w:tc>
          <w:tcPr>
            <w:tcW w:w="1134" w:type="dxa"/>
            <w:shd w:val="clear" w:color="auto" w:fill="auto"/>
            <w:noWrap/>
            <w:vAlign w:val="center"/>
            <w:hideMark/>
          </w:tcPr>
          <w:p w14:paraId="7342A22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-149</w:t>
            </w:r>
          </w:p>
        </w:tc>
        <w:tc>
          <w:tcPr>
            <w:tcW w:w="993" w:type="dxa"/>
            <w:shd w:val="clear" w:color="auto" w:fill="auto"/>
            <w:noWrap/>
            <w:vAlign w:val="center"/>
            <w:hideMark/>
          </w:tcPr>
          <w:p w14:paraId="5E539034"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6D00A2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622969F"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7F90F6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267</w:t>
            </w:r>
          </w:p>
        </w:tc>
        <w:tc>
          <w:tcPr>
            <w:tcW w:w="1276" w:type="dxa"/>
            <w:shd w:val="clear" w:color="auto" w:fill="auto"/>
            <w:noWrap/>
            <w:vAlign w:val="center"/>
            <w:hideMark/>
          </w:tcPr>
          <w:p w14:paraId="58D1B53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103</w:t>
            </w:r>
          </w:p>
        </w:tc>
        <w:tc>
          <w:tcPr>
            <w:tcW w:w="1275" w:type="dxa"/>
            <w:shd w:val="clear" w:color="auto" w:fill="auto"/>
            <w:noWrap/>
            <w:vAlign w:val="center"/>
            <w:hideMark/>
          </w:tcPr>
          <w:p w14:paraId="0022F3E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r>
              <w:rPr>
                <w:rFonts w:ascii="Calibri" w:eastAsia="Times New Roman" w:hAnsi="Calibri" w:cs="Calibri"/>
                <w:color w:val="000000"/>
                <w:sz w:val="20"/>
                <w:lang w:val="en-AU" w:eastAsia="en-AU"/>
              </w:rPr>
              <w:t>60</w:t>
            </w:r>
          </w:p>
        </w:tc>
        <w:tc>
          <w:tcPr>
            <w:tcW w:w="851" w:type="dxa"/>
            <w:shd w:val="clear" w:color="auto" w:fill="auto"/>
            <w:noWrap/>
            <w:vAlign w:val="center"/>
            <w:hideMark/>
          </w:tcPr>
          <w:p w14:paraId="57F3995E"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74F8AAF"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01883425"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1451760" w14:textId="77777777" w:rsidR="00922E04" w:rsidRPr="00EC3B99" w:rsidRDefault="00922E04" w:rsidP="00922E04">
            <w:pPr>
              <w:jc w:val="center"/>
              <w:rPr>
                <w:rFonts w:eastAsia="Times New Roman"/>
                <w:sz w:val="20"/>
                <w:lang w:val="en-AU" w:eastAsia="en-AU"/>
              </w:rPr>
            </w:pPr>
          </w:p>
        </w:tc>
      </w:tr>
      <w:tr w:rsidR="00B07758" w:rsidRPr="00EC3B99" w14:paraId="10C5D1D2" w14:textId="77777777" w:rsidTr="00885394">
        <w:trPr>
          <w:trHeight w:val="300"/>
        </w:trPr>
        <w:tc>
          <w:tcPr>
            <w:tcW w:w="1276" w:type="dxa"/>
            <w:shd w:val="clear" w:color="auto" w:fill="auto"/>
            <w:noWrap/>
            <w:vAlign w:val="center"/>
          </w:tcPr>
          <w:p w14:paraId="40F2839D" w14:textId="08DE4334" w:rsidR="00B07758" w:rsidRPr="00055958" w:rsidRDefault="00B07758" w:rsidP="00B07758">
            <w:pPr>
              <w:jc w:val="center"/>
              <w:rPr>
                <w:rFonts w:ascii="Calibri" w:eastAsia="Times New Roman" w:hAnsi="Calibri" w:cs="Calibri"/>
                <w:color w:val="000000"/>
                <w:sz w:val="20"/>
                <w:lang w:val="en-AU" w:eastAsia="en-AU"/>
              </w:rPr>
            </w:pPr>
            <w:r w:rsidRPr="00055958">
              <w:rPr>
                <w:rFonts w:ascii="Calibri" w:eastAsia="Times New Roman" w:hAnsi="Calibri" w:cs="Calibri"/>
                <w:color w:val="000000"/>
                <w:sz w:val="20"/>
                <w:lang w:eastAsia="en-AU"/>
              </w:rPr>
              <w:t>García-Muñoz et al</w:t>
            </w:r>
            <w:r w:rsidR="00EB2BE9">
              <w:rPr>
                <w:rFonts w:ascii="Calibri" w:eastAsia="Times New Roman" w:hAnsi="Calibri" w:cs="Calibri"/>
                <w:color w:val="000000"/>
                <w:sz w:val="20"/>
                <w:lang w:eastAsia="en-AU"/>
              </w:rPr>
              <w:t xml:space="preserve"> </w:t>
            </w:r>
            <w:r w:rsidR="00EB2BE9">
              <w:rPr>
                <w:rFonts w:ascii="Calibri" w:eastAsia="Times New Roman" w:hAnsi="Calibri" w:cs="Calibri"/>
                <w:color w:val="000000"/>
                <w:sz w:val="20"/>
                <w:lang w:eastAsia="en-AU"/>
              </w:rPr>
              <w:fldChar w:fldCharType="begin"/>
            </w:r>
            <w:r w:rsidR="00EB2BE9">
              <w:rPr>
                <w:rFonts w:ascii="Calibri" w:eastAsia="Times New Roman" w:hAnsi="Calibri" w:cs="Calibri"/>
                <w:color w:val="000000"/>
                <w:sz w:val="20"/>
                <w:lang w:eastAsia="en-AU"/>
              </w:rPr>
              <w:instrText xml:space="preserve"> ADDIN ZOTERO_ITEM CSL_CITATION {"citationID":"WfVRV0HP","properties":{"formattedCitation":"(2014)","plainCitation":"(2014)","noteIndex":0},"citationItems":[{"id":1702,"uris":["http://zotero.org/users/local/U6DoygBa/items/59ZLT764"],"uri":["http://zotero.org/users/local/U6DoygBa/items/59ZLT764"],"itemData":{"id":1702,"type":"article-journal","abstract":"To establish a metabolic state along a north–south transect in Antarctic waters, we approached community respiration (CR) from a combined perspective based on t","container-title":"Journal of Plankton Research","DOI":"10.1093/plankt/fbu042","ISSN":"0142-7873","issue":"4","journalAbbreviation":"J Plankton Res","language":"en","note":"publisher: Oxford Academic","page":"1074-1091","source":"academic.oup.com","title":"Metabolic state along a summer north–south transect near the Antarctic Peninsula: a size spectra approach","title-short":"Metabolic state along a summer north–south transect near the Antarctic Peninsula","volume":"36","author":[{"family":"García-Muñoz","given":"Cristina"},{"family":"García","given":"Carlos M."},{"family":"Lubián","given":"Luis M."},{"family":"López-Urrutia","given":"Ángel"},{"family":"Hernández-León","given":"Santiago"},{"family":"Ameneiro","given":"Julia"}],"issued":{"date-parts":[["2014",7,1]]}},"suppress-author":true}],"schema":"https://github.com/citation-style-language/schema/raw/master/csl-citation.json"} </w:instrText>
            </w:r>
            <w:r w:rsidR="00EB2BE9">
              <w:rPr>
                <w:rFonts w:ascii="Calibri" w:eastAsia="Times New Roman" w:hAnsi="Calibri" w:cs="Calibri"/>
                <w:color w:val="000000"/>
                <w:sz w:val="20"/>
                <w:lang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eastAsia="en-AU"/>
              </w:rPr>
              <w:fldChar w:fldCharType="end"/>
            </w:r>
            <w:r>
              <w:rPr>
                <w:rFonts w:ascii="Calibri" w:eastAsia="Times New Roman" w:hAnsi="Calibri" w:cs="Calibri"/>
                <w:color w:val="000000"/>
                <w:sz w:val="20"/>
                <w:lang w:eastAsia="en-AU"/>
              </w:rPr>
              <w:t xml:space="preserve"> (#4)</w:t>
            </w:r>
          </w:p>
          <w:p w14:paraId="75DFE1BD" w14:textId="77777777" w:rsidR="00B07758" w:rsidRPr="00EC3B99" w:rsidRDefault="00B07758" w:rsidP="00B07758">
            <w:pPr>
              <w:jc w:val="center"/>
              <w:rPr>
                <w:rFonts w:ascii="Calibri" w:eastAsia="Times New Roman" w:hAnsi="Calibri" w:cs="Calibri"/>
                <w:color w:val="000000"/>
                <w:sz w:val="20"/>
                <w:lang w:val="en-AU" w:eastAsia="en-AU"/>
              </w:rPr>
            </w:pPr>
          </w:p>
        </w:tc>
        <w:tc>
          <w:tcPr>
            <w:tcW w:w="1701" w:type="dxa"/>
            <w:shd w:val="clear" w:color="auto" w:fill="auto"/>
            <w:noWrap/>
            <w:vAlign w:val="center"/>
          </w:tcPr>
          <w:p w14:paraId="32AFF51A" w14:textId="77777777" w:rsidR="00B07758" w:rsidRDefault="00B07758" w:rsidP="00B07758">
            <w:pPr>
              <w:jc w:val="center"/>
              <w:rPr>
                <w:rFonts w:ascii="Calibri" w:eastAsia="Times New Roman" w:hAnsi="Calibri" w:cs="Calibri"/>
                <w:color w:val="000000"/>
                <w:sz w:val="22"/>
                <w:szCs w:val="22"/>
                <w:lang w:val="en-AU"/>
              </w:rPr>
            </w:pPr>
            <w:r>
              <w:rPr>
                <w:rFonts w:ascii="Calibri" w:hAnsi="Calibri" w:cs="Calibri"/>
                <w:color w:val="000000"/>
                <w:sz w:val="22"/>
                <w:szCs w:val="22"/>
              </w:rPr>
              <w:t>Drake Passage</w:t>
            </w:r>
          </w:p>
          <w:p w14:paraId="28E41436" w14:textId="77777777" w:rsidR="00B07758" w:rsidRPr="00EC3B99" w:rsidRDefault="00B07758" w:rsidP="00B07758">
            <w:pPr>
              <w:jc w:val="center"/>
              <w:rPr>
                <w:rFonts w:ascii="Calibri" w:eastAsia="Times New Roman" w:hAnsi="Calibri" w:cs="Calibri"/>
                <w:color w:val="000000"/>
                <w:sz w:val="20"/>
                <w:lang w:val="en-AU" w:eastAsia="en-AU"/>
              </w:rPr>
            </w:pPr>
          </w:p>
        </w:tc>
        <w:tc>
          <w:tcPr>
            <w:tcW w:w="1134" w:type="dxa"/>
            <w:shd w:val="clear" w:color="auto" w:fill="auto"/>
            <w:noWrap/>
            <w:vAlign w:val="center"/>
          </w:tcPr>
          <w:p w14:paraId="50E81B88" w14:textId="235AC2D5"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-62</w:t>
            </w:r>
          </w:p>
        </w:tc>
        <w:tc>
          <w:tcPr>
            <w:tcW w:w="1134" w:type="dxa"/>
            <w:shd w:val="clear" w:color="auto" w:fill="auto"/>
            <w:noWrap/>
            <w:vAlign w:val="center"/>
          </w:tcPr>
          <w:p w14:paraId="737507EB" w14:textId="6BF13DCB"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-60</w:t>
            </w:r>
          </w:p>
        </w:tc>
        <w:tc>
          <w:tcPr>
            <w:tcW w:w="993" w:type="dxa"/>
            <w:shd w:val="clear" w:color="auto" w:fill="auto"/>
            <w:noWrap/>
            <w:vAlign w:val="center"/>
          </w:tcPr>
          <w:p w14:paraId="6BBDC89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6AC448CD"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0729D07F"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6A303A8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57423531"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tcPr>
          <w:p w14:paraId="21FF851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tcPr>
          <w:p w14:paraId="62A0EF6F" w14:textId="20DC7B7A"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-0.88</w:t>
            </w:r>
          </w:p>
        </w:tc>
        <w:tc>
          <w:tcPr>
            <w:tcW w:w="992" w:type="dxa"/>
            <w:shd w:val="clear" w:color="auto" w:fill="auto"/>
            <w:noWrap/>
            <w:vAlign w:val="center"/>
          </w:tcPr>
          <w:p w14:paraId="530E64BE" w14:textId="4579ABFF"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-0.87</w:t>
            </w:r>
          </w:p>
        </w:tc>
        <w:tc>
          <w:tcPr>
            <w:tcW w:w="709" w:type="dxa"/>
            <w:shd w:val="clear" w:color="auto" w:fill="auto"/>
            <w:noWrap/>
            <w:vAlign w:val="center"/>
          </w:tcPr>
          <w:p w14:paraId="6A3BAAAE" w14:textId="67C823B6"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1.01</w:t>
            </w:r>
          </w:p>
        </w:tc>
        <w:tc>
          <w:tcPr>
            <w:tcW w:w="1276" w:type="dxa"/>
            <w:shd w:val="clear" w:color="auto" w:fill="auto"/>
            <w:noWrap/>
            <w:vAlign w:val="center"/>
          </w:tcPr>
          <w:p w14:paraId="0E0FD75D"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B27B99D" w14:textId="77777777" w:rsidTr="00885394">
        <w:trPr>
          <w:trHeight w:val="300"/>
        </w:trPr>
        <w:tc>
          <w:tcPr>
            <w:tcW w:w="1276" w:type="dxa"/>
            <w:shd w:val="clear" w:color="auto" w:fill="auto"/>
            <w:noWrap/>
            <w:vAlign w:val="center"/>
            <w:hideMark/>
          </w:tcPr>
          <w:p w14:paraId="0DDDCEB1" w14:textId="597D757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rAVMoAOk","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(#5)</w:t>
            </w:r>
          </w:p>
        </w:tc>
        <w:tc>
          <w:tcPr>
            <w:tcW w:w="1701" w:type="dxa"/>
            <w:shd w:val="clear" w:color="auto" w:fill="auto"/>
            <w:noWrap/>
            <w:vAlign w:val="center"/>
            <w:hideMark/>
          </w:tcPr>
          <w:p w14:paraId="114F0F2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10618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01D38C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2BAE80DE"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0928636"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7033B3FC"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0A8CB9B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3BE76C7"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CDF9871"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8E8135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3A3A1CB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626B54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7</w:t>
            </w:r>
          </w:p>
        </w:tc>
        <w:tc>
          <w:tcPr>
            <w:tcW w:w="1276" w:type="dxa"/>
            <w:shd w:val="clear" w:color="auto" w:fill="auto"/>
            <w:noWrap/>
            <w:vAlign w:val="center"/>
            <w:hideMark/>
          </w:tcPr>
          <w:p w14:paraId="4AA871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1260F5DB" w14:textId="77777777" w:rsidTr="00885394">
        <w:trPr>
          <w:trHeight w:val="300"/>
        </w:trPr>
        <w:tc>
          <w:tcPr>
            <w:tcW w:w="1276" w:type="dxa"/>
            <w:shd w:val="clear" w:color="auto" w:fill="auto"/>
            <w:noWrap/>
            <w:vAlign w:val="center"/>
            <w:hideMark/>
          </w:tcPr>
          <w:p w14:paraId="7E088310" w14:textId="25AF88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NeSTvbrS","properties":{"formattedCitation":"(2009)","plainCitation":"(2009)","noteIndex":0},"citationItems":[{"id":608,"uris":["http://zotero.org/users/local/U6DoygBa/items/8G3MEPF9"],"uri":["http://zotero.org/users/local/U6DoygBa/items/8G3MEPF9"],"itemData":{"id":608,"type":"article-journal","abstract":"The objective of this study was to investigate whether successive recruitment failures in the anchovy fishery in the Bay of Biscay were due to changes in the zooplankton biomass or composition. Image analysis and automatic recognition were used to analyse zooplankton samples collected during diel egg production method spring surveys from 1998 to 2006. We were not able to detect any trend in zooplankton biomass during this period. The zooplankton spatial distribution showed permanent features with large organisms being more abundant over the shelf break and outer areas. Finally, we found a negative correlation between anchovy recruitment and zooplankton biomass which suggests that the 2002–2006 failures in anchovy recruitment in the Bay of Biscay are not due to a decrease in mesozooplankton biomass.","container-title":"Journal of Plankton Research","DOI":"10.1093/plankt/fbn096","ISSN":"0142-7873","issue":"1","page":"1-17","title":"Spring zooplankton distribution in the Bay of Biscay from 1998 to 2006 in relation with anchovy recruitment","volume":"31","author":[{"family":"Irigoien","given":"Xabier"},{"family":"Fernandes","given":"Jose Antonio"},{"family":"Grosjean","given":"Philippe"},{"family":"Denis","given":"Kevin"},{"family":"Albaina","given":"Aitor"},{"family":"Santos","given":"Maria"}],"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(#6)</w:t>
            </w:r>
          </w:p>
        </w:tc>
        <w:tc>
          <w:tcPr>
            <w:tcW w:w="1701" w:type="dxa"/>
            <w:shd w:val="clear" w:color="auto" w:fill="auto"/>
            <w:noWrap/>
            <w:vAlign w:val="center"/>
            <w:hideMark/>
          </w:tcPr>
          <w:p w14:paraId="2799048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344EC74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4D3F65F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14370AD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EA7EC11"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2B181BB9"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6EC4FFD"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2C5773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C7AB4A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7A7104F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992" w:type="dxa"/>
            <w:shd w:val="clear" w:color="auto" w:fill="auto"/>
            <w:noWrap/>
            <w:vAlign w:val="center"/>
            <w:hideMark/>
          </w:tcPr>
          <w:p w14:paraId="5CD86E9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76168DC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w:t>
            </w:r>
          </w:p>
        </w:tc>
        <w:tc>
          <w:tcPr>
            <w:tcW w:w="1276" w:type="dxa"/>
            <w:shd w:val="clear" w:color="auto" w:fill="auto"/>
            <w:noWrap/>
            <w:vAlign w:val="center"/>
            <w:hideMark/>
          </w:tcPr>
          <w:p w14:paraId="5A4B35EF"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83B55DA" w14:textId="77777777" w:rsidTr="00885394">
        <w:trPr>
          <w:trHeight w:val="300"/>
        </w:trPr>
        <w:tc>
          <w:tcPr>
            <w:tcW w:w="1276" w:type="dxa"/>
            <w:shd w:val="clear" w:color="auto" w:fill="auto"/>
            <w:noWrap/>
            <w:vAlign w:val="center"/>
            <w:hideMark/>
          </w:tcPr>
          <w:p w14:paraId="2CC498D8" w14:textId="4238F0A5"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Lopes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KfZrQwuq","properties":{"formattedCitation":"(2006)","plainCitation":"(2006)","noteIndex":0},"citationItems":[{"id":741,"uris":["http://zotero.org/users/local/U6DoygBa/items/DEUMSDLX"],"uri":["http://zotero.org/users/local/U6DoygBa/items/DEUMSDLX"],"itemData":{"id":741,"type":"article-journal","abstract":"The southern Brazilian coast is the major fishery ground for the Brazilian sardine ( Sardinella brasiliensis ), a species responsible for up to 40% of marine fish catches in the region. Fish spawning and recruitment are locally influenced by seasonal advection of nutrient-rich waters from both inshore and offshore sources. Plankton communities are otherwise controlled by regenerative processes related to the oligotrophic nature of the Tropical Water from the Brazil Current. As recorded in other continental margins, zooplankton species diversity increases towards outer shelf and open ocean waters. Peaks of zooplankton biomass and ichthyoplankton abundance are frequent on the inner shelf, either at upwelling sites or off large estuarine systems. However, meandering features of the Brazil Current provide an additional mechanism of upward motion of the cold and nutrient-rich South Atlantic Central Water, increasing phyto- and zooplankton biomass and production on mid- and outer shelves. Cold neritic waters originating off Argentina, and subtropical waters from the Subtropical Convergence exert a strong seasonal influence on zooplankton and ichthyoplankton distribution towards more southern areas. This brief review highlights the need for further experimental studies on zooplankton life cycle strategies in order to understand the major processes controlling food web dynamics in this shelf ecosystem.","container-title":"Scientia Marina","DOI":"10.3989/scimar.2006.70n2189","ISSN":"1886-8134","issue":"2","page":"14","title":"Zooplankton and ichthyoplankton distribution on the southern Brazilian shelf: an overview","volume":"70","author":[{"family":"Lopes","given":"Rubens M."},{"family":"Katsuragawa","given":"Mario"},{"family":"Dias","given":"June F."},{"family":"Montú","given":"Mónica A."},{"family":"Muelbert","given":"José H."},{"family":"Gorri","given":"Charles"},{"family":"Brandini","given":"Frederico P."}],"issued":{"date-parts":[["2006",6,30]]}},"suppress-author":true}],"schema":"https://github.com/citation-style-language/schema/raw/master/csl-citation.json"}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(#7)</w:t>
            </w:r>
          </w:p>
        </w:tc>
        <w:tc>
          <w:tcPr>
            <w:tcW w:w="1701" w:type="dxa"/>
            <w:shd w:val="clear" w:color="auto" w:fill="auto"/>
            <w:noWrap/>
            <w:vAlign w:val="center"/>
            <w:hideMark/>
          </w:tcPr>
          <w:p w14:paraId="0D28587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Southern Brazilian Shelf</w:t>
            </w:r>
          </w:p>
        </w:tc>
        <w:tc>
          <w:tcPr>
            <w:tcW w:w="1134" w:type="dxa"/>
            <w:shd w:val="clear" w:color="auto" w:fill="auto"/>
            <w:noWrap/>
            <w:vAlign w:val="center"/>
            <w:hideMark/>
          </w:tcPr>
          <w:p w14:paraId="5FD7417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1134" w:type="dxa"/>
            <w:shd w:val="clear" w:color="auto" w:fill="auto"/>
            <w:noWrap/>
            <w:vAlign w:val="center"/>
            <w:hideMark/>
          </w:tcPr>
          <w:p w14:paraId="5FF884A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-46</w:t>
            </w:r>
          </w:p>
        </w:tc>
        <w:tc>
          <w:tcPr>
            <w:tcW w:w="993" w:type="dxa"/>
            <w:shd w:val="clear" w:color="auto" w:fill="auto"/>
            <w:noWrap/>
            <w:vAlign w:val="center"/>
            <w:hideMark/>
          </w:tcPr>
          <w:p w14:paraId="5C0684A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0.35</w:t>
            </w:r>
          </w:p>
        </w:tc>
        <w:tc>
          <w:tcPr>
            <w:tcW w:w="992" w:type="dxa"/>
            <w:shd w:val="clear" w:color="auto" w:fill="auto"/>
            <w:noWrap/>
            <w:vAlign w:val="center"/>
            <w:hideMark/>
          </w:tcPr>
          <w:p w14:paraId="011C40D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0.12</w:t>
            </w:r>
          </w:p>
        </w:tc>
        <w:tc>
          <w:tcPr>
            <w:tcW w:w="992" w:type="dxa"/>
            <w:shd w:val="clear" w:color="auto" w:fill="auto"/>
            <w:noWrap/>
            <w:vAlign w:val="center"/>
            <w:hideMark/>
          </w:tcPr>
          <w:p w14:paraId="33F0D5E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2.9</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94A7ED8"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79F102D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2E06D683"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760225A"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1E12AA78"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4D2273EB"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3DC5CC4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highest biomasses from intrusions</w:t>
            </w:r>
          </w:p>
        </w:tc>
      </w:tr>
      <w:tr w:rsidR="00B07758" w:rsidRPr="00EC3B99" w14:paraId="22494E93" w14:textId="77777777" w:rsidTr="00885394">
        <w:trPr>
          <w:trHeight w:val="300"/>
        </w:trPr>
        <w:tc>
          <w:tcPr>
            <w:tcW w:w="1276" w:type="dxa"/>
            <w:shd w:val="clear" w:color="auto" w:fill="auto"/>
            <w:noWrap/>
            <w:vAlign w:val="center"/>
            <w:hideMark/>
          </w:tcPr>
          <w:p w14:paraId="475968A8" w14:textId="6A986874"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Marcolin</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Lx1QtWnk","properties":{"formattedCitation":"(2013)","plainCitation":"(2013)","noteIndex":0},"citationItems":[{"id":762,"uris":["http://zotero.org/users/local/U6DoygBa/items/IICX74LG"],"uri":["http://zotero.org/users/local/U6DoygBa/items/IICX74LG"],"itemData":{"id":762,"type":"article-journal","abstract":"The biomass size spectrum provides valuable information about the functioning of plankton systems. We evaluated hydrographic and bathymetric influences on biomass size spectra and on vertical distributions of plankton and seston above the Abrolhos Bank and in adjacent oceanic areas off Eastern Brazil. We used both in situ Laser Optical Particle Counter (LOPC) and preserved plankton samples analyzed with a ZooScan system to determine seston and plankton abundances, size distributions, and biomasses. Shelf stations, including those on the Abrolhos Bank, had higher particle concentrations and mesozooplankton biomasses than the vertically stratified oceanic stations. The latter were influenced by cold, nutrient-rich South Atlantic Central Water (SACW) below the mixed layer, particularly toward the south of the study area. Small particles (&lt;1mm) were more abundant above and within the pycnocline, whereas large particles (&gt;1mm) had a more heterogeneous vertical distribution, but were more abundant above the pycnocline, especially at the oceanic stations. Calanoid copepods usually dominated the mesozooplankton biomass spectra, but were accompanied by cyclopoids, appendicularians, and ostracods, the latter being particularly abundant during nighttime stations on the Abrolhos Bank. Both LOPC and ZooScan data showed significant differences in NBSS slopes and intercepts between shelf and oceanic stations. The higher intercepts and steeper slopes over the shelf are characteristic of higher productivity. The shallower slopes and presence of more biomass in larger particles indicate a more important contribution of large organisms and higher energy transfer efficiencies at the open ocean stations. Our results highlight the importance of the Abrolhos Bank for pelagic production in an otherwise oligotrophic ocean.","container-title":"Continental Shelf Research","DOI":"https://doi.org/10.1016/j.csr.2013.09.022","ISSN":"0278-4343","journalAbbreviation":"Cont. Shelf Res.","page":"74-87","title":"Plankton and seston size spectra estimated by the LOPC and ZooScan in the Abrolhos Bank ecosystem (SE Atlantic)","volume":"70","author":[{"family":"Marcolin","given":"Catarina da Rocha"},{"family":"Schultes","given":"Sabine"},{"family":"Jackson","given":"George A."},{"family":"Lopes","given":"Rubens M."}],"issued":{"date-parts":[["2013",11,1]]}},"suppress-author":true}],"schema":"https://github.com/citation-style-language/schema/raw/master/csl-citation.json"}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sidR="00EB2BE9">
              <w:rPr>
                <w:rFonts w:ascii="Calibri" w:eastAsia="Times New Roman" w:hAnsi="Calibri" w:cs="Calibri"/>
                <w:color w:val="000000"/>
                <w:sz w:val="20"/>
                <w:lang w:val="en-AU" w:eastAsia="en-AU"/>
              </w:rPr>
              <w:t xml:space="preserve"> </w:t>
            </w:r>
            <w:r>
              <w:rPr>
                <w:rFonts w:ascii="Calibri" w:eastAsia="Times New Roman" w:hAnsi="Calibri" w:cs="Calibri"/>
                <w:color w:val="000000"/>
                <w:sz w:val="20"/>
                <w:lang w:val="en-AU" w:eastAsia="en-AU"/>
              </w:rPr>
              <w:t>(#8)</w:t>
            </w:r>
          </w:p>
        </w:tc>
        <w:tc>
          <w:tcPr>
            <w:tcW w:w="1701" w:type="dxa"/>
            <w:shd w:val="clear" w:color="auto" w:fill="auto"/>
            <w:noWrap/>
            <w:vAlign w:val="center"/>
            <w:hideMark/>
          </w:tcPr>
          <w:p w14:paraId="4C10D46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hideMark/>
          </w:tcPr>
          <w:p w14:paraId="3CB1C91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hideMark/>
          </w:tcPr>
          <w:p w14:paraId="0B7D38E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hideMark/>
          </w:tcPr>
          <w:p w14:paraId="5DFBACF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162.9</w:t>
            </w:r>
          </w:p>
        </w:tc>
        <w:tc>
          <w:tcPr>
            <w:tcW w:w="992" w:type="dxa"/>
            <w:shd w:val="clear" w:color="auto" w:fill="auto"/>
            <w:noWrap/>
            <w:vAlign w:val="center"/>
            <w:hideMark/>
          </w:tcPr>
          <w:p w14:paraId="1B272D1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57.3</w:t>
            </w:r>
          </w:p>
        </w:tc>
        <w:tc>
          <w:tcPr>
            <w:tcW w:w="992" w:type="dxa"/>
            <w:shd w:val="clear" w:color="auto" w:fill="auto"/>
            <w:noWrap/>
            <w:vAlign w:val="center"/>
            <w:hideMark/>
          </w:tcPr>
          <w:p w14:paraId="48F8948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2.84</w:t>
            </w:r>
          </w:p>
        </w:tc>
        <w:tc>
          <w:tcPr>
            <w:tcW w:w="1276" w:type="dxa"/>
            <w:shd w:val="clear" w:color="auto" w:fill="auto"/>
            <w:noWrap/>
            <w:vAlign w:val="center"/>
            <w:hideMark/>
          </w:tcPr>
          <w:p w14:paraId="0366F775"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202FF303"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6A8A73B5"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5C85DAB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-0.96</w:t>
            </w:r>
          </w:p>
        </w:tc>
        <w:tc>
          <w:tcPr>
            <w:tcW w:w="992" w:type="dxa"/>
            <w:shd w:val="clear" w:color="auto" w:fill="auto"/>
            <w:noWrap/>
            <w:vAlign w:val="center"/>
            <w:hideMark/>
          </w:tcPr>
          <w:p w14:paraId="16258BC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-0.86</w:t>
            </w:r>
          </w:p>
        </w:tc>
        <w:tc>
          <w:tcPr>
            <w:tcW w:w="709" w:type="dxa"/>
            <w:shd w:val="clear" w:color="auto" w:fill="auto"/>
            <w:noWrap/>
            <w:vAlign w:val="center"/>
            <w:hideMark/>
          </w:tcPr>
          <w:p w14:paraId="396F580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7F92155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16429F" w14:paraId="62D36BA6" w14:textId="77777777" w:rsidTr="00A44D42">
        <w:trPr>
          <w:trHeight w:val="300"/>
        </w:trPr>
        <w:tc>
          <w:tcPr>
            <w:tcW w:w="1276" w:type="dxa"/>
            <w:shd w:val="clear" w:color="auto" w:fill="auto"/>
            <w:noWrap/>
            <w:vAlign w:val="center"/>
          </w:tcPr>
          <w:p w14:paraId="65D03CF7" w14:textId="3C9FCC0D"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 xml:space="preserve">Nogueira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j4jayDp0","properties":{"formattedCitation":"(2004)","plainCitation":"(2004)","noteIndex":0},"citationItems":[{"id":1688,"uris":["http://zotero.org/users/local/U6DoygBa/items/NE8KGFVV"],"uri":["http://zotero.org/users/local/U6DoygBa/items/NE8KGFVV"],"itemData":{"id":1688,"type":"article-journal","abstract":"Abstract.  Data from vertical net hauls and from a submersible optical plankton counter (OPC) were compared in terms of biomass and slope of the normalized biom","container-title":"ICES Journal of Marine Science","DOI":"10.1016/j.icesjms.2004.03.018","ISSN":"1054-3139","issue":"4","journalAbbreviation":"ICES J Mar Sci","language":"en","note":"publisher: Oxford Academic","page":"508-517","source":"academic.oup.com","title":"Comparison of biomass and size spectra derived from optical plankton counter data and net samples: application to the assessment of mesoplankton distribution along the Northwest and North Iberian Shelf","title-short":"Comparison of biomass and size spectra derived from optical plankton counter data and net samples","volume":"61","author":[{"family":"Nogueira","given":"Enrique"},{"family":"González-Nuevo","given":"Gonzalo"},{"family":"Bode","given":"Antonio"},{"family":"Varela","given":"Manuel"},{"family":"Morán","given":"Xosé Anxelu G."},{"family":"Valdés","given":"Luis"}],"issued":{"date-parts":[["2004",1,1]]}},"suppress-author":true}],"schema":"https://github.com/citation-style-language/schema/raw/master/csl-citation.json"}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(#9)</w:t>
            </w:r>
          </w:p>
        </w:tc>
        <w:tc>
          <w:tcPr>
            <w:tcW w:w="1701" w:type="dxa"/>
            <w:shd w:val="clear" w:color="auto" w:fill="auto"/>
            <w:noWrap/>
            <w:vAlign w:val="center"/>
          </w:tcPr>
          <w:p w14:paraId="00BFAD18" w14:textId="77777777" w:rsidR="00B07758" w:rsidRPr="00EC3B99" w:rsidRDefault="00B07758" w:rsidP="00A44D42">
            <w:pPr>
              <w:jc w:val="center"/>
              <w:rPr>
                <w:rFonts w:ascii="Calibri" w:eastAsia="Times New Roman" w:hAnsi="Calibri" w:cs="Calibri"/>
                <w:color w:val="000000"/>
                <w:sz w:val="20"/>
                <w:lang w:val="en-AU" w:eastAsia="en-AU"/>
              </w:rPr>
            </w:pPr>
            <w:r w:rsidRPr="00C81D15">
              <w:rPr>
                <w:rFonts w:ascii="Calibri" w:eastAsia="Times New Roman" w:hAnsi="Calibri" w:cs="Calibri"/>
                <w:color w:val="000000"/>
                <w:sz w:val="20"/>
                <w:lang w:val="en-AU" w:eastAsia="en-AU"/>
              </w:rPr>
              <w:t>Northwest and North Iberian Shelf</w:t>
            </w:r>
          </w:p>
        </w:tc>
        <w:tc>
          <w:tcPr>
            <w:tcW w:w="1134" w:type="dxa"/>
            <w:shd w:val="clear" w:color="auto" w:fill="auto"/>
            <w:noWrap/>
            <w:vAlign w:val="center"/>
          </w:tcPr>
          <w:p w14:paraId="546031A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44</w:t>
            </w:r>
          </w:p>
        </w:tc>
        <w:tc>
          <w:tcPr>
            <w:tcW w:w="1134" w:type="dxa"/>
            <w:shd w:val="clear" w:color="auto" w:fill="auto"/>
            <w:noWrap/>
            <w:vAlign w:val="center"/>
          </w:tcPr>
          <w:p w14:paraId="095CEB5F"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-9</w:t>
            </w:r>
          </w:p>
        </w:tc>
        <w:tc>
          <w:tcPr>
            <w:tcW w:w="993" w:type="dxa"/>
            <w:shd w:val="clear" w:color="auto" w:fill="auto"/>
            <w:noWrap/>
            <w:vAlign w:val="center"/>
          </w:tcPr>
          <w:p w14:paraId="4CBE6072"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82.25</w:t>
            </w:r>
          </w:p>
        </w:tc>
        <w:tc>
          <w:tcPr>
            <w:tcW w:w="992" w:type="dxa"/>
            <w:shd w:val="clear" w:color="auto" w:fill="auto"/>
            <w:noWrap/>
            <w:vAlign w:val="center"/>
          </w:tcPr>
          <w:p w14:paraId="3E86D37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57.69</w:t>
            </w:r>
          </w:p>
        </w:tc>
        <w:tc>
          <w:tcPr>
            <w:tcW w:w="992" w:type="dxa"/>
            <w:shd w:val="clear" w:color="auto" w:fill="auto"/>
            <w:noWrap/>
            <w:vAlign w:val="center"/>
          </w:tcPr>
          <w:p w14:paraId="556ABB0B"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1.42</w:t>
            </w:r>
          </w:p>
        </w:tc>
        <w:tc>
          <w:tcPr>
            <w:tcW w:w="1276" w:type="dxa"/>
            <w:shd w:val="clear" w:color="auto" w:fill="auto"/>
            <w:noWrap/>
            <w:vAlign w:val="center"/>
          </w:tcPr>
          <w:p w14:paraId="7A966DC8"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77FE9B39" w14:textId="77777777" w:rsidR="00B07758" w:rsidRPr="00EC3B99" w:rsidRDefault="00B07758" w:rsidP="00A44D42">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7D95C66D" w14:textId="77777777" w:rsidR="00B07758" w:rsidRPr="00EC3B99" w:rsidRDefault="00B07758" w:rsidP="00A44D42">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75EA3303"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-0.57</w:t>
            </w:r>
          </w:p>
        </w:tc>
        <w:tc>
          <w:tcPr>
            <w:tcW w:w="992" w:type="dxa"/>
            <w:shd w:val="clear" w:color="auto" w:fill="auto"/>
            <w:noWrap/>
            <w:vAlign w:val="center"/>
          </w:tcPr>
          <w:p w14:paraId="34B3FE30"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-1.14</w:t>
            </w:r>
          </w:p>
        </w:tc>
        <w:tc>
          <w:tcPr>
            <w:tcW w:w="709" w:type="dxa"/>
            <w:shd w:val="clear" w:color="auto" w:fill="auto"/>
            <w:noWrap/>
            <w:vAlign w:val="center"/>
          </w:tcPr>
          <w:p w14:paraId="782B5A44" w14:textId="77777777" w:rsidR="00B07758" w:rsidRPr="00EC3B99" w:rsidRDefault="00B07758" w:rsidP="00A44D42">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0.50</w:t>
            </w:r>
          </w:p>
        </w:tc>
        <w:tc>
          <w:tcPr>
            <w:tcW w:w="1276" w:type="dxa"/>
            <w:shd w:val="clear" w:color="auto" w:fill="auto"/>
            <w:noWrap/>
            <w:vAlign w:val="center"/>
          </w:tcPr>
          <w:p w14:paraId="3232D2F2" w14:textId="77777777" w:rsidR="00B07758" w:rsidRPr="0016429F" w:rsidRDefault="00B07758" w:rsidP="00A44D42">
            <w:pPr>
              <w:jc w:val="center"/>
              <w:rPr>
                <w:rFonts w:ascii="Calibri" w:eastAsia="Times New Roman" w:hAnsi="Calibri" w:cs="Calibri"/>
                <w:color w:val="000000"/>
                <w:sz w:val="20"/>
                <w:vertAlign w:val="superscript"/>
                <w:lang w:val="en-AU" w:eastAsia="en-AU"/>
              </w:rPr>
            </w:pPr>
            <w:r>
              <w:rPr>
                <w:rFonts w:ascii="Calibri" w:eastAsia="Times New Roman" w:hAnsi="Calibri" w:cs="Calibri"/>
                <w:color w:val="000000"/>
                <w:sz w:val="20"/>
                <w:lang w:val="en-AU" w:eastAsia="en-AU"/>
              </w:rPr>
              <w:t>Biomass is converted from g C m</w:t>
            </w:r>
            <w:r>
              <w:rPr>
                <w:rFonts w:ascii="Calibri" w:eastAsia="Times New Roman" w:hAnsi="Calibri" w:cs="Calibri"/>
                <w:color w:val="000000"/>
                <w:sz w:val="20"/>
                <w:vertAlign w:val="superscript"/>
                <w:lang w:val="en-AU" w:eastAsia="en-AU"/>
              </w:rPr>
              <w:t>-2</w:t>
            </w:r>
          </w:p>
        </w:tc>
      </w:tr>
      <w:tr w:rsidR="00B07758" w:rsidRPr="00EC3B99" w14:paraId="4ADF584B" w14:textId="77777777" w:rsidTr="00885394">
        <w:trPr>
          <w:trHeight w:val="300"/>
        </w:trPr>
        <w:tc>
          <w:tcPr>
            <w:tcW w:w="1276" w:type="dxa"/>
            <w:shd w:val="clear" w:color="auto" w:fill="auto"/>
            <w:noWrap/>
            <w:vAlign w:val="center"/>
            <w:hideMark/>
          </w:tcPr>
          <w:p w14:paraId="71581812" w14:textId="4A0A17FC"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Sabat</w:t>
            </w:r>
            <w:r w:rsidR="00EB2BE9">
              <w:rPr>
                <w:rFonts w:ascii="Calibri" w:eastAsia="Times New Roman" w:hAnsi="Calibri" w:cs="Calibri"/>
                <w:color w:val="000000"/>
                <w:sz w:val="20"/>
                <w:lang w:val="en-AU" w:eastAsia="en-AU"/>
              </w:rPr>
              <w:t>é</w:t>
            </w:r>
            <w:r w:rsidRPr="00EC3B99">
              <w:rPr>
                <w:rFonts w:ascii="Calibri" w:eastAsia="Times New Roman" w:hAnsi="Calibri" w:cs="Calibri"/>
                <w:color w:val="000000"/>
                <w:sz w:val="20"/>
                <w:lang w:val="en-AU" w:eastAsia="en-AU"/>
              </w:rPr>
              <w:t>s</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gLWJW3","properties":{"formattedCitation":"(1989)","plainCitation":"(1989)","noteIndex":0},"citationItems":[{"id":1358,"uris":["http://zotero.org/users/local/U6DoygBa/items/JLF8ETGW"],"uri":["http://zotero.org/users/local/U6DoygBa/items/JLF8ETGW"],"itemData":{"id":1358,"type":"article-journal","abstract":"We studied the distribution patterns of ten zooplankton taxa of the Catalan coast (Western Mediterranean) using data collected in six research cruises along the continental shelf from April to July and September to October 1983. Zooplankton biomass ranged from 0.2–0.4 mg m-3 to 48–60 mg m-3, the greatest values being recorded between April and May, when gelatinous zooplankton concentrations were consistently present along the edge of the continental shelf. We identified the main factors contributing to the observed pattern of zooplankton distribution as the high degree of environmental fluctuation close to the coast (thermal gradient from north to south), the structural heterogeneity inherent to the continental shelf, and the persistence of a hydrographical front along the margin of the shelf.","container-title":"Marine Biology","DOI":"10.1007/BF00543342","ISSN":"1432-1793","issue":"2","journalAbbreviation":"Mar. Biol.","language":"en","page":"153-159","source":"Springer Link","title":"Relationship between zooplankton distribution, geographic characteristics and hydrographic patterns off the Catalan coast (Western Mediterranean)","volume":"103","author":[{"family":"Sabatès","given":"A."},{"family":"Gili","given":"J. M."},{"family":"Pagès","given":"F."}],"issued":{"date-parts":[["1989",6,1]]}},"suppress-author":true}],"schema":"https://github.com/citation-style-language/schema/raw/master/csl-citation.json"}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(1989)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(#10)</w:t>
            </w:r>
          </w:p>
        </w:tc>
        <w:tc>
          <w:tcPr>
            <w:tcW w:w="1701" w:type="dxa"/>
            <w:shd w:val="clear" w:color="auto" w:fill="auto"/>
            <w:noWrap/>
            <w:vAlign w:val="center"/>
            <w:hideMark/>
          </w:tcPr>
          <w:p w14:paraId="5BA04CF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Western Mediterranean</w:t>
            </w:r>
          </w:p>
        </w:tc>
        <w:tc>
          <w:tcPr>
            <w:tcW w:w="1134" w:type="dxa"/>
            <w:shd w:val="clear" w:color="auto" w:fill="auto"/>
            <w:noWrap/>
            <w:vAlign w:val="center"/>
            <w:hideMark/>
          </w:tcPr>
          <w:p w14:paraId="2FB6A0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42.5</w:t>
            </w:r>
          </w:p>
        </w:tc>
        <w:tc>
          <w:tcPr>
            <w:tcW w:w="1134" w:type="dxa"/>
            <w:shd w:val="clear" w:color="auto" w:fill="auto"/>
            <w:noWrap/>
            <w:vAlign w:val="center"/>
            <w:hideMark/>
          </w:tcPr>
          <w:p w14:paraId="0C2C2B3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p>
        </w:tc>
        <w:tc>
          <w:tcPr>
            <w:tcW w:w="993" w:type="dxa"/>
            <w:shd w:val="clear" w:color="auto" w:fill="auto"/>
            <w:noWrap/>
            <w:vAlign w:val="center"/>
            <w:hideMark/>
          </w:tcPr>
          <w:p w14:paraId="1582349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w:t>
            </w:r>
          </w:p>
        </w:tc>
        <w:tc>
          <w:tcPr>
            <w:tcW w:w="992" w:type="dxa"/>
            <w:shd w:val="clear" w:color="auto" w:fill="auto"/>
            <w:noWrap/>
            <w:vAlign w:val="center"/>
            <w:hideMark/>
          </w:tcPr>
          <w:p w14:paraId="3F2888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100</w:t>
            </w:r>
          </w:p>
        </w:tc>
        <w:tc>
          <w:tcPr>
            <w:tcW w:w="992" w:type="dxa"/>
            <w:shd w:val="clear" w:color="auto" w:fill="auto"/>
            <w:noWrap/>
            <w:vAlign w:val="center"/>
            <w:hideMark/>
          </w:tcPr>
          <w:p w14:paraId="11123BC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0.05</w:t>
            </w:r>
          </w:p>
        </w:tc>
        <w:tc>
          <w:tcPr>
            <w:tcW w:w="1276" w:type="dxa"/>
            <w:shd w:val="clear" w:color="auto" w:fill="auto"/>
            <w:noWrap/>
            <w:vAlign w:val="center"/>
            <w:hideMark/>
          </w:tcPr>
          <w:p w14:paraId="038C5D4C"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3AE3E6D4"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541B3206"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325AF64F"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66A7FE47"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5D2D1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3CA16F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strongly related to front</w:t>
            </w:r>
            <w:r>
              <w:rPr>
                <w:rFonts w:ascii="Calibri" w:eastAsia="Times New Roman" w:hAnsi="Calibri" w:cs="Calibri"/>
                <w:color w:val="000000"/>
                <w:sz w:val="20"/>
                <w:lang w:val="en-AU" w:eastAsia="en-AU"/>
              </w:rPr>
              <w:t>.</w:t>
            </w:r>
          </w:p>
        </w:tc>
      </w:tr>
      <w:tr w:rsidR="00B07758" w:rsidRPr="00EC3B99" w14:paraId="0DF5E213" w14:textId="77777777" w:rsidTr="00885394">
        <w:trPr>
          <w:trHeight w:val="300"/>
        </w:trPr>
        <w:tc>
          <w:tcPr>
            <w:tcW w:w="1276" w:type="dxa"/>
            <w:shd w:val="clear" w:color="auto" w:fill="auto"/>
            <w:noWrap/>
            <w:vAlign w:val="center"/>
          </w:tcPr>
          <w:p w14:paraId="754B2449" w14:textId="4D562A7C" w:rsidR="00B07758" w:rsidRPr="00EC3B99" w:rsidRDefault="00B07758" w:rsidP="00B07758">
            <w:pPr>
              <w:jc w:val="center"/>
              <w:rPr>
                <w:rFonts w:ascii="Calibri" w:eastAsia="Times New Roman" w:hAnsi="Calibri" w:cs="Calibri"/>
                <w:color w:val="000000"/>
                <w:sz w:val="20"/>
                <w:lang w:val="en-AU" w:eastAsia="en-AU"/>
              </w:rPr>
            </w:pPr>
            <w:proofErr w:type="spellStart"/>
            <w:r w:rsidRPr="00504F62">
              <w:rPr>
                <w:rFonts w:ascii="Calibri" w:eastAsia="Times New Roman" w:hAnsi="Calibri" w:cs="Calibri"/>
                <w:color w:val="000000"/>
                <w:sz w:val="20"/>
                <w:lang w:val="en-AU" w:eastAsia="en-AU"/>
              </w:rPr>
              <w:lastRenderedPageBreak/>
              <w:t>Schultes</w:t>
            </w:r>
            <w:proofErr w:type="spellEnd"/>
            <w:r w:rsidRPr="00504F62">
              <w:rPr>
                <w:rFonts w:ascii="Calibri" w:eastAsia="Times New Roman" w:hAnsi="Calibri" w:cs="Calibri"/>
                <w:color w:val="000000"/>
                <w:sz w:val="20"/>
                <w:lang w:val="en-AU" w:eastAsia="en-AU"/>
              </w:rPr>
              <w:t xml:space="preserve"> &amp; Lopes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SSOshSgX","properties":{"formattedCitation":"(2009)","plainCitation":"(2009)","noteIndex":0},"citationItems":[{"id":1402,"uris":["http://zotero.org/users/local/U6DoygBa/items/MIE3C8X7"],"uri":["http://zotero.org/users/local/U6DoygBa/items/MIE3C8X7"],"itemData":{"id":1402,"type":"article-journal","abstract":"Two recently developed instruments, the Laser Optical Plankton Counter (LOPC) and the Zooscan, have been applied to study zooplankton biomass size spectra in tropical and subtropical marine ecosystems off Brazil. Both technologies rely on optical measurements of particles and may potentially be used in zooplankton monitoring programs. Vertical profiles of the LOPC installed in a 200 µm ring net have been obtained from diverse environmental settings ranging from turbid and nearshore waters to oligotrophic open ocean conditions. Net samples were analyzed on the Zooscan and counted under a microscope. Particle biovolume in the study area estimated with the LOPC correlated with plankton displacement volume from the net samples, but there was no significant relationship between total areal zooplankton biomass determined with LOPC and the Zooscan. Apparently, normalized biomass size spectra (NBSS) of LOPC and Zooscan overlapped for particles in the size range of 500 to 1500 µm in equivalent spherical diameter (ESD), especially at open ocean stations. However, the distribution of particles into five size classes was statistically different between both instruments at 24 of 28 stations. The disparities arise from unequal flow estimates, from different sampling efficiencies of LOPC tunnel and net for large and small particles, and possibly from the interference of non-zooplankton material in the LOPC signal. Ecosystem properties and technical differences therefore limit the direct comparability of the NBSS slopes obtained with both instruments during this study, and their results should be regarded as complementary.","container-title":"Limnology and Oceanography: Methods","DOI":"10.4319/lom.2009.7.771","ISSN":"1541-5856","issue":"11","journalAbbreviation":"Limnol. Oceanogr.: Methods","language":"en","note":"_eprint: https://aslopubs.onlinelibrary.wiley.com/doi/pdf/10.4319/lom.2009.7.771","page":"771-784","source":"Wiley Online Library","title":"Laser Optical Plankton Counter and Zooscan intercomparison in tropical and subtropical marine ecosystems","volume":"7","author":[{"family":"Schultes","given":"Sabine"},{"family":"Lopes","given":"Rubens M."}],"issued":{"date-parts":[["2009"]]}},"suppress-author":true}],"schema":"https://github.com/citation-style-language/schema/raw/master/csl-citation.json"}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(#11)</w:t>
            </w:r>
          </w:p>
        </w:tc>
        <w:tc>
          <w:tcPr>
            <w:tcW w:w="1701" w:type="dxa"/>
            <w:shd w:val="clear" w:color="auto" w:fill="auto"/>
            <w:noWrap/>
            <w:vAlign w:val="center"/>
          </w:tcPr>
          <w:p w14:paraId="5EBC0C1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tcPr>
          <w:p w14:paraId="6F27B24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tcPr>
          <w:p w14:paraId="60EF404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tcPr>
          <w:p w14:paraId="5581F8F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6395B18"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tcPr>
          <w:p w14:paraId="1168A47A"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tcPr>
          <w:p w14:paraId="767AA06D"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9697A12"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3E7CE3C6" w14:textId="77777777" w:rsidR="00B07758" w:rsidRPr="00EC3B99" w:rsidRDefault="00B07758" w:rsidP="00B07758">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583AF799"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-1.68</w:t>
            </w:r>
          </w:p>
        </w:tc>
        <w:tc>
          <w:tcPr>
            <w:tcW w:w="992" w:type="dxa"/>
            <w:shd w:val="clear" w:color="auto" w:fill="auto"/>
            <w:noWrap/>
            <w:vAlign w:val="center"/>
          </w:tcPr>
          <w:p w14:paraId="69398C29" w14:textId="77777777" w:rsidR="00B07758" w:rsidRPr="00EC3B99" w:rsidRDefault="00B07758" w:rsidP="00B07758">
            <w:pPr>
              <w:jc w:val="center"/>
              <w:rPr>
                <w:rFonts w:eastAsia="Times New Roman"/>
                <w:sz w:val="20"/>
                <w:lang w:val="en-AU" w:eastAsia="en-AU"/>
              </w:rPr>
            </w:pPr>
            <w:r>
              <w:rPr>
                <w:rFonts w:ascii="Calibri" w:eastAsia="Times New Roman" w:hAnsi="Calibri" w:cs="Calibri"/>
                <w:color w:val="000000"/>
                <w:sz w:val="20"/>
                <w:lang w:val="en-AU" w:eastAsia="en-AU"/>
              </w:rPr>
              <w:t>-1.3</w:t>
            </w:r>
          </w:p>
        </w:tc>
        <w:tc>
          <w:tcPr>
            <w:tcW w:w="709" w:type="dxa"/>
            <w:shd w:val="clear" w:color="auto" w:fill="auto"/>
            <w:noWrap/>
            <w:vAlign w:val="center"/>
          </w:tcPr>
          <w:p w14:paraId="5FC2EA18" w14:textId="77777777" w:rsidR="00B07758" w:rsidRPr="00EC3B99" w:rsidRDefault="00B07758" w:rsidP="00B07758">
            <w:pPr>
              <w:jc w:val="center"/>
              <w:rPr>
                <w:rFonts w:eastAsia="Times New Roman"/>
                <w:sz w:val="20"/>
                <w:lang w:val="en-AU" w:eastAsia="en-AU"/>
              </w:rPr>
            </w:pPr>
            <w:r w:rsidRPr="00504F62">
              <w:rPr>
                <w:rFonts w:ascii="Calibri" w:eastAsia="Times New Roman" w:hAnsi="Calibri" w:cs="Calibri"/>
                <w:color w:val="000000"/>
                <w:sz w:val="20"/>
                <w:lang w:eastAsia="en-AU"/>
              </w:rPr>
              <w:t>1.29</w:t>
            </w:r>
          </w:p>
        </w:tc>
        <w:tc>
          <w:tcPr>
            <w:tcW w:w="1276" w:type="dxa"/>
            <w:shd w:val="clear" w:color="auto" w:fill="auto"/>
            <w:noWrap/>
            <w:vAlign w:val="center"/>
          </w:tcPr>
          <w:p w14:paraId="539B7575"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4CC59CE0" w14:textId="77777777" w:rsidTr="00885394">
        <w:trPr>
          <w:trHeight w:val="300"/>
        </w:trPr>
        <w:tc>
          <w:tcPr>
            <w:tcW w:w="1276" w:type="dxa"/>
            <w:shd w:val="clear" w:color="auto" w:fill="auto"/>
            <w:noWrap/>
            <w:vAlign w:val="center"/>
            <w:hideMark/>
          </w:tcPr>
          <w:p w14:paraId="2CEE9AD7" w14:textId="5E03B395"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Skarðhamar</w:t>
            </w:r>
            <w:proofErr w:type="spellEnd"/>
            <w:r w:rsidRPr="00EC3B99">
              <w:rPr>
                <w:rFonts w:ascii="Calibri" w:eastAsia="Times New Roman" w:hAnsi="Calibri" w:cs="Calibri"/>
                <w:color w:val="000000"/>
                <w:sz w:val="20"/>
                <w:lang w:val="en-AU" w:eastAsia="en-AU"/>
              </w:rPr>
              <w:t xml:space="preserve">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VrgZNpWv","properties":{"formattedCitation":"(2007)","plainCitation":"(2007)","noteIndex":0},"citationItems":[{"id":1324,"uris":["http://zotero.org/users/local/U6DoygBa/items/RFTYU48I"],"uri":["http://zotero.org/users/local/U6DoygBa/items/RFTYU48I"],"itemData":{"id":1324,"type":"article-journal","abstract":"Plankton distribution, hydrography and circulation dynamics were investigated in a shelf area off Northern Norway in June 2000 and June 2001. CTD and Optical Plankton Counter data were obtained from the upper 200m by towing an undulating underwater vehicle across the continental shelf and shelf slope. In both years the front between Atlantic Water and Norwegian Coastal Water was sharp in the region west of the shelf break. In June 2000, convergence zones with lower salinities and higher temperatures than the ambient water were detected in the upper 30m of the water column over the shelf with a corresponding increase in concentrations of phytoplankton and zooplankton. An interpretation of the field data combined with numerical 3D model simulations indicated that the observed patchiness of phytoplankton and zooplankton in these areas possibly originated from plumes of plankton-rich fjord water trapped in eddies over the banks. Such convergence structures were not observed in June 2001. The differing levels of freshwater discharge and the differing wind conditions before and during the two cruise periods can explain the observed differences in hydrography over the shelf, and are likely to have effect on the plankton distribution.","collection-title":"Hydrodynamic control of aquatic ecosystem processes","container-title":"Estuarine, Coastal and Shelf Science","DOI":"10.1016/j.ecss.2007.05.044","ISSN":"0272-7714","issue":"3","journalAbbreviation":"Estuarine, Coastal Shelf Sci.","language":"en","page":"381-392","source":"ScienceDirect","title":"Plankton distributions related to hydrography and circulation dynamics on a narrow continental shelf off Northern Norway","volume":"75","author":[{"family":"Skarðhamar","given":"Jofrid"},{"family":"Slagstad","given":"Dag"},{"family":"Edvardsen","given":"Are"}],"issued":{"date-parts":[["2007",11,1]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(2007)</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(#12)</w:t>
            </w:r>
          </w:p>
        </w:tc>
        <w:tc>
          <w:tcPr>
            <w:tcW w:w="1701" w:type="dxa"/>
            <w:shd w:val="clear" w:color="auto" w:fill="auto"/>
            <w:noWrap/>
            <w:vAlign w:val="center"/>
            <w:hideMark/>
          </w:tcPr>
          <w:p w14:paraId="58B6FCD3"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Northern Norway</w:t>
            </w:r>
          </w:p>
        </w:tc>
        <w:tc>
          <w:tcPr>
            <w:tcW w:w="1134" w:type="dxa"/>
            <w:shd w:val="clear" w:color="auto" w:fill="auto"/>
            <w:noWrap/>
            <w:vAlign w:val="center"/>
            <w:hideMark/>
          </w:tcPr>
          <w:p w14:paraId="7F0E18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69.5</w:t>
            </w:r>
          </w:p>
        </w:tc>
        <w:tc>
          <w:tcPr>
            <w:tcW w:w="1134" w:type="dxa"/>
            <w:shd w:val="clear" w:color="auto" w:fill="auto"/>
            <w:noWrap/>
            <w:vAlign w:val="center"/>
            <w:hideMark/>
          </w:tcPr>
          <w:p w14:paraId="5ADD044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w:t>
            </w:r>
          </w:p>
        </w:tc>
        <w:tc>
          <w:tcPr>
            <w:tcW w:w="993" w:type="dxa"/>
            <w:shd w:val="clear" w:color="auto" w:fill="auto"/>
            <w:noWrap/>
            <w:vAlign w:val="center"/>
            <w:hideMark/>
          </w:tcPr>
          <w:p w14:paraId="6BF99C36"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1EAB8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4C653D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478C1C5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2000</w:t>
            </w:r>
          </w:p>
        </w:tc>
        <w:tc>
          <w:tcPr>
            <w:tcW w:w="1276" w:type="dxa"/>
            <w:shd w:val="clear" w:color="auto" w:fill="auto"/>
            <w:noWrap/>
            <w:vAlign w:val="center"/>
            <w:hideMark/>
          </w:tcPr>
          <w:p w14:paraId="6528851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750</w:t>
            </w:r>
          </w:p>
        </w:tc>
        <w:tc>
          <w:tcPr>
            <w:tcW w:w="1275" w:type="dxa"/>
            <w:shd w:val="clear" w:color="auto" w:fill="auto"/>
            <w:noWrap/>
            <w:vAlign w:val="center"/>
            <w:hideMark/>
          </w:tcPr>
          <w:p w14:paraId="5E864F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w:t>
            </w:r>
            <w:r>
              <w:rPr>
                <w:rFonts w:ascii="Calibri" w:eastAsia="Times New Roman" w:hAnsi="Calibri" w:cs="Calibri"/>
                <w:color w:val="000000"/>
                <w:sz w:val="20"/>
                <w:lang w:val="en-AU" w:eastAsia="en-AU"/>
              </w:rPr>
              <w:t>7</w:t>
            </w:r>
          </w:p>
        </w:tc>
        <w:tc>
          <w:tcPr>
            <w:tcW w:w="851" w:type="dxa"/>
            <w:shd w:val="clear" w:color="auto" w:fill="auto"/>
            <w:noWrap/>
            <w:vAlign w:val="center"/>
            <w:hideMark/>
          </w:tcPr>
          <w:p w14:paraId="61933FB9"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900772B"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51E89A1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36C4CA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also high at front</w:t>
            </w:r>
            <w:r>
              <w:rPr>
                <w:rFonts w:ascii="Calibri" w:eastAsia="Times New Roman" w:hAnsi="Calibri" w:cs="Calibri"/>
                <w:color w:val="000000"/>
                <w:sz w:val="20"/>
                <w:lang w:val="en-AU" w:eastAsia="en-AU"/>
              </w:rPr>
              <w:t>.</w:t>
            </w:r>
          </w:p>
        </w:tc>
      </w:tr>
      <w:tr w:rsidR="00B07758" w:rsidRPr="00EC3B99" w14:paraId="1032E98E" w14:textId="77777777" w:rsidTr="00885394">
        <w:trPr>
          <w:trHeight w:val="300"/>
        </w:trPr>
        <w:tc>
          <w:tcPr>
            <w:tcW w:w="1276" w:type="dxa"/>
            <w:shd w:val="clear" w:color="auto" w:fill="auto"/>
            <w:noWrap/>
            <w:vAlign w:val="center"/>
            <w:hideMark/>
          </w:tcPr>
          <w:p w14:paraId="54202107" w14:textId="4B115D80"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Sourisseau</w:t>
            </w:r>
            <w:proofErr w:type="spellEnd"/>
            <w:r w:rsidRPr="00EC3B99">
              <w:rPr>
                <w:rFonts w:ascii="Calibri" w:eastAsia="Times New Roman" w:hAnsi="Calibri" w:cs="Calibri"/>
                <w:color w:val="000000"/>
                <w:sz w:val="20"/>
                <w:lang w:val="en-AU" w:eastAsia="en-AU"/>
              </w:rPr>
              <w:t xml:space="preserve"> &amp; </w:t>
            </w:r>
            <w:proofErr w:type="spellStart"/>
            <w:r w:rsidRPr="00EC3B99">
              <w:rPr>
                <w:rFonts w:ascii="Calibri" w:eastAsia="Times New Roman" w:hAnsi="Calibri" w:cs="Calibri"/>
                <w:color w:val="000000"/>
                <w:sz w:val="20"/>
                <w:lang w:val="en-AU" w:eastAsia="en-AU"/>
              </w:rPr>
              <w:t>Carlotti</w:t>
            </w:r>
            <w:proofErr w:type="spellEnd"/>
            <w:r w:rsidRPr="00EC3B9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oLSpP0zE","properties":{"formattedCitation":"(2006)","plainCitation":"(2006)","noteIndex":0},"citationItems":[{"id":990,"uris":["http://zotero.org/users/local/U6DoygBa/items/78GH7NM5"],"uri":["http://zotero.org/users/local/U6DoygBa/items/78GH7NM5"],"itemData":{"id":990,"type":"article-journal","abstract":"During two cruises in springtime (18 March to 13 April 2000 and 27 March to 4 June 2001), the whole French continental shelf of the Bay of Biscay was sampled to obtain an overview on the zooplankton community size structure. A laboratory optical plankton counter (OPC-1L) was used to process plankton net tow samples and estimate abundance, biovolume, and general characteristics of size spectra. In a second step, biomass estimates were extrapolated from size by using a conversion factor. Both biomass and abundance estimates show spatial patterns with a clear coastal-open sea gradient for both years. The coastal area was characterized by the highest biomasses and abundances per volume. A first analysis of the zooplankton community size spectra was made by using the slope of the normalized biomass size spectrum. Different spatial patterns of zooplankton size spectra were highlighted for spring 2000 and 2001. The highest slopes were found for the coastal zone, showing a large ratio of small organisms, although this was less marked in the springtime 2000. Stations characterized by high proportions of large organisms were located in majority in the north of the bay and at the shelf break. A second analysis using the size probability distributions of organisms revealed a nearly permanent nonlinearity of probability distributions. This implied the community structure was not in an equilibrium state during spring and this nonlinearity could be locally related to dominant species dynamics.","container-title":"Journal of Geophysical Research: Oceans","DOI":"10.1029/2005jc003063","ISSN":"0148-0227","issue":"C5","journalAbbreviation":"J. Geophys. Res.: Oceans","title":"Spatial distribution of zooplankton size spectra on the French continental shelf of the Bay of Biscay during spring 2000 and 2001","volume":"111","author":[{"family":"Sourisseau","given":"Marc"},{"family":"Carlotti","given":"François"}],"issued":{"date-parts":[["2006"]]}},"suppress-author":true}],"schema":"https://github.com/citation-style-language/schema/raw/master/csl-citation.json"}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(2006)</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(#13)</w:t>
            </w:r>
          </w:p>
        </w:tc>
        <w:tc>
          <w:tcPr>
            <w:tcW w:w="1701" w:type="dxa"/>
            <w:shd w:val="clear" w:color="auto" w:fill="auto"/>
            <w:noWrap/>
            <w:vAlign w:val="center"/>
            <w:hideMark/>
          </w:tcPr>
          <w:p w14:paraId="6F9FF9B5"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673B91B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7352B23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68C98F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AD413D2"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55091097"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57CE5EA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17500</w:t>
            </w:r>
          </w:p>
        </w:tc>
        <w:tc>
          <w:tcPr>
            <w:tcW w:w="1276" w:type="dxa"/>
            <w:shd w:val="clear" w:color="auto" w:fill="auto"/>
            <w:noWrap/>
            <w:vAlign w:val="center"/>
            <w:hideMark/>
          </w:tcPr>
          <w:p w14:paraId="2310FD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800</w:t>
            </w:r>
          </w:p>
        </w:tc>
        <w:tc>
          <w:tcPr>
            <w:tcW w:w="1275" w:type="dxa"/>
            <w:shd w:val="clear" w:color="auto" w:fill="auto"/>
            <w:noWrap/>
            <w:vAlign w:val="center"/>
            <w:hideMark/>
          </w:tcPr>
          <w:p w14:paraId="5DEAA38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21.8</w:t>
            </w:r>
            <w:r>
              <w:rPr>
                <w:rFonts w:ascii="Calibri" w:eastAsia="Times New Roman" w:hAnsi="Calibri" w:cs="Calibri"/>
                <w:color w:val="000000"/>
                <w:sz w:val="20"/>
                <w:lang w:val="en-AU" w:eastAsia="en-AU"/>
              </w:rPr>
              <w:t>8</w:t>
            </w:r>
          </w:p>
        </w:tc>
        <w:tc>
          <w:tcPr>
            <w:tcW w:w="851" w:type="dxa"/>
            <w:shd w:val="clear" w:color="auto" w:fill="auto"/>
            <w:noWrap/>
            <w:vAlign w:val="center"/>
            <w:hideMark/>
          </w:tcPr>
          <w:p w14:paraId="0D91170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122CB02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709" w:type="dxa"/>
            <w:shd w:val="clear" w:color="auto" w:fill="auto"/>
            <w:noWrap/>
            <w:vAlign w:val="center"/>
            <w:hideMark/>
          </w:tcPr>
          <w:p w14:paraId="576F58E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1.47</w:t>
            </w:r>
          </w:p>
        </w:tc>
        <w:tc>
          <w:tcPr>
            <w:tcW w:w="1276" w:type="dxa"/>
            <w:shd w:val="clear" w:color="auto" w:fill="auto"/>
            <w:noWrap/>
            <w:vAlign w:val="center"/>
            <w:hideMark/>
          </w:tcPr>
          <w:p w14:paraId="65B29CB6" w14:textId="77777777" w:rsidR="00B07758" w:rsidRPr="00EC3B99" w:rsidRDefault="00B07758" w:rsidP="00B07758">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 xml:space="preserve">converted from </w:t>
            </w:r>
            <w:r>
              <w:rPr>
                <w:rFonts w:ascii="Calibri" w:eastAsia="Times New Roman" w:hAnsi="Calibri" w:cs="Calibri"/>
                <w:color w:val="000000"/>
                <w:sz w:val="20"/>
                <w:lang w:val="en-AU" w:eastAsia="en-AU"/>
              </w:rPr>
              <w:t>ind. L</w:t>
            </w:r>
            <w:r>
              <w:rPr>
                <w:rFonts w:ascii="Calibri" w:eastAsia="Times New Roman" w:hAnsi="Calibri" w:cs="Calibri"/>
                <w:color w:val="000000"/>
                <w:sz w:val="20"/>
                <w:vertAlign w:val="superscript"/>
                <w:lang w:val="en-AU" w:eastAsia="en-AU"/>
              </w:rPr>
              <w:t>-1</w:t>
            </w:r>
          </w:p>
        </w:tc>
      </w:tr>
      <w:tr w:rsidR="00B07758" w:rsidRPr="00EC3B99" w14:paraId="7040AF1C" w14:textId="77777777" w:rsidTr="00885394">
        <w:trPr>
          <w:trHeight w:val="300"/>
        </w:trPr>
        <w:tc>
          <w:tcPr>
            <w:tcW w:w="1276" w:type="dxa"/>
            <w:shd w:val="clear" w:color="auto" w:fill="auto"/>
            <w:noWrap/>
            <w:vAlign w:val="center"/>
            <w:hideMark/>
          </w:tcPr>
          <w:p w14:paraId="0C36B498" w14:textId="0CD12C1D"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Thompson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hhMgXIiz","properties":{"formattedCitation":"(2013)","plainCitation":"(2013)","noteIndex":0},"citationItems":[{"id":1019,"uris":["http://zotero.org/users/local/U6DoygBa/items/V35SDPYG"],"uri":["http://zotero.org/users/local/U6DoygBa/items/V35SDPYG"],"itemData":{"id":1019,"type":"article-journal","abstract":"Little attention has been paid to small copepods and other zooplankton inhabiting pelagic ecosystems of the Southwestern Atlantic Ocean under the influence of the Antarctic Circumpolar Current circulation, despite their important role in the trophic chain and fisheries. This study gives a synoptic view (January 2001) of the micro and mesoplankton size fractions and normalized biomass size spectra (NBSS) in upper waters of five different ecological domains (shelf and oceanic Subantarctic and Antarctic waters) including the Brazil–Malvinas confluence (BMC). Copepods were always the main component of the zooplankton\nthe &lt;300-&amp;#x00B5\nm fraction represented between 70 and 99% in terms of numbers and from 20 to 88% in terms of biomass. Other zooplankton contributed with &lt;40% to total zooplankton densities, though showing some biomass peaks (&gt;50%). Chlorophyll a , sea surface temperature and salinity were the environmental variables that best explained the distribution trend of zooplankton, mainly that of the &lt;300-&amp;#x00B5\nm fraction. For all the domains, NBSS revealed flat slopes (−0.6 to −1), suggesting a higher proportion of large organisms than expected at equilibrium. A dome-shape feature was detected in the BMC. Total biomass and trophic levels of the system were related to the composition of the community and the hydrological conditions of the domains covered.","container-title":"Journal of Plankton Research","DOI":"10.1093/plankt/fbt014","ISSN":"0142-7873","issue":"3","page":"610-629","title":"Structure, abundance and biomass size spectra of copepods and other zooplankton communities in upper waters of the Southwestern Atlantic Ocean during summer","volume":"35","author":[{"family":"Thompson","given":"Gustavo A."},{"family":"Dinofrio","given":"Estela O."},{"family":"Alder","given":"Viviana A."}],"issued":{"date-parts":[["2013"]]}},"suppress-author":true}],"schema":"https://github.com/citation-style-language/schema/raw/master/csl-citation.json"}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(2013)</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(#14)</w:t>
            </w:r>
          </w:p>
        </w:tc>
        <w:tc>
          <w:tcPr>
            <w:tcW w:w="1701" w:type="dxa"/>
            <w:shd w:val="clear" w:color="auto" w:fill="auto"/>
            <w:noWrap/>
            <w:vAlign w:val="center"/>
            <w:hideMark/>
          </w:tcPr>
          <w:p w14:paraId="29BAF40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w:t>
            </w:r>
          </w:p>
        </w:tc>
        <w:tc>
          <w:tcPr>
            <w:tcW w:w="1134" w:type="dxa"/>
            <w:shd w:val="clear" w:color="auto" w:fill="auto"/>
            <w:noWrap/>
            <w:vAlign w:val="center"/>
            <w:hideMark/>
          </w:tcPr>
          <w:p w14:paraId="04315F7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w:t>
            </w:r>
          </w:p>
        </w:tc>
        <w:tc>
          <w:tcPr>
            <w:tcW w:w="1134" w:type="dxa"/>
            <w:shd w:val="clear" w:color="auto" w:fill="auto"/>
            <w:noWrap/>
            <w:vAlign w:val="center"/>
            <w:hideMark/>
          </w:tcPr>
          <w:p w14:paraId="7528B37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w:t>
            </w:r>
          </w:p>
        </w:tc>
        <w:tc>
          <w:tcPr>
            <w:tcW w:w="993" w:type="dxa"/>
            <w:shd w:val="clear" w:color="auto" w:fill="auto"/>
            <w:noWrap/>
            <w:vAlign w:val="center"/>
            <w:hideMark/>
          </w:tcPr>
          <w:p w14:paraId="3579EE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47.9</w:t>
            </w:r>
          </w:p>
        </w:tc>
        <w:tc>
          <w:tcPr>
            <w:tcW w:w="992" w:type="dxa"/>
            <w:shd w:val="clear" w:color="auto" w:fill="auto"/>
            <w:noWrap/>
            <w:vAlign w:val="center"/>
            <w:hideMark/>
          </w:tcPr>
          <w:p w14:paraId="21CD804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28.8</w:t>
            </w:r>
          </w:p>
        </w:tc>
        <w:tc>
          <w:tcPr>
            <w:tcW w:w="992" w:type="dxa"/>
            <w:shd w:val="clear" w:color="auto" w:fill="auto"/>
            <w:noWrap/>
            <w:vAlign w:val="center"/>
            <w:hideMark/>
          </w:tcPr>
          <w:p w14:paraId="63BE340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6</w:t>
            </w:r>
          </w:p>
        </w:tc>
        <w:tc>
          <w:tcPr>
            <w:tcW w:w="1276" w:type="dxa"/>
            <w:shd w:val="clear" w:color="auto" w:fill="auto"/>
            <w:noWrap/>
            <w:vAlign w:val="center"/>
            <w:hideMark/>
          </w:tcPr>
          <w:p w14:paraId="12DDBD8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5FBD334B"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865AE1E"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FD5A7FC"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-0.58</w:t>
            </w:r>
          </w:p>
        </w:tc>
        <w:tc>
          <w:tcPr>
            <w:tcW w:w="992" w:type="dxa"/>
            <w:shd w:val="clear" w:color="auto" w:fill="auto"/>
            <w:noWrap/>
            <w:vAlign w:val="center"/>
            <w:hideMark/>
          </w:tcPr>
          <w:p w14:paraId="729A6E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-0.41</w:t>
            </w:r>
          </w:p>
        </w:tc>
        <w:tc>
          <w:tcPr>
            <w:tcW w:w="709" w:type="dxa"/>
            <w:shd w:val="clear" w:color="auto" w:fill="auto"/>
            <w:noWrap/>
            <w:vAlign w:val="center"/>
            <w:hideMark/>
          </w:tcPr>
          <w:p w14:paraId="29978D8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61C2192"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non-linear slopes offshore, smaller particles inshore</w:t>
            </w:r>
          </w:p>
        </w:tc>
      </w:tr>
      <w:tr w:rsidR="00B07758" w:rsidRPr="00EC3B99" w14:paraId="6BC4440A" w14:textId="77777777" w:rsidTr="00885394">
        <w:trPr>
          <w:trHeight w:val="300"/>
        </w:trPr>
        <w:tc>
          <w:tcPr>
            <w:tcW w:w="1276" w:type="dxa"/>
            <w:shd w:val="clear" w:color="auto" w:fill="auto"/>
            <w:noWrap/>
            <w:vAlign w:val="center"/>
            <w:hideMark/>
          </w:tcPr>
          <w:p w14:paraId="7C8AB38A" w14:textId="32746E73"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TzFxVOQA","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(#15)</w:t>
            </w:r>
          </w:p>
        </w:tc>
        <w:tc>
          <w:tcPr>
            <w:tcW w:w="1701" w:type="dxa"/>
            <w:shd w:val="clear" w:color="auto" w:fill="auto"/>
            <w:noWrap/>
            <w:vAlign w:val="center"/>
            <w:hideMark/>
          </w:tcPr>
          <w:p w14:paraId="7016A46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FADD338"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3A8CD00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7167237"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3288C9C"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5A714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5C4150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7E66F1E6"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4E5AEE47"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1173FF06"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-1.05</w:t>
            </w:r>
          </w:p>
        </w:tc>
        <w:tc>
          <w:tcPr>
            <w:tcW w:w="992" w:type="dxa"/>
            <w:shd w:val="clear" w:color="auto" w:fill="auto"/>
            <w:noWrap/>
            <w:vAlign w:val="center"/>
            <w:hideMark/>
          </w:tcPr>
          <w:p w14:paraId="2A0B4BD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-0.6</w:t>
            </w:r>
          </w:p>
        </w:tc>
        <w:tc>
          <w:tcPr>
            <w:tcW w:w="709" w:type="dxa"/>
            <w:shd w:val="clear" w:color="auto" w:fill="auto"/>
            <w:noWrap/>
            <w:vAlign w:val="center"/>
            <w:hideMark/>
          </w:tcPr>
          <w:p w14:paraId="0E6A507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1276" w:type="dxa"/>
            <w:shd w:val="clear" w:color="auto" w:fill="auto"/>
            <w:noWrap/>
            <w:vAlign w:val="center"/>
            <w:hideMark/>
          </w:tcPr>
          <w:p w14:paraId="1F9D2C96"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F27A8A9" w14:textId="77777777" w:rsidTr="00885394">
        <w:trPr>
          <w:trHeight w:val="300"/>
        </w:trPr>
        <w:tc>
          <w:tcPr>
            <w:tcW w:w="1276" w:type="dxa"/>
            <w:shd w:val="clear" w:color="auto" w:fill="auto"/>
            <w:noWrap/>
            <w:vAlign w:val="center"/>
            <w:hideMark/>
          </w:tcPr>
          <w:p w14:paraId="637333C2" w14:textId="334910A6"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sidR="00EB2BE9">
              <w:rPr>
                <w:rFonts w:ascii="Calibri" w:eastAsia="Times New Roman" w:hAnsi="Calibri" w:cs="Calibri"/>
                <w:color w:val="000000"/>
                <w:sz w:val="20"/>
                <w:lang w:val="en-AU" w:eastAsia="en-AU"/>
              </w:rPr>
              <w:t xml:space="preserve">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15pZWml","properties":{"formattedCitation":"(2014)","plainCitation":"(2014)","noteIndex":0},"citationItems":[{"id":1032,"uris":["http://zotero.org/users/local/U6DoygBa/items/VUTLB342"],"uri":["http://zotero.org/users/local/U6DoygBa/items/VUTLB342"],"itemData":{"id":1032,"type":"article-journal","container-title":"Ocean Science","page":"821-835","title":"Springtime zooplankton size structure over the continental shelf of the Bay of Biscay","volume":"10","author":[{"family":"Vandromme","given":"P."},{"family":"Nogueira","given":"E."},{"family":"Huret","given":"M."},{"family":"Lopez-Urrutia","given":"Á"},{"family":"González","given":"G. González-Nuevo"},{"family":"Sourisseau","given":"M."},{"family":"Petitgas","given":"P."}],"issued":{"date-parts":[["2014"]]}},"suppress-author":true}],"schema":"https://github.com/citation-style-language/schema/raw/master/csl-citation.json"}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(2014)</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(#16)</w:t>
            </w:r>
          </w:p>
        </w:tc>
        <w:tc>
          <w:tcPr>
            <w:tcW w:w="1701" w:type="dxa"/>
            <w:shd w:val="clear" w:color="auto" w:fill="auto"/>
            <w:noWrap/>
            <w:vAlign w:val="center"/>
            <w:hideMark/>
          </w:tcPr>
          <w:p w14:paraId="55958AB1"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64F693B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628EF25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20F4837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5F6385F4"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816BDCE"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B7C4B5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A636210" w14:textId="77777777" w:rsidR="00B07758" w:rsidRPr="00EC3B99" w:rsidRDefault="00B07758" w:rsidP="00B07758">
            <w:pPr>
              <w:jc w:val="center"/>
              <w:rPr>
                <w:rFonts w:eastAsia="Times New Roman"/>
                <w:sz w:val="20"/>
                <w:lang w:val="en-AU" w:eastAsia="en-AU"/>
              </w:rPr>
            </w:pPr>
          </w:p>
        </w:tc>
        <w:tc>
          <w:tcPr>
            <w:tcW w:w="1275" w:type="dxa"/>
            <w:shd w:val="clear" w:color="auto" w:fill="auto"/>
            <w:noWrap/>
            <w:vAlign w:val="center"/>
            <w:hideMark/>
          </w:tcPr>
          <w:p w14:paraId="71B5B349" w14:textId="77777777" w:rsidR="00B07758" w:rsidRPr="00EC3B99" w:rsidRDefault="00B07758" w:rsidP="00B07758">
            <w:pPr>
              <w:jc w:val="center"/>
              <w:rPr>
                <w:rFonts w:eastAsia="Times New Roman"/>
                <w:sz w:val="20"/>
                <w:lang w:val="en-AU" w:eastAsia="en-AU"/>
              </w:rPr>
            </w:pPr>
          </w:p>
        </w:tc>
        <w:tc>
          <w:tcPr>
            <w:tcW w:w="851" w:type="dxa"/>
            <w:shd w:val="clear" w:color="auto" w:fill="auto"/>
            <w:noWrap/>
            <w:vAlign w:val="center"/>
            <w:hideMark/>
          </w:tcPr>
          <w:p w14:paraId="62ABEF8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992" w:type="dxa"/>
            <w:shd w:val="clear" w:color="auto" w:fill="auto"/>
            <w:noWrap/>
            <w:vAlign w:val="center"/>
            <w:hideMark/>
          </w:tcPr>
          <w:p w14:paraId="7911F41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w:t>
            </w:r>
          </w:p>
        </w:tc>
        <w:tc>
          <w:tcPr>
            <w:tcW w:w="709" w:type="dxa"/>
            <w:shd w:val="clear" w:color="auto" w:fill="auto"/>
            <w:noWrap/>
            <w:vAlign w:val="center"/>
            <w:hideMark/>
          </w:tcPr>
          <w:p w14:paraId="40CF4BC9"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0.94</w:t>
            </w:r>
          </w:p>
        </w:tc>
        <w:tc>
          <w:tcPr>
            <w:tcW w:w="1276" w:type="dxa"/>
            <w:shd w:val="clear" w:color="auto" w:fill="auto"/>
            <w:noWrap/>
            <w:vAlign w:val="center"/>
            <w:hideMark/>
          </w:tcPr>
          <w:p w14:paraId="6B9B480A"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3ADADAEB" w14:textId="77777777" w:rsidTr="00885394">
        <w:trPr>
          <w:trHeight w:val="300"/>
        </w:trPr>
        <w:tc>
          <w:tcPr>
            <w:tcW w:w="1276" w:type="dxa"/>
            <w:shd w:val="clear" w:color="auto" w:fill="auto"/>
            <w:noWrap/>
            <w:vAlign w:val="center"/>
            <w:hideMark/>
          </w:tcPr>
          <w:p w14:paraId="6F7E2D24" w14:textId="479B3822" w:rsidR="00B07758" w:rsidRPr="00EC3B99" w:rsidRDefault="00B07758" w:rsidP="00B07758">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Zeldis</w:t>
            </w:r>
            <w:proofErr w:type="spellEnd"/>
            <w:r w:rsidRPr="00EC3B99">
              <w:rPr>
                <w:rFonts w:ascii="Calibri" w:eastAsia="Times New Roman" w:hAnsi="Calibri" w:cs="Calibri"/>
                <w:color w:val="000000"/>
                <w:sz w:val="20"/>
                <w:lang w:val="en-AU" w:eastAsia="en-AU"/>
              </w:rPr>
              <w:t xml:space="preserve"> &amp; Willis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arc1Ufda","properties":{"formattedCitation":"(2015)","plainCitation":"(2015)","noteIndex":0},"citationItems":[{"id":1091,"uris":["http://zotero.org/users/local/U6DoygBa/items/PAQ9NHSM"],"uri":["http://zotero.org/users/local/U6DoygBa/items/PAQ9NHSM"],"itemData":{"id":1091,"type":"article-journal","abstract":"The northeast continental shelf of New Zealand and adjacent Hauraki Gulf were surveyed from early spring to late summer, to identify biogeographic and trophic factors influencing mesozooplankton community distribution and abundance. The outer shelf supported low-abundance oceanic species associated with the East Auckland Current which were also transported to the inner shelf during upwelling. Outer gulf sites, where gulf and shelf waters converged, supported a characteristic frontal assemblage. The inner gulf supported an abundant and diverse neritic community, with greater seasonal variability than offshore. Over spring to summer, succession of mesozooplankton taxa reflected an ecosystem shift from net autotrophic to heterotrophic states. These biogeographic and trophic effects defined the grazing impact mesozooplankton had on lower trophic levels, with grazing often matching primary production in spring and early summer. Greater mesozooplankton abundances in the gulf were supported by higher volume-specific primary productivity than on the shelf. The results have important implications for higher trophic levels, including larval fish survival, adult fish distributions and whale feeding.","container-title":"New Zealand Journal of Marine and Freshwater Research","DOI":"10.1080/00288330.2014.955806","ISSN":"0028-8330","issue":"1","journalAbbreviation":"N. Z. J. Mar. Freshw. Res.","language":"English","page":"69-86","title":"Biogeographic and trophic drivers of mesozooplankton distribution on the northeast continental shelf and in Hauraki Gulf, New Zealand","volume":"49","author":[{"family":"Zeldis","given":"J. R."},{"family":"Willis","given":"K. J."}],"issued":{"date-parts":[["2015",1]]}},"suppress-author":true}],"schema":"https://github.com/citation-style-language/schema/raw/master/csl-citation.json"}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(2015)</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(#17)</w:t>
            </w:r>
          </w:p>
        </w:tc>
        <w:tc>
          <w:tcPr>
            <w:tcW w:w="1701" w:type="dxa"/>
            <w:shd w:val="clear" w:color="auto" w:fill="auto"/>
            <w:noWrap/>
            <w:vAlign w:val="center"/>
            <w:hideMark/>
          </w:tcPr>
          <w:p w14:paraId="56969E6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New Zealand</w:t>
            </w:r>
          </w:p>
        </w:tc>
        <w:tc>
          <w:tcPr>
            <w:tcW w:w="1134" w:type="dxa"/>
            <w:shd w:val="clear" w:color="auto" w:fill="auto"/>
            <w:noWrap/>
            <w:vAlign w:val="center"/>
            <w:hideMark/>
          </w:tcPr>
          <w:p w14:paraId="6B48F8F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-36.6</w:t>
            </w:r>
          </w:p>
        </w:tc>
        <w:tc>
          <w:tcPr>
            <w:tcW w:w="1134" w:type="dxa"/>
            <w:shd w:val="clear" w:color="auto" w:fill="auto"/>
            <w:noWrap/>
            <w:vAlign w:val="center"/>
            <w:hideMark/>
          </w:tcPr>
          <w:p w14:paraId="69830F9D"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993" w:type="dxa"/>
            <w:shd w:val="clear" w:color="auto" w:fill="auto"/>
            <w:noWrap/>
            <w:vAlign w:val="center"/>
            <w:hideMark/>
          </w:tcPr>
          <w:p w14:paraId="63FAE0C3"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2A8D73CE" w14:textId="77777777" w:rsidR="00B07758" w:rsidRPr="00EC3B99" w:rsidRDefault="00B07758" w:rsidP="00B07758">
            <w:pPr>
              <w:jc w:val="center"/>
              <w:rPr>
                <w:rFonts w:eastAsia="Times New Roman"/>
                <w:sz w:val="20"/>
                <w:lang w:val="en-AU" w:eastAsia="en-AU"/>
              </w:rPr>
            </w:pPr>
          </w:p>
        </w:tc>
        <w:tc>
          <w:tcPr>
            <w:tcW w:w="992" w:type="dxa"/>
            <w:shd w:val="clear" w:color="auto" w:fill="auto"/>
            <w:noWrap/>
            <w:vAlign w:val="center"/>
            <w:hideMark/>
          </w:tcPr>
          <w:p w14:paraId="0FA06CF2"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188041D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877</w:t>
            </w:r>
          </w:p>
        </w:tc>
        <w:tc>
          <w:tcPr>
            <w:tcW w:w="1276" w:type="dxa"/>
            <w:shd w:val="clear" w:color="auto" w:fill="auto"/>
            <w:noWrap/>
            <w:vAlign w:val="center"/>
            <w:hideMark/>
          </w:tcPr>
          <w:p w14:paraId="0B6B1C0B"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377</w:t>
            </w:r>
          </w:p>
        </w:tc>
        <w:tc>
          <w:tcPr>
            <w:tcW w:w="1275" w:type="dxa"/>
            <w:shd w:val="clear" w:color="auto" w:fill="auto"/>
            <w:noWrap/>
            <w:vAlign w:val="center"/>
            <w:hideMark/>
          </w:tcPr>
          <w:p w14:paraId="271F8F4A"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w:t>
            </w:r>
            <w:r>
              <w:rPr>
                <w:rFonts w:ascii="Calibri" w:eastAsia="Times New Roman" w:hAnsi="Calibri" w:cs="Calibri"/>
                <w:color w:val="000000"/>
                <w:sz w:val="20"/>
                <w:lang w:val="en-AU" w:eastAsia="en-AU"/>
              </w:rPr>
              <w:t>3</w:t>
            </w:r>
          </w:p>
        </w:tc>
        <w:tc>
          <w:tcPr>
            <w:tcW w:w="851" w:type="dxa"/>
            <w:shd w:val="clear" w:color="auto" w:fill="auto"/>
            <w:noWrap/>
            <w:vAlign w:val="center"/>
            <w:hideMark/>
          </w:tcPr>
          <w:p w14:paraId="00C8D3B1"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36DDD8E" w14:textId="77777777" w:rsidR="00B07758" w:rsidRPr="00EC3B99" w:rsidRDefault="00B07758" w:rsidP="00B07758">
            <w:pPr>
              <w:jc w:val="center"/>
              <w:rPr>
                <w:rFonts w:eastAsia="Times New Roman"/>
                <w:sz w:val="20"/>
                <w:lang w:val="en-AU" w:eastAsia="en-AU"/>
              </w:rPr>
            </w:pPr>
          </w:p>
        </w:tc>
        <w:tc>
          <w:tcPr>
            <w:tcW w:w="709" w:type="dxa"/>
            <w:shd w:val="clear" w:color="auto" w:fill="auto"/>
            <w:noWrap/>
            <w:vAlign w:val="center"/>
            <w:hideMark/>
          </w:tcPr>
          <w:p w14:paraId="18D96988" w14:textId="77777777" w:rsidR="00B07758" w:rsidRPr="00EC3B99" w:rsidRDefault="00B07758" w:rsidP="00B07758">
            <w:pPr>
              <w:jc w:val="center"/>
              <w:rPr>
                <w:rFonts w:eastAsia="Times New Roman"/>
                <w:sz w:val="20"/>
                <w:lang w:val="en-AU" w:eastAsia="en-AU"/>
              </w:rPr>
            </w:pPr>
          </w:p>
        </w:tc>
        <w:tc>
          <w:tcPr>
            <w:tcW w:w="1276" w:type="dxa"/>
            <w:shd w:val="clear" w:color="auto" w:fill="auto"/>
            <w:noWrap/>
            <w:vAlign w:val="center"/>
            <w:hideMark/>
          </w:tcPr>
          <w:p w14:paraId="67B23652" w14:textId="77777777" w:rsidR="00B07758" w:rsidRPr="00EC3B99" w:rsidRDefault="00B07758" w:rsidP="00B07758">
            <w:pPr>
              <w:jc w:val="center"/>
              <w:rPr>
                <w:rFonts w:eastAsia="Times New Roman"/>
                <w:sz w:val="20"/>
                <w:lang w:val="en-AU" w:eastAsia="en-AU"/>
              </w:rPr>
            </w:pPr>
          </w:p>
        </w:tc>
      </w:tr>
      <w:tr w:rsidR="00B07758" w:rsidRPr="00EC3B99" w14:paraId="0611CDF0" w14:textId="77777777" w:rsidTr="00885394">
        <w:trPr>
          <w:trHeight w:val="300"/>
        </w:trPr>
        <w:tc>
          <w:tcPr>
            <w:tcW w:w="1276" w:type="dxa"/>
            <w:shd w:val="clear" w:color="auto" w:fill="auto"/>
            <w:noWrap/>
            <w:vAlign w:val="center"/>
          </w:tcPr>
          <w:p w14:paraId="790D338C" w14:textId="14345650" w:rsidR="00B07758" w:rsidRPr="00504F62" w:rsidRDefault="00B07758" w:rsidP="00B07758">
            <w:pPr>
              <w:jc w:val="center"/>
              <w:rPr>
                <w:rFonts w:ascii="Calibri" w:eastAsia="Times New Roman" w:hAnsi="Calibri" w:cs="Calibri"/>
                <w:color w:val="000000"/>
                <w:sz w:val="20"/>
                <w:lang w:val="en-AU" w:eastAsia="en-AU"/>
              </w:rPr>
            </w:pPr>
            <w:r w:rsidRPr="00504F62">
              <w:rPr>
                <w:rFonts w:ascii="Calibri" w:eastAsia="Times New Roman" w:hAnsi="Calibri" w:cs="Calibri"/>
                <w:color w:val="000000"/>
                <w:sz w:val="20"/>
                <w:lang w:val="en-AU" w:eastAsia="en-AU"/>
              </w:rPr>
              <w:t xml:space="preserve">Zhang et al </w:t>
            </w:r>
            <w:r w:rsidR="00EB2BE9">
              <w:rPr>
                <w:rFonts w:ascii="Calibri" w:eastAsia="Times New Roman" w:hAnsi="Calibri" w:cs="Calibri"/>
                <w:color w:val="000000"/>
                <w:sz w:val="20"/>
                <w:lang w:val="en-AU" w:eastAsia="en-AU"/>
              </w:rPr>
              <w:fldChar w:fldCharType="begin"/>
            </w:r>
            <w:r w:rsidR="00EB2BE9">
              <w:rPr>
                <w:rFonts w:ascii="Calibri" w:eastAsia="Times New Roman" w:hAnsi="Calibri" w:cs="Calibri"/>
                <w:color w:val="000000"/>
                <w:sz w:val="20"/>
                <w:lang w:val="en-AU" w:eastAsia="en-AU"/>
              </w:rPr>
              <w:instrText xml:space="preserve"> ADDIN ZOTERO_ITEM CSL_CITATION {"citationID":"ZxOW5l2N","properties":{"formattedCitation":"(2019)","plainCitation":"(2019)","noteIndex":0},"citationItems":[{"id":1408,"uris":["http://zotero.org/users/local/U6DoygBa/items/HAQJXUTQ"],"uri":["http://zotero.org/users/local/U6DoygBa/items/HAQJXUTQ"],"itemData":{"id":1408,"type":"article-journal","abstract":"Plankton abundance, biovolume and distribution in the northern slope of the South China Sea in summer 2015 and autumn 2014 were assessed by using flow cytometry and microscopy (FlowCAM) and ZooScan methods. Copepoda was the most dominant zooplankton in both seasons. Rhizosolenia dominated the phytoplankton community in autumn. In summer, the dominant phytoplankton were Chaetoceros and Thalassionema. In autumn, the abundances of phytoplankton and zooplankton ranged from 0.66×103-7.83×103 ind. m−3 and 0.34×103-0.88×103 ind. m−3, respectively, whereas the biovolumes of phytoplankton and zooplankton ranged from 41.67 to 204.66 mm3m-3 and 56.19–157.24 mm3m-3, respectively. A wide range of normalized biovolume size spectra (NBSS), consisting of phytoplankton, mesozooplankton and macrozooplankton, were built, and the resulting NBSS slopes were flatter than the single zooplankton NBSS slope. The NBSS slopes were steeper in summer (mean±SE=−0.93±0.04) than in autumn (mean±SE=−0.69±0.05). Based on the biovolume (0.00024mm3–131.07mm3) of plankton in 19 size classes and the taxonomic groups in each size class, Bray-Curtis cluster analysis divided the plankton into five groups. The distributions of the five plankton groups coincided with changes in currents during autumn and summer. Groups A and B were distributed in a region with an anticyclonic and a cyclonic eddy, respectively. Group A was affected by SCSW (South China Sea Water) and KW (Kuroshio Water) and had a NBSS slope of nearly −1. Group B was influenced by SCSW, KW and SHW (Shelf Water), and the NBSS slope of group B showed a higher ecological transfer efficiency than that of group A. Group C and group D were influenced by westward currents. The sea surface temperature (SST) (r=−0.52, P&lt;0.01), chlorophyll a concentration at the depth of the chlorophyll maximum (SMChl-a) (r=−0.61, P&lt;0.01), and average chlorophyll a concentration (SAChl-a) (r=−0.59, P&lt;0.01) were negatively correlated with the NBSS slope.","collection-title":"Living-resources and Ecosystem Dynamics on the Slope of the South China Sea (LEDS)","container-title":"Deep Sea Research Part II: Topical Studies in Oceanography","DOI":"10.1016/j.dsr2.2019.07.006","ISSN":"0967-0645","journalAbbreviation":"Deep Sea Research Part II: Topical Studies in Oceanography","language":"en","page":"79-92","source":"ScienceDirect","title":"Plankton abundance, biovolume, and normalized biovolume size spectra in the northern slope of the South China Sea in autumn 2014 and summer 2015","volume":"167","author":[{"family":"Zhang","given":"Wenjing"},{"family":"Sun","given":"Xiaoxia"},{"family":"Zheng","given":"Shan"},{"family":"Zhu","given":"Mingliang"},{"family":"Liang","given":"Junhua"},{"family":"Du","given":"Juan"},{"family":"Yang","given":"Chenghao"}],"issued":{"date-parts":[["2019",9,1]]}},"suppress-author":true}],"schema":"https://github.com/citation-style-language/schema/raw/master/csl-citation.json"} </w:instrText>
            </w:r>
            <w:r w:rsidR="00EB2BE9">
              <w:rPr>
                <w:rFonts w:ascii="Calibri" w:eastAsia="Times New Roman" w:hAnsi="Calibri" w:cs="Calibri"/>
                <w:color w:val="000000"/>
                <w:sz w:val="20"/>
                <w:lang w:val="en-AU" w:eastAsia="en-AU"/>
              </w:rPr>
              <w:fldChar w:fldCharType="separate"/>
            </w:r>
            <w:r w:rsidR="00B56C58" w:rsidRPr="00B56C58">
              <w:rPr>
                <w:rFonts w:ascii="Calibri" w:hAnsi="Calibri" w:cs="Calibri"/>
                <w:sz w:val="20"/>
              </w:rPr>
              <w:t>(2019)</w:t>
            </w:r>
            <w:r w:rsidR="00EB2BE9">
              <w:rPr>
                <w:rFonts w:ascii="Calibri" w:eastAsia="Times New Roman" w:hAnsi="Calibri" w:cs="Calibri"/>
                <w:color w:val="000000"/>
                <w:sz w:val="20"/>
                <w:lang w:val="en-AU" w:eastAsia="en-AU"/>
              </w:rPr>
              <w:fldChar w:fldCharType="end"/>
            </w:r>
            <w:r>
              <w:rPr>
                <w:rFonts w:ascii="Calibri" w:eastAsia="Times New Roman" w:hAnsi="Calibri" w:cs="Calibri"/>
                <w:color w:val="000000"/>
                <w:sz w:val="20"/>
                <w:lang w:val="en-AU" w:eastAsia="en-AU"/>
              </w:rPr>
              <w:t xml:space="preserve"> (#18)</w:t>
            </w:r>
          </w:p>
        </w:tc>
        <w:tc>
          <w:tcPr>
            <w:tcW w:w="1701" w:type="dxa"/>
            <w:shd w:val="clear" w:color="auto" w:fill="auto"/>
            <w:noWrap/>
            <w:vAlign w:val="center"/>
          </w:tcPr>
          <w:p w14:paraId="0A7F7B52"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South China Sea</w:t>
            </w:r>
          </w:p>
        </w:tc>
        <w:tc>
          <w:tcPr>
            <w:tcW w:w="1134" w:type="dxa"/>
            <w:shd w:val="clear" w:color="auto" w:fill="auto"/>
            <w:noWrap/>
            <w:vAlign w:val="center"/>
          </w:tcPr>
          <w:p w14:paraId="57AABD33"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20</w:t>
            </w:r>
          </w:p>
        </w:tc>
        <w:tc>
          <w:tcPr>
            <w:tcW w:w="1134" w:type="dxa"/>
            <w:shd w:val="clear" w:color="auto" w:fill="auto"/>
            <w:noWrap/>
            <w:vAlign w:val="center"/>
          </w:tcPr>
          <w:p w14:paraId="4C292126"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116</w:t>
            </w:r>
          </w:p>
        </w:tc>
        <w:tc>
          <w:tcPr>
            <w:tcW w:w="993" w:type="dxa"/>
            <w:shd w:val="clear" w:color="auto" w:fill="auto"/>
            <w:noWrap/>
            <w:vAlign w:val="center"/>
          </w:tcPr>
          <w:p w14:paraId="60E97D8D"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88286C0"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42786F9B"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215E70E4"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1500</w:t>
            </w:r>
          </w:p>
        </w:tc>
        <w:tc>
          <w:tcPr>
            <w:tcW w:w="1276" w:type="dxa"/>
            <w:shd w:val="clear" w:color="auto" w:fill="auto"/>
            <w:noWrap/>
            <w:vAlign w:val="center"/>
          </w:tcPr>
          <w:p w14:paraId="3F1D9DAA"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500</w:t>
            </w:r>
          </w:p>
        </w:tc>
        <w:tc>
          <w:tcPr>
            <w:tcW w:w="1275" w:type="dxa"/>
            <w:shd w:val="clear" w:color="auto" w:fill="auto"/>
            <w:noWrap/>
            <w:vAlign w:val="center"/>
          </w:tcPr>
          <w:p w14:paraId="6E365D7E" w14:textId="77777777" w:rsidR="00B07758" w:rsidRPr="00EC3B99" w:rsidRDefault="00B07758" w:rsidP="00B07758">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3</w:t>
            </w:r>
          </w:p>
        </w:tc>
        <w:tc>
          <w:tcPr>
            <w:tcW w:w="851" w:type="dxa"/>
            <w:shd w:val="clear" w:color="auto" w:fill="auto"/>
            <w:noWrap/>
            <w:vAlign w:val="center"/>
          </w:tcPr>
          <w:p w14:paraId="36ADA9B4" w14:textId="77777777" w:rsidR="00B07758" w:rsidRPr="00EC3B99" w:rsidRDefault="00B07758" w:rsidP="00B07758">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3F542CD7" w14:textId="77777777" w:rsidR="00B07758" w:rsidRPr="00EC3B99" w:rsidRDefault="00B07758" w:rsidP="00B07758">
            <w:pPr>
              <w:jc w:val="center"/>
              <w:rPr>
                <w:rFonts w:ascii="Calibri" w:eastAsia="Times New Roman" w:hAnsi="Calibri" w:cs="Calibri"/>
                <w:color w:val="000000"/>
                <w:sz w:val="20"/>
                <w:lang w:val="en-AU" w:eastAsia="en-AU"/>
              </w:rPr>
            </w:pPr>
          </w:p>
        </w:tc>
        <w:tc>
          <w:tcPr>
            <w:tcW w:w="709" w:type="dxa"/>
            <w:shd w:val="clear" w:color="auto" w:fill="auto"/>
            <w:noWrap/>
            <w:vAlign w:val="center"/>
          </w:tcPr>
          <w:p w14:paraId="1B4914C4" w14:textId="77777777" w:rsidR="00B07758" w:rsidRPr="00EC3B99" w:rsidRDefault="00B07758" w:rsidP="00B07758">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DAE62D1" w14:textId="77777777" w:rsidR="00B07758" w:rsidRPr="00EC3B99" w:rsidRDefault="00B07758" w:rsidP="00B07758">
            <w:pPr>
              <w:jc w:val="center"/>
              <w:rPr>
                <w:rFonts w:ascii="Calibri" w:eastAsia="Times New Roman" w:hAnsi="Calibri" w:cs="Calibri"/>
                <w:color w:val="000000"/>
                <w:sz w:val="20"/>
                <w:lang w:val="en-AU" w:eastAsia="en-AU"/>
              </w:rPr>
            </w:pPr>
          </w:p>
        </w:tc>
      </w:tr>
      <w:tr w:rsidR="00B07758" w:rsidRPr="00EC3B99" w14:paraId="6D674564" w14:textId="77777777" w:rsidTr="00885394">
        <w:trPr>
          <w:trHeight w:val="300"/>
        </w:trPr>
        <w:tc>
          <w:tcPr>
            <w:tcW w:w="1276" w:type="dxa"/>
            <w:shd w:val="clear" w:color="auto" w:fill="auto"/>
            <w:noWrap/>
            <w:vAlign w:val="center"/>
          </w:tcPr>
          <w:p w14:paraId="741613C7" w14:textId="7834DA84" w:rsidR="00B07758" w:rsidRPr="00504F62"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Schilling et al (This study</w:t>
            </w:r>
            <w:r>
              <w:rPr>
                <w:rFonts w:ascii="Calibri" w:eastAsia="Times New Roman" w:hAnsi="Calibri" w:cs="Calibri"/>
                <w:color w:val="000000"/>
                <w:sz w:val="20"/>
                <w:lang w:val="en-AU" w:eastAsia="en-AU"/>
              </w:rPr>
              <w:t xml:space="preserve"> #19</w:t>
            </w:r>
            <w:r w:rsidRPr="00EC3B99">
              <w:rPr>
                <w:rFonts w:ascii="Calibri" w:eastAsia="Times New Roman" w:hAnsi="Calibri" w:cs="Calibri"/>
                <w:color w:val="000000"/>
                <w:sz w:val="20"/>
                <w:lang w:val="en-AU" w:eastAsia="en-AU"/>
              </w:rPr>
              <w:t>)</w:t>
            </w:r>
          </w:p>
        </w:tc>
        <w:tc>
          <w:tcPr>
            <w:tcW w:w="1701" w:type="dxa"/>
            <w:shd w:val="clear" w:color="auto" w:fill="auto"/>
            <w:noWrap/>
            <w:vAlign w:val="center"/>
          </w:tcPr>
          <w:p w14:paraId="0E019DDA"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Eastern Australia</w:t>
            </w:r>
          </w:p>
        </w:tc>
        <w:tc>
          <w:tcPr>
            <w:tcW w:w="1134" w:type="dxa"/>
            <w:shd w:val="clear" w:color="auto" w:fill="auto"/>
            <w:noWrap/>
            <w:vAlign w:val="center"/>
          </w:tcPr>
          <w:p w14:paraId="6F115EAD"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p>
        </w:tc>
        <w:tc>
          <w:tcPr>
            <w:tcW w:w="1134" w:type="dxa"/>
            <w:shd w:val="clear" w:color="auto" w:fill="auto"/>
            <w:noWrap/>
            <w:vAlign w:val="center"/>
          </w:tcPr>
          <w:p w14:paraId="086A12A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153.5</w:t>
            </w:r>
          </w:p>
        </w:tc>
        <w:tc>
          <w:tcPr>
            <w:tcW w:w="993" w:type="dxa"/>
            <w:shd w:val="clear" w:color="auto" w:fill="auto"/>
            <w:noWrap/>
            <w:vAlign w:val="center"/>
          </w:tcPr>
          <w:p w14:paraId="685B4C3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362</w:t>
            </w:r>
          </w:p>
        </w:tc>
        <w:tc>
          <w:tcPr>
            <w:tcW w:w="992" w:type="dxa"/>
            <w:shd w:val="clear" w:color="auto" w:fill="auto"/>
            <w:noWrap/>
            <w:vAlign w:val="center"/>
          </w:tcPr>
          <w:p w14:paraId="1186C95F"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132</w:t>
            </w:r>
          </w:p>
        </w:tc>
        <w:tc>
          <w:tcPr>
            <w:tcW w:w="992" w:type="dxa"/>
            <w:shd w:val="clear" w:color="auto" w:fill="auto"/>
            <w:noWrap/>
            <w:vAlign w:val="center"/>
          </w:tcPr>
          <w:p w14:paraId="7AE8059E"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2.7</w:t>
            </w:r>
            <w:r>
              <w:rPr>
                <w:rFonts w:ascii="Calibri" w:eastAsia="Times New Roman" w:hAnsi="Calibri" w:cs="Calibri"/>
                <w:color w:val="000000"/>
                <w:sz w:val="20"/>
                <w:lang w:val="en-AU" w:eastAsia="en-AU"/>
              </w:rPr>
              <w:t>5</w:t>
            </w:r>
          </w:p>
        </w:tc>
        <w:tc>
          <w:tcPr>
            <w:tcW w:w="1276" w:type="dxa"/>
            <w:shd w:val="clear" w:color="auto" w:fill="auto"/>
            <w:noWrap/>
            <w:vAlign w:val="center"/>
          </w:tcPr>
          <w:p w14:paraId="322C82D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7037</w:t>
            </w:r>
          </w:p>
        </w:tc>
        <w:tc>
          <w:tcPr>
            <w:tcW w:w="1276" w:type="dxa"/>
            <w:shd w:val="clear" w:color="auto" w:fill="auto"/>
            <w:noWrap/>
            <w:vAlign w:val="center"/>
          </w:tcPr>
          <w:p w14:paraId="70A5843E"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2340</w:t>
            </w:r>
          </w:p>
        </w:tc>
        <w:tc>
          <w:tcPr>
            <w:tcW w:w="1275" w:type="dxa"/>
            <w:shd w:val="clear" w:color="auto" w:fill="auto"/>
            <w:noWrap/>
            <w:vAlign w:val="center"/>
          </w:tcPr>
          <w:p w14:paraId="18CF398F" w14:textId="77777777" w:rsidR="00B07758"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r>
              <w:rPr>
                <w:rFonts w:ascii="Calibri" w:eastAsia="Times New Roman" w:hAnsi="Calibri" w:cs="Calibri"/>
                <w:color w:val="000000"/>
                <w:sz w:val="20"/>
                <w:lang w:val="en-AU" w:eastAsia="en-AU"/>
              </w:rPr>
              <w:t>1</w:t>
            </w:r>
          </w:p>
        </w:tc>
        <w:tc>
          <w:tcPr>
            <w:tcW w:w="851" w:type="dxa"/>
            <w:shd w:val="clear" w:color="auto" w:fill="auto"/>
            <w:noWrap/>
            <w:vAlign w:val="center"/>
          </w:tcPr>
          <w:p w14:paraId="60DFE050"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-1.18</w:t>
            </w:r>
          </w:p>
        </w:tc>
        <w:tc>
          <w:tcPr>
            <w:tcW w:w="992" w:type="dxa"/>
            <w:shd w:val="clear" w:color="auto" w:fill="auto"/>
            <w:noWrap/>
            <w:vAlign w:val="center"/>
          </w:tcPr>
          <w:p w14:paraId="07AD5434"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-1.09</w:t>
            </w:r>
          </w:p>
        </w:tc>
        <w:tc>
          <w:tcPr>
            <w:tcW w:w="709" w:type="dxa"/>
            <w:shd w:val="clear" w:color="auto" w:fill="auto"/>
            <w:noWrap/>
            <w:vAlign w:val="center"/>
          </w:tcPr>
          <w:p w14:paraId="1F83FB07" w14:textId="77777777" w:rsidR="00B07758" w:rsidRPr="00EC3B99" w:rsidRDefault="00B07758" w:rsidP="00B07758">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1.08</w:t>
            </w:r>
          </w:p>
        </w:tc>
        <w:tc>
          <w:tcPr>
            <w:tcW w:w="1276" w:type="dxa"/>
            <w:shd w:val="clear" w:color="auto" w:fill="auto"/>
            <w:noWrap/>
            <w:vAlign w:val="center"/>
          </w:tcPr>
          <w:p w14:paraId="2541EE7F" w14:textId="77777777" w:rsidR="00B07758" w:rsidRPr="00EC3B99" w:rsidRDefault="00B07758" w:rsidP="00B07758">
            <w:pPr>
              <w:jc w:val="center"/>
              <w:rPr>
                <w:rFonts w:ascii="Calibri" w:eastAsia="Times New Roman" w:hAnsi="Calibri" w:cs="Calibri"/>
                <w:color w:val="000000"/>
                <w:sz w:val="20"/>
                <w:lang w:val="en-AU" w:eastAsia="en-AU"/>
              </w:rPr>
            </w:pPr>
          </w:p>
        </w:tc>
      </w:tr>
    </w:tbl>
    <w:p w14:paraId="1CCC5376" w14:textId="19EA127D" w:rsidR="000E70F9" w:rsidRDefault="000E70F9" w:rsidP="00922E04">
      <w:pPr>
        <w:spacing w:line="360" w:lineRule="auto"/>
      </w:pPr>
    </w:p>
    <w:p w14:paraId="05AB9DA1" w14:textId="77777777" w:rsidR="00C66DFB" w:rsidRDefault="00C66DFB">
      <w:pPr>
        <w:spacing w:after="160" w:line="259" w:lineRule="auto"/>
        <w:sectPr w:rsidR="00C66DFB" w:rsidSect="00922E04">
          <w:pgSz w:w="16838" w:h="11906" w:orient="landscape"/>
          <w:pgMar w:top="1440" w:right="1440" w:bottom="1440" w:left="1440" w:header="708" w:footer="708" w:gutter="0"/>
          <w:cols w:space="708"/>
          <w:docGrid w:linePitch="360"/>
        </w:sectPr>
      </w:pPr>
    </w:p>
    <w:p w14:paraId="43D4125D" w14:textId="4E9F614D" w:rsidR="000E70F9" w:rsidRPr="00B56C58" w:rsidRDefault="00C66DFB">
      <w:pPr>
        <w:spacing w:after="160" w:line="259" w:lineRule="auto"/>
        <w:rPr>
          <w:rFonts w:asciiTheme="minorHAnsi" w:hAnsiTheme="minorHAnsi" w:cstheme="minorHAnsi"/>
          <w:b/>
          <w:bCs/>
        </w:rPr>
      </w:pPr>
      <w:r w:rsidRPr="00B56C58">
        <w:rPr>
          <w:rFonts w:asciiTheme="minorHAnsi" w:hAnsiTheme="minorHAnsi" w:cstheme="minorHAnsi"/>
          <w:b/>
          <w:bCs/>
        </w:rPr>
        <w:lastRenderedPageBreak/>
        <w:t>References</w:t>
      </w:r>
    </w:p>
    <w:p w14:paraId="3216384F" w14:textId="77777777" w:rsidR="002336FE" w:rsidRPr="002336FE" w:rsidRDefault="00D72ED2" w:rsidP="002336FE">
      <w:pPr>
        <w:pStyle w:val="Bibliography"/>
        <w:rPr>
          <w:rFonts w:ascii="Calibri" w:hAnsi="Calibri" w:cs="Calibri"/>
        </w:rPr>
      </w:pPr>
      <w:r w:rsidRPr="00B56C58">
        <w:rPr>
          <w:rFonts w:asciiTheme="minorHAnsi" w:hAnsiTheme="minorHAnsi" w:cstheme="minorHAnsi"/>
          <w:b/>
          <w:bCs/>
        </w:rPr>
        <w:fldChar w:fldCharType="begin"/>
      </w:r>
      <w:r w:rsidR="002336FE">
        <w:rPr>
          <w:rFonts w:asciiTheme="minorHAnsi" w:hAnsiTheme="minorHAnsi" w:cstheme="minorHAnsi"/>
          <w:b/>
          <w:bCs/>
        </w:rPr>
        <w:instrText xml:space="preserve"> ADDIN ZOTERO_BIBL {"uncited":[],"omitted":[],"custom":[]} CSL_BIBLIOGRAPHY </w:instrText>
      </w:r>
      <w:r w:rsidRPr="00B56C58">
        <w:rPr>
          <w:rFonts w:asciiTheme="minorHAnsi" w:hAnsiTheme="minorHAnsi" w:cstheme="minorHAnsi"/>
          <w:b/>
          <w:bCs/>
        </w:rPr>
        <w:fldChar w:fldCharType="separate"/>
      </w:r>
      <w:r w:rsidR="002336FE" w:rsidRPr="002336FE">
        <w:rPr>
          <w:rFonts w:ascii="Calibri" w:hAnsi="Calibri" w:cs="Calibri"/>
        </w:rPr>
        <w:t xml:space="preserve">Becker, É. C., Eiras Garcia, C. A., &amp; Freire, A. S. (2018). Mesozooplankton distribution, especially copepods, according to water masses dynamics in the upper layer of the Southwestern Atlantic shelf (26°S to 29°S). </w:t>
      </w:r>
      <w:r w:rsidR="002336FE" w:rsidRPr="002336FE">
        <w:rPr>
          <w:rFonts w:ascii="Calibri" w:hAnsi="Calibri" w:cs="Calibri"/>
          <w:i/>
          <w:iCs/>
        </w:rPr>
        <w:t>Continental Shelf Research</w:t>
      </w:r>
      <w:r w:rsidR="002336FE" w:rsidRPr="002336FE">
        <w:rPr>
          <w:rFonts w:ascii="Calibri" w:hAnsi="Calibri" w:cs="Calibri"/>
        </w:rPr>
        <w:t xml:space="preserve">, </w:t>
      </w:r>
      <w:r w:rsidR="002336FE" w:rsidRPr="002336FE">
        <w:rPr>
          <w:rFonts w:ascii="Calibri" w:hAnsi="Calibri" w:cs="Calibri"/>
          <w:i/>
          <w:iCs/>
        </w:rPr>
        <w:t>166</w:t>
      </w:r>
      <w:r w:rsidR="002336FE" w:rsidRPr="002336FE">
        <w:rPr>
          <w:rFonts w:ascii="Calibri" w:hAnsi="Calibri" w:cs="Calibri"/>
        </w:rPr>
        <w:t>, 10–21. https://doi.org/10.1016/j.csr.2018.06.011</w:t>
      </w:r>
    </w:p>
    <w:p w14:paraId="197AF296" w14:textId="77777777" w:rsidR="002336FE" w:rsidRPr="002336FE" w:rsidRDefault="002336FE" w:rsidP="002336FE">
      <w:pPr>
        <w:pStyle w:val="Bibliography"/>
        <w:rPr>
          <w:rFonts w:ascii="Calibri" w:hAnsi="Calibri" w:cs="Calibri"/>
        </w:rPr>
      </w:pPr>
      <w:r w:rsidRPr="002336FE">
        <w:rPr>
          <w:rFonts w:ascii="Calibri" w:hAnsi="Calibri" w:cs="Calibri"/>
        </w:rPr>
        <w:t xml:space="preserve">Beckley, L. E., Holliday, D., Sutton, A. L., Weller, E., Olivar, M. P., &amp; Thompson, P. A. (2018). Structuring of larval fish assemblages along a coastal-oceanic gradient in the macro-tidal, tropical Eastern Indian Ocean. </w:t>
      </w:r>
      <w:r w:rsidRPr="002336FE">
        <w:rPr>
          <w:rFonts w:ascii="Calibri" w:hAnsi="Calibri" w:cs="Calibri"/>
          <w:i/>
          <w:iCs/>
        </w:rPr>
        <w:t>Deep Sea Research Part II: Topical Studies in Oceanography</w:t>
      </w:r>
      <w:r w:rsidRPr="002336FE">
        <w:rPr>
          <w:rFonts w:ascii="Calibri" w:hAnsi="Calibri" w:cs="Calibri"/>
        </w:rPr>
        <w:t>. https://doi.org/10.1016/j.dsr2.2018.03.008</w:t>
      </w:r>
    </w:p>
    <w:p w14:paraId="1CB92DB3" w14:textId="77777777" w:rsidR="002336FE" w:rsidRPr="002336FE" w:rsidRDefault="002336FE" w:rsidP="002336FE">
      <w:pPr>
        <w:pStyle w:val="Bibliography"/>
        <w:rPr>
          <w:rFonts w:ascii="Calibri" w:hAnsi="Calibri" w:cs="Calibri"/>
        </w:rPr>
      </w:pPr>
      <w:r w:rsidRPr="002336FE">
        <w:rPr>
          <w:rFonts w:ascii="Calibri" w:hAnsi="Calibri" w:cs="Calibri"/>
        </w:rPr>
        <w:t xml:space="preserve">Coyle, K. O., &amp; Pinchuk, A. I. (2005). Seasonal cross-shelf distribution of major zooplankton taxa on the northern Gulf of Alaska shelf relative to water mass properties, species depth preferences and vertical migration behavior. </w:t>
      </w:r>
      <w:r w:rsidRPr="002336FE">
        <w:rPr>
          <w:rFonts w:ascii="Calibri" w:hAnsi="Calibri" w:cs="Calibri"/>
          <w:i/>
          <w:iCs/>
        </w:rPr>
        <w:t>Deep-Sea Research Part II-Topical Studies in Oceanography</w:t>
      </w:r>
      <w:r w:rsidRPr="002336FE">
        <w:rPr>
          <w:rFonts w:ascii="Calibri" w:hAnsi="Calibri" w:cs="Calibri"/>
        </w:rPr>
        <w:t xml:space="preserve">, </w:t>
      </w:r>
      <w:r w:rsidRPr="002336FE">
        <w:rPr>
          <w:rFonts w:ascii="Calibri" w:hAnsi="Calibri" w:cs="Calibri"/>
          <w:i/>
          <w:iCs/>
        </w:rPr>
        <w:t>52</w:t>
      </w:r>
      <w:r w:rsidRPr="002336FE">
        <w:rPr>
          <w:rFonts w:ascii="Calibri" w:hAnsi="Calibri" w:cs="Calibri"/>
        </w:rPr>
        <w:t>, 217–245. https://doi.org/10.1016/j.dsr2.2004.09.025</w:t>
      </w:r>
    </w:p>
    <w:p w14:paraId="071AF144" w14:textId="77777777" w:rsidR="002336FE" w:rsidRPr="002336FE" w:rsidRDefault="002336FE" w:rsidP="002336FE">
      <w:pPr>
        <w:pStyle w:val="Bibliography"/>
        <w:rPr>
          <w:rFonts w:ascii="Calibri" w:hAnsi="Calibri" w:cs="Calibri"/>
        </w:rPr>
      </w:pPr>
      <w:r w:rsidRPr="002336FE">
        <w:rPr>
          <w:rFonts w:ascii="Calibri" w:hAnsi="Calibri" w:cs="Calibri"/>
        </w:rPr>
        <w:t xml:space="preserve">García-Muñoz, C., García, C. M., Lubián, L. M., López-Urrutia, Á., Hernández-León, S., &amp; Ameneiro, J. (2014). Metabolic state along a summer north–south transect near the Antarctic Peninsula: a size spectra approach.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36</w:t>
      </w:r>
      <w:r w:rsidRPr="002336FE">
        <w:rPr>
          <w:rFonts w:ascii="Calibri" w:hAnsi="Calibri" w:cs="Calibri"/>
        </w:rPr>
        <w:t>(4), 1074–1091. https://doi.org/10.1093/plankt/fbu042</w:t>
      </w:r>
    </w:p>
    <w:p w14:paraId="2FA66AE3" w14:textId="77777777" w:rsidR="002336FE" w:rsidRPr="002336FE" w:rsidRDefault="002336FE" w:rsidP="002336FE">
      <w:pPr>
        <w:pStyle w:val="Bibliography"/>
        <w:rPr>
          <w:rFonts w:ascii="Calibri" w:hAnsi="Calibri" w:cs="Calibri"/>
        </w:rPr>
      </w:pPr>
      <w:r w:rsidRPr="002336FE">
        <w:rPr>
          <w:rFonts w:ascii="Calibri" w:hAnsi="Calibri" w:cs="Calibri"/>
        </w:rPr>
        <w:t xml:space="preserve">Irigoien, X., Fernandes, J. A., Grosjean, P., Denis, K., Albaina, A., &amp; Santos, M. (2009). Spring zooplankton distribution in the Bay of Biscay from 1998 to 2006 in relation with anchovy recruitment.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31</w:t>
      </w:r>
      <w:r w:rsidRPr="002336FE">
        <w:rPr>
          <w:rFonts w:ascii="Calibri" w:hAnsi="Calibri" w:cs="Calibri"/>
        </w:rPr>
        <w:t>(1), 1–17. https://doi.org/10.1093/plankt/fbn096</w:t>
      </w:r>
    </w:p>
    <w:p w14:paraId="1E5F4E40" w14:textId="77777777" w:rsidR="002336FE" w:rsidRPr="002336FE" w:rsidRDefault="002336FE" w:rsidP="002336FE">
      <w:pPr>
        <w:pStyle w:val="Bibliography"/>
        <w:rPr>
          <w:rFonts w:ascii="Calibri" w:hAnsi="Calibri" w:cs="Calibri"/>
        </w:rPr>
      </w:pPr>
      <w:r w:rsidRPr="002336FE">
        <w:rPr>
          <w:rFonts w:ascii="Calibri" w:hAnsi="Calibri" w:cs="Calibri"/>
        </w:rPr>
        <w:t xml:space="preserve">Lopes, R. M., Katsuragawa, M., Dias, J. F., Montú, M. A., Muelbert, J. H., Gorri, C., &amp; Brandini, F. P. (2006). Zooplankton and ichthyoplankton distribution on the southern Brazilian </w:t>
      </w:r>
      <w:r w:rsidRPr="002336FE">
        <w:rPr>
          <w:rFonts w:ascii="Calibri" w:hAnsi="Calibri" w:cs="Calibri"/>
        </w:rPr>
        <w:lastRenderedPageBreak/>
        <w:t xml:space="preserve">shelf: an overview. </w:t>
      </w:r>
      <w:r w:rsidRPr="002336FE">
        <w:rPr>
          <w:rFonts w:ascii="Calibri" w:hAnsi="Calibri" w:cs="Calibri"/>
          <w:i/>
          <w:iCs/>
        </w:rPr>
        <w:t>Scientia Marina</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(2), 14. https://doi.org/10.3989/scimar.2006.70n2189</w:t>
      </w:r>
    </w:p>
    <w:p w14:paraId="4949A12D" w14:textId="77777777" w:rsidR="002336FE" w:rsidRPr="002336FE" w:rsidRDefault="002336FE" w:rsidP="002336FE">
      <w:pPr>
        <w:pStyle w:val="Bibliography"/>
        <w:rPr>
          <w:rFonts w:ascii="Calibri" w:hAnsi="Calibri" w:cs="Calibri"/>
        </w:rPr>
      </w:pPr>
      <w:r w:rsidRPr="002336FE">
        <w:rPr>
          <w:rFonts w:ascii="Calibri" w:hAnsi="Calibri" w:cs="Calibri"/>
        </w:rPr>
        <w:t xml:space="preserve">Marcolin, C. da R., Schultes, S., Jackson, G. A., &amp; Lopes, R. M. (2013). Plankton and seston size spectra estimated by the LOPC and ZooScan in the Abrolhos Bank ecosystem (SE Atlantic). </w:t>
      </w:r>
      <w:r w:rsidRPr="002336FE">
        <w:rPr>
          <w:rFonts w:ascii="Calibri" w:hAnsi="Calibri" w:cs="Calibri"/>
          <w:i/>
          <w:iCs/>
        </w:rPr>
        <w:t>Continental Shelf Research</w:t>
      </w:r>
      <w:r w:rsidRPr="002336FE">
        <w:rPr>
          <w:rFonts w:ascii="Calibri" w:hAnsi="Calibri" w:cs="Calibri"/>
        </w:rPr>
        <w:t xml:space="preserve">, </w:t>
      </w:r>
      <w:r w:rsidRPr="002336FE">
        <w:rPr>
          <w:rFonts w:ascii="Calibri" w:hAnsi="Calibri" w:cs="Calibri"/>
          <w:i/>
          <w:iCs/>
        </w:rPr>
        <w:t>70</w:t>
      </w:r>
      <w:r w:rsidRPr="002336FE">
        <w:rPr>
          <w:rFonts w:ascii="Calibri" w:hAnsi="Calibri" w:cs="Calibri"/>
        </w:rPr>
        <w:t>, 74–87. https://doi.org/10.1016/j.csr.2013.09.022</w:t>
      </w:r>
    </w:p>
    <w:p w14:paraId="28B91078" w14:textId="77777777" w:rsidR="002336FE" w:rsidRPr="002336FE" w:rsidRDefault="002336FE" w:rsidP="002336FE">
      <w:pPr>
        <w:pStyle w:val="Bibliography"/>
        <w:rPr>
          <w:rFonts w:ascii="Calibri" w:hAnsi="Calibri" w:cs="Calibri"/>
        </w:rPr>
      </w:pPr>
      <w:r w:rsidRPr="002336FE">
        <w:rPr>
          <w:rFonts w:ascii="Calibri" w:hAnsi="Calibri" w:cs="Calibri"/>
        </w:rPr>
        <w:t xml:space="preserve">Nogueira, E., González-Nuevo, G., Bode, A., Varela, M., Morán, X. A. G., &amp; Valdés, L. (2004). Comparison of biomass and size spectra derived from optical plankton counter data and net samples: application to the assessment of mesoplankton distribution along the Northwest and North Iberian Shelf. </w:t>
      </w:r>
      <w:r w:rsidRPr="002336FE">
        <w:rPr>
          <w:rFonts w:ascii="Calibri" w:hAnsi="Calibri" w:cs="Calibri"/>
          <w:i/>
          <w:iCs/>
        </w:rPr>
        <w:t>ICES Journal of Marine Science</w:t>
      </w:r>
      <w:r w:rsidRPr="002336FE">
        <w:rPr>
          <w:rFonts w:ascii="Calibri" w:hAnsi="Calibri" w:cs="Calibri"/>
        </w:rPr>
        <w:t xml:space="preserve">, </w:t>
      </w:r>
      <w:r w:rsidRPr="002336FE">
        <w:rPr>
          <w:rFonts w:ascii="Calibri" w:hAnsi="Calibri" w:cs="Calibri"/>
          <w:i/>
          <w:iCs/>
        </w:rPr>
        <w:t>61</w:t>
      </w:r>
      <w:r w:rsidRPr="002336FE">
        <w:rPr>
          <w:rFonts w:ascii="Calibri" w:hAnsi="Calibri" w:cs="Calibri"/>
        </w:rPr>
        <w:t>(4), 508–517. https://doi.org/10.1016/j.icesjms.2004.03.018</w:t>
      </w:r>
    </w:p>
    <w:p w14:paraId="5EB98C41" w14:textId="77777777" w:rsidR="002336FE" w:rsidRPr="002336FE" w:rsidRDefault="002336FE" w:rsidP="002336FE">
      <w:pPr>
        <w:pStyle w:val="Bibliography"/>
        <w:rPr>
          <w:rFonts w:ascii="Calibri" w:hAnsi="Calibri" w:cs="Calibri"/>
        </w:rPr>
      </w:pPr>
      <w:r w:rsidRPr="002336FE">
        <w:rPr>
          <w:rFonts w:ascii="Calibri" w:hAnsi="Calibri" w:cs="Calibri"/>
        </w:rPr>
        <w:t xml:space="preserve">Sabatès, A., Gili, J. M., &amp; Pagès, F. (1989). Relationship between zooplankton distribution, geographic characteristics and hydrographic patterns off the Catalan coast (Western Mediterranean). </w:t>
      </w:r>
      <w:r w:rsidRPr="002336FE">
        <w:rPr>
          <w:rFonts w:ascii="Calibri" w:hAnsi="Calibri" w:cs="Calibri"/>
          <w:i/>
          <w:iCs/>
        </w:rPr>
        <w:t>Marine Biology</w:t>
      </w:r>
      <w:r w:rsidRPr="002336FE">
        <w:rPr>
          <w:rFonts w:ascii="Calibri" w:hAnsi="Calibri" w:cs="Calibri"/>
        </w:rPr>
        <w:t xml:space="preserve">, </w:t>
      </w:r>
      <w:r w:rsidRPr="002336FE">
        <w:rPr>
          <w:rFonts w:ascii="Calibri" w:hAnsi="Calibri" w:cs="Calibri"/>
          <w:i/>
          <w:iCs/>
        </w:rPr>
        <w:t>103</w:t>
      </w:r>
      <w:r w:rsidRPr="002336FE">
        <w:rPr>
          <w:rFonts w:ascii="Calibri" w:hAnsi="Calibri" w:cs="Calibri"/>
        </w:rPr>
        <w:t>(2), 153–159. https://doi.org/10.1007/BF00543342</w:t>
      </w:r>
    </w:p>
    <w:p w14:paraId="0F469074" w14:textId="77777777" w:rsidR="002336FE" w:rsidRPr="002336FE" w:rsidRDefault="002336FE" w:rsidP="002336FE">
      <w:pPr>
        <w:pStyle w:val="Bibliography"/>
        <w:rPr>
          <w:rFonts w:ascii="Calibri" w:hAnsi="Calibri" w:cs="Calibri"/>
        </w:rPr>
      </w:pPr>
      <w:r w:rsidRPr="002336FE">
        <w:rPr>
          <w:rFonts w:ascii="Calibri" w:hAnsi="Calibri" w:cs="Calibri"/>
        </w:rPr>
        <w:t xml:space="preserve">Schultes, S., &amp; Lopes, R. M. (2009). Laser Optical Plankton Counter and Zooscan intercomparison in tropical and subtropical marine ecosystems. </w:t>
      </w:r>
      <w:r w:rsidRPr="002336FE">
        <w:rPr>
          <w:rFonts w:ascii="Calibri" w:hAnsi="Calibri" w:cs="Calibri"/>
          <w:i/>
          <w:iCs/>
        </w:rPr>
        <w:t>Limnology and Oceanography: Methods</w:t>
      </w:r>
      <w:r w:rsidRPr="002336FE">
        <w:rPr>
          <w:rFonts w:ascii="Calibri" w:hAnsi="Calibri" w:cs="Calibri"/>
        </w:rPr>
        <w:t xml:space="preserve">, </w:t>
      </w:r>
      <w:r w:rsidRPr="002336FE">
        <w:rPr>
          <w:rFonts w:ascii="Calibri" w:hAnsi="Calibri" w:cs="Calibri"/>
          <w:i/>
          <w:iCs/>
        </w:rPr>
        <w:t>7</w:t>
      </w:r>
      <w:r w:rsidRPr="002336FE">
        <w:rPr>
          <w:rFonts w:ascii="Calibri" w:hAnsi="Calibri" w:cs="Calibri"/>
        </w:rPr>
        <w:t>(11), 771–784. https://doi.org/10.4319/lom.2009.7.771</w:t>
      </w:r>
    </w:p>
    <w:p w14:paraId="212068C4" w14:textId="77777777" w:rsidR="002336FE" w:rsidRPr="002336FE" w:rsidRDefault="002336FE" w:rsidP="002336FE">
      <w:pPr>
        <w:pStyle w:val="Bibliography"/>
        <w:rPr>
          <w:rFonts w:ascii="Calibri" w:hAnsi="Calibri" w:cs="Calibri"/>
        </w:rPr>
      </w:pPr>
      <w:r w:rsidRPr="002336FE">
        <w:rPr>
          <w:rFonts w:ascii="Calibri" w:hAnsi="Calibri" w:cs="Calibri"/>
        </w:rPr>
        <w:t xml:space="preserve">Skarðhamar, J., Slagstad, D., &amp; Edvardsen, A. (2007). Plankton distributions related to hydrography and circulation dynamics on a narrow continental shelf off Northern Norway. </w:t>
      </w:r>
      <w:r w:rsidRPr="002336FE">
        <w:rPr>
          <w:rFonts w:ascii="Calibri" w:hAnsi="Calibri" w:cs="Calibri"/>
          <w:i/>
          <w:iCs/>
        </w:rPr>
        <w:t>Estuarine, Coastal and Shelf Science</w:t>
      </w:r>
      <w:r w:rsidRPr="002336FE">
        <w:rPr>
          <w:rFonts w:ascii="Calibri" w:hAnsi="Calibri" w:cs="Calibri"/>
        </w:rPr>
        <w:t xml:space="preserve">, </w:t>
      </w:r>
      <w:r w:rsidRPr="002336FE">
        <w:rPr>
          <w:rFonts w:ascii="Calibri" w:hAnsi="Calibri" w:cs="Calibri"/>
          <w:i/>
          <w:iCs/>
        </w:rPr>
        <w:t>75</w:t>
      </w:r>
      <w:r w:rsidRPr="002336FE">
        <w:rPr>
          <w:rFonts w:ascii="Calibri" w:hAnsi="Calibri" w:cs="Calibri"/>
        </w:rPr>
        <w:t>(3), 381–392. https://doi.org/10.1016/j.ecss.2007.05.044</w:t>
      </w:r>
    </w:p>
    <w:p w14:paraId="735FEAA3" w14:textId="77777777" w:rsidR="002336FE" w:rsidRPr="002336FE" w:rsidRDefault="002336FE" w:rsidP="002336FE">
      <w:pPr>
        <w:pStyle w:val="Bibliography"/>
        <w:rPr>
          <w:rFonts w:ascii="Calibri" w:hAnsi="Calibri" w:cs="Calibri"/>
        </w:rPr>
      </w:pPr>
      <w:r w:rsidRPr="002336FE">
        <w:rPr>
          <w:rFonts w:ascii="Calibri" w:hAnsi="Calibri" w:cs="Calibri"/>
        </w:rPr>
        <w:lastRenderedPageBreak/>
        <w:t xml:space="preserve">Sourisseau, M., &amp; Carlotti, F. (2006). Spatial distribution of zooplankton size spectra on the French continental shelf of the Bay of Biscay during spring 2000 and 2001. </w:t>
      </w:r>
      <w:r w:rsidRPr="002336FE">
        <w:rPr>
          <w:rFonts w:ascii="Calibri" w:hAnsi="Calibri" w:cs="Calibri"/>
          <w:i/>
          <w:iCs/>
        </w:rPr>
        <w:t>Journal of Geophysical Research: Oceans</w:t>
      </w:r>
      <w:r w:rsidRPr="002336FE">
        <w:rPr>
          <w:rFonts w:ascii="Calibri" w:hAnsi="Calibri" w:cs="Calibri"/>
        </w:rPr>
        <w:t xml:space="preserve">, </w:t>
      </w:r>
      <w:r w:rsidRPr="002336FE">
        <w:rPr>
          <w:rFonts w:ascii="Calibri" w:hAnsi="Calibri" w:cs="Calibri"/>
          <w:i/>
          <w:iCs/>
        </w:rPr>
        <w:t>111</w:t>
      </w:r>
      <w:r w:rsidRPr="002336FE">
        <w:rPr>
          <w:rFonts w:ascii="Calibri" w:hAnsi="Calibri" w:cs="Calibri"/>
        </w:rPr>
        <w:t>(C5). https://doi.org/10.1029/2005jc003063</w:t>
      </w:r>
    </w:p>
    <w:p w14:paraId="41B95B56" w14:textId="77777777" w:rsidR="002336FE" w:rsidRPr="002336FE" w:rsidRDefault="002336FE" w:rsidP="002336FE">
      <w:pPr>
        <w:pStyle w:val="Bibliography"/>
        <w:rPr>
          <w:rFonts w:ascii="Calibri" w:hAnsi="Calibri" w:cs="Calibri"/>
        </w:rPr>
      </w:pPr>
      <w:r w:rsidRPr="002336FE">
        <w:rPr>
          <w:rFonts w:ascii="Calibri" w:hAnsi="Calibri" w:cs="Calibri"/>
        </w:rPr>
        <w:t xml:space="preserve">Thompson, G. A., Dinofrio, E. O., &amp; Alder, V. A. (2013). Structure, abundance and biomass size spectra of copepods and other zooplankton communities in upper waters of the Southwestern Atlantic Ocean during summer. </w:t>
      </w:r>
      <w:r w:rsidRPr="002336FE">
        <w:rPr>
          <w:rFonts w:ascii="Calibri" w:hAnsi="Calibri" w:cs="Calibri"/>
          <w:i/>
          <w:iCs/>
        </w:rPr>
        <w:t>Journal of Plankton Research</w:t>
      </w:r>
      <w:r w:rsidRPr="002336FE">
        <w:rPr>
          <w:rFonts w:ascii="Calibri" w:hAnsi="Calibri" w:cs="Calibri"/>
        </w:rPr>
        <w:t xml:space="preserve">, </w:t>
      </w:r>
      <w:r w:rsidRPr="002336FE">
        <w:rPr>
          <w:rFonts w:ascii="Calibri" w:hAnsi="Calibri" w:cs="Calibri"/>
          <w:i/>
          <w:iCs/>
        </w:rPr>
        <w:t>35</w:t>
      </w:r>
      <w:r w:rsidRPr="002336FE">
        <w:rPr>
          <w:rFonts w:ascii="Calibri" w:hAnsi="Calibri" w:cs="Calibri"/>
        </w:rPr>
        <w:t>(3), 610–629. https://doi.org/10.1093/plankt/fbt014</w:t>
      </w:r>
    </w:p>
    <w:p w14:paraId="7EF1D046" w14:textId="77777777" w:rsidR="002336FE" w:rsidRPr="002336FE" w:rsidRDefault="002336FE" w:rsidP="002336FE">
      <w:pPr>
        <w:pStyle w:val="Bibliography"/>
        <w:rPr>
          <w:rFonts w:ascii="Calibri" w:hAnsi="Calibri" w:cs="Calibri"/>
        </w:rPr>
      </w:pPr>
      <w:r w:rsidRPr="002336FE">
        <w:rPr>
          <w:rFonts w:ascii="Calibri" w:hAnsi="Calibri" w:cs="Calibri"/>
        </w:rPr>
        <w:t xml:space="preserve">Vandromme, P., Nogueira, E., Huret, M., Lopez-Urrutia, Á., González, G. G.-N., Sourisseau, M., &amp; Petitgas, P. (2014). Springtime zooplankton size structure over the continental shelf of the Bay of Biscay. </w:t>
      </w:r>
      <w:r w:rsidRPr="002336FE">
        <w:rPr>
          <w:rFonts w:ascii="Calibri" w:hAnsi="Calibri" w:cs="Calibri"/>
          <w:i/>
          <w:iCs/>
        </w:rPr>
        <w:t>Ocean Science</w:t>
      </w:r>
      <w:r w:rsidRPr="002336FE">
        <w:rPr>
          <w:rFonts w:ascii="Calibri" w:hAnsi="Calibri" w:cs="Calibri"/>
        </w:rPr>
        <w:t xml:space="preserve">, </w:t>
      </w:r>
      <w:r w:rsidRPr="002336FE">
        <w:rPr>
          <w:rFonts w:ascii="Calibri" w:hAnsi="Calibri" w:cs="Calibri"/>
          <w:i/>
          <w:iCs/>
        </w:rPr>
        <w:t>10</w:t>
      </w:r>
      <w:r w:rsidRPr="002336FE">
        <w:rPr>
          <w:rFonts w:ascii="Calibri" w:hAnsi="Calibri" w:cs="Calibri"/>
        </w:rPr>
        <w:t>, 821–835.</w:t>
      </w:r>
    </w:p>
    <w:p w14:paraId="1DD00C10" w14:textId="77777777" w:rsidR="002336FE" w:rsidRPr="002336FE" w:rsidRDefault="002336FE" w:rsidP="002336FE">
      <w:pPr>
        <w:pStyle w:val="Bibliography"/>
        <w:rPr>
          <w:rFonts w:ascii="Calibri" w:hAnsi="Calibri" w:cs="Calibri"/>
        </w:rPr>
      </w:pPr>
      <w:r w:rsidRPr="002336FE">
        <w:rPr>
          <w:rFonts w:ascii="Calibri" w:hAnsi="Calibri" w:cs="Calibri"/>
        </w:rPr>
        <w:t xml:space="preserve">Zeldis, J. R., &amp; Willis, K. J. (2015). Biogeographic and trophic drivers of mesozooplankton distribution on the northeast continental shelf and in Hauraki Gulf, New Zealand. </w:t>
      </w:r>
      <w:r w:rsidRPr="002336FE">
        <w:rPr>
          <w:rFonts w:ascii="Calibri" w:hAnsi="Calibri" w:cs="Calibri"/>
          <w:i/>
          <w:iCs/>
        </w:rPr>
        <w:t>New Zealand Journal of Marine and Freshwater Research</w:t>
      </w:r>
      <w:r w:rsidRPr="002336FE">
        <w:rPr>
          <w:rFonts w:ascii="Calibri" w:hAnsi="Calibri" w:cs="Calibri"/>
        </w:rPr>
        <w:t xml:space="preserve">, </w:t>
      </w:r>
      <w:r w:rsidRPr="002336FE">
        <w:rPr>
          <w:rFonts w:ascii="Calibri" w:hAnsi="Calibri" w:cs="Calibri"/>
          <w:i/>
          <w:iCs/>
        </w:rPr>
        <w:t>49</w:t>
      </w:r>
      <w:r w:rsidRPr="002336FE">
        <w:rPr>
          <w:rFonts w:ascii="Calibri" w:hAnsi="Calibri" w:cs="Calibri"/>
        </w:rPr>
        <w:t>(1), 69–86. https://doi.org/10.1080/00288330.2014.955806</w:t>
      </w:r>
    </w:p>
    <w:p w14:paraId="516B7463" w14:textId="77777777" w:rsidR="002336FE" w:rsidRPr="002336FE" w:rsidRDefault="002336FE" w:rsidP="002336FE">
      <w:pPr>
        <w:pStyle w:val="Bibliography"/>
        <w:rPr>
          <w:rFonts w:ascii="Calibri" w:hAnsi="Calibri" w:cs="Calibri"/>
        </w:rPr>
      </w:pPr>
      <w:r w:rsidRPr="002336FE">
        <w:rPr>
          <w:rFonts w:ascii="Calibri" w:hAnsi="Calibri" w:cs="Calibri"/>
        </w:rPr>
        <w:t xml:space="preserve">Zhang, W., Sun, X., Zheng, S., Zhu, M., Liang, J., Du, J., &amp; Yang, C. (2019). Plankton abundance, biovolume, and normalized biovolume size spectra in the northern slope of the South China Sea in autumn 2014 and summer 2015. </w:t>
      </w:r>
      <w:r w:rsidRPr="002336FE">
        <w:rPr>
          <w:rFonts w:ascii="Calibri" w:hAnsi="Calibri" w:cs="Calibri"/>
          <w:i/>
          <w:iCs/>
        </w:rPr>
        <w:t>Deep Sea Research Part II: Topical Studies in Oceanography</w:t>
      </w:r>
      <w:r w:rsidRPr="002336FE">
        <w:rPr>
          <w:rFonts w:ascii="Calibri" w:hAnsi="Calibri" w:cs="Calibri"/>
        </w:rPr>
        <w:t xml:space="preserve">, </w:t>
      </w:r>
      <w:r w:rsidRPr="002336FE">
        <w:rPr>
          <w:rFonts w:ascii="Calibri" w:hAnsi="Calibri" w:cs="Calibri"/>
          <w:i/>
          <w:iCs/>
        </w:rPr>
        <w:t>167</w:t>
      </w:r>
      <w:r w:rsidRPr="002336FE">
        <w:rPr>
          <w:rFonts w:ascii="Calibri" w:hAnsi="Calibri" w:cs="Calibri"/>
        </w:rPr>
        <w:t>, 79–92. https://doi.org/10.1016/j.dsr2.2019.07.006</w:t>
      </w:r>
    </w:p>
    <w:p w14:paraId="5364B664" w14:textId="61B44F49" w:rsidR="00C66DFB" w:rsidRPr="00B56C58" w:rsidRDefault="00D72ED2">
      <w:pPr>
        <w:spacing w:after="160" w:line="259" w:lineRule="auto"/>
        <w:rPr>
          <w:rFonts w:asciiTheme="minorHAnsi" w:hAnsiTheme="minorHAnsi" w:cstheme="minorHAnsi"/>
          <w:b/>
          <w:bCs/>
        </w:rPr>
      </w:pPr>
      <w:r w:rsidRPr="00B56C58">
        <w:rPr>
          <w:rFonts w:asciiTheme="minorHAnsi" w:hAnsiTheme="minorHAnsi" w:cstheme="minorHAnsi"/>
          <w:b/>
          <w:bCs/>
        </w:rPr>
        <w:fldChar w:fldCharType="end"/>
      </w:r>
    </w:p>
    <w:p w14:paraId="58323A0E" w14:textId="77777777" w:rsidR="00CD400A" w:rsidRPr="00B56C58" w:rsidRDefault="00CD400A" w:rsidP="00922E04">
      <w:pPr>
        <w:spacing w:line="360" w:lineRule="auto"/>
        <w:rPr>
          <w:rFonts w:asciiTheme="minorHAnsi" w:hAnsiTheme="minorHAnsi" w:cstheme="minorHAnsi"/>
        </w:rPr>
      </w:pPr>
    </w:p>
    <w:sectPr w:rsidR="00CD400A" w:rsidRPr="00B56C58" w:rsidSect="00C66D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8D1EE" w14:textId="77777777" w:rsidR="008D20A2" w:rsidRDefault="008D20A2">
      <w:r>
        <w:separator/>
      </w:r>
    </w:p>
  </w:endnote>
  <w:endnote w:type="continuationSeparator" w:id="0">
    <w:p w14:paraId="26243BFD" w14:textId="77777777" w:rsidR="008D20A2" w:rsidRDefault="008D2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967984"/>
      <w:docPartObj>
        <w:docPartGallery w:val="Page Numbers (Bottom of Page)"/>
        <w:docPartUnique/>
      </w:docPartObj>
    </w:sdtPr>
    <w:sdtEndPr>
      <w:rPr>
        <w:noProof/>
      </w:rPr>
    </w:sdtEndPr>
    <w:sdtContent>
      <w:p w14:paraId="70F46A97" w14:textId="77777777" w:rsidR="00CF4DB0" w:rsidRDefault="0092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A0994" w14:textId="77777777" w:rsidR="00CF4DB0" w:rsidRDefault="008D20A2"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A48CB" w14:textId="77777777" w:rsidR="008D20A2" w:rsidRDefault="008D20A2">
      <w:r>
        <w:separator/>
      </w:r>
    </w:p>
  </w:footnote>
  <w:footnote w:type="continuationSeparator" w:id="0">
    <w:p w14:paraId="7C93E0E9" w14:textId="77777777" w:rsidR="008D20A2" w:rsidRDefault="008D2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B63C5" w14:textId="2402AE51" w:rsidR="00CF4DB0" w:rsidRDefault="00922E04" w:rsidP="00E31404">
    <w:pPr>
      <w:pStyle w:val="Header"/>
      <w:jc w:val="center"/>
    </w:pPr>
    <w:r>
      <w:t xml:space="preserve">Confidential manuscript submitted to </w:t>
    </w:r>
    <w:r>
      <w:rPr>
        <w:i/>
      </w:rPr>
      <w:t xml:space="preserve">replace this text with name of </w:t>
    </w:r>
    <w:r w:rsidRPr="007778ED">
      <w:rPr>
        <w:i/>
      </w:rPr>
      <w:t xml:space="preserve">AGU </w:t>
    </w:r>
    <w:proofErr w:type="gramStart"/>
    <w:r w:rsidRPr="007778ED">
      <w:rPr>
        <w:i/>
      </w:rPr>
      <w:t>journal</w:t>
    </w:r>
    <w:proofErr w:type="gram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E04"/>
    <w:rsid w:val="00055958"/>
    <w:rsid w:val="000A5D04"/>
    <w:rsid w:val="000B0B97"/>
    <w:rsid w:val="000E320E"/>
    <w:rsid w:val="000E4F66"/>
    <w:rsid w:val="000E70F9"/>
    <w:rsid w:val="000F6B7E"/>
    <w:rsid w:val="00133BE7"/>
    <w:rsid w:val="00153C45"/>
    <w:rsid w:val="00157F62"/>
    <w:rsid w:val="0016429F"/>
    <w:rsid w:val="00196019"/>
    <w:rsid w:val="002336FE"/>
    <w:rsid w:val="00277934"/>
    <w:rsid w:val="00297A17"/>
    <w:rsid w:val="002A15AA"/>
    <w:rsid w:val="002A7676"/>
    <w:rsid w:val="002C7DF0"/>
    <w:rsid w:val="00313B26"/>
    <w:rsid w:val="00327205"/>
    <w:rsid w:val="00392ED7"/>
    <w:rsid w:val="003B3BA3"/>
    <w:rsid w:val="003D6634"/>
    <w:rsid w:val="003D7082"/>
    <w:rsid w:val="003E467B"/>
    <w:rsid w:val="00462636"/>
    <w:rsid w:val="00507A05"/>
    <w:rsid w:val="00555CC6"/>
    <w:rsid w:val="00592ACE"/>
    <w:rsid w:val="00605E61"/>
    <w:rsid w:val="006E4947"/>
    <w:rsid w:val="00762170"/>
    <w:rsid w:val="0084109C"/>
    <w:rsid w:val="008517BE"/>
    <w:rsid w:val="008D20A2"/>
    <w:rsid w:val="00922E04"/>
    <w:rsid w:val="009459B4"/>
    <w:rsid w:val="009A2AF3"/>
    <w:rsid w:val="00A027D2"/>
    <w:rsid w:val="00A36E93"/>
    <w:rsid w:val="00AC0F41"/>
    <w:rsid w:val="00AC7798"/>
    <w:rsid w:val="00AE5919"/>
    <w:rsid w:val="00B07758"/>
    <w:rsid w:val="00B56C58"/>
    <w:rsid w:val="00BB7B8C"/>
    <w:rsid w:val="00C66DFB"/>
    <w:rsid w:val="00C67EC0"/>
    <w:rsid w:val="00C81D15"/>
    <w:rsid w:val="00C9562E"/>
    <w:rsid w:val="00CD400A"/>
    <w:rsid w:val="00D72ED2"/>
    <w:rsid w:val="00DC20E6"/>
    <w:rsid w:val="00DF3465"/>
    <w:rsid w:val="00E143C5"/>
    <w:rsid w:val="00E17C9F"/>
    <w:rsid w:val="00E24670"/>
    <w:rsid w:val="00EB2BE9"/>
    <w:rsid w:val="00ED585C"/>
    <w:rsid w:val="00FB1FDD"/>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E1B7"/>
  <w15:chartTrackingRefBased/>
  <w15:docId w15:val="{3977AE4A-375D-49B6-9E33-844D100B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04"/>
    <w:pPr>
      <w:spacing w:after="0" w:line="240" w:lineRule="auto"/>
    </w:pPr>
    <w:rPr>
      <w:rFonts w:ascii="Times New Roman" w:eastAsia="Calibri" w:hAnsi="Times New Roman" w:cs="Times New Roman"/>
      <w:sz w:val="24"/>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04"/>
    <w:pPr>
      <w:tabs>
        <w:tab w:val="center" w:pos="4680"/>
        <w:tab w:val="right" w:pos="9360"/>
      </w:tabs>
    </w:pPr>
  </w:style>
  <w:style w:type="character" w:customStyle="1" w:styleId="HeaderChar">
    <w:name w:val="Header Char"/>
    <w:basedOn w:val="DefaultParagraphFont"/>
    <w:link w:val="Header"/>
    <w:uiPriority w:val="99"/>
    <w:rsid w:val="00922E04"/>
    <w:rPr>
      <w:rFonts w:ascii="Times New Roman" w:eastAsia="Calibri" w:hAnsi="Times New Roman" w:cs="Times New Roman"/>
      <w:sz w:val="24"/>
      <w:szCs w:val="20"/>
      <w:lang w:val="en-US" w:bidi="ar-SA"/>
    </w:rPr>
  </w:style>
  <w:style w:type="paragraph" w:styleId="Footer">
    <w:name w:val="footer"/>
    <w:basedOn w:val="Normal"/>
    <w:link w:val="FooterChar"/>
    <w:uiPriority w:val="99"/>
    <w:unhideWhenUsed/>
    <w:rsid w:val="00922E04"/>
    <w:pPr>
      <w:tabs>
        <w:tab w:val="center" w:pos="4680"/>
        <w:tab w:val="right" w:pos="9360"/>
      </w:tabs>
    </w:pPr>
  </w:style>
  <w:style w:type="character" w:customStyle="1" w:styleId="FooterChar">
    <w:name w:val="Footer Char"/>
    <w:basedOn w:val="DefaultParagraphFont"/>
    <w:link w:val="Footer"/>
    <w:uiPriority w:val="99"/>
    <w:rsid w:val="00922E04"/>
    <w:rPr>
      <w:rFonts w:ascii="Times New Roman" w:eastAsia="Calibri" w:hAnsi="Times New Roman" w:cs="Times New Roman"/>
      <w:sz w:val="24"/>
      <w:szCs w:val="20"/>
      <w:lang w:val="en-US" w:bidi="ar-SA"/>
    </w:rPr>
  </w:style>
  <w:style w:type="character" w:styleId="LineNumber">
    <w:name w:val="line number"/>
    <w:basedOn w:val="DefaultParagraphFont"/>
    <w:uiPriority w:val="99"/>
    <w:semiHidden/>
    <w:unhideWhenUsed/>
    <w:rsid w:val="00922E04"/>
  </w:style>
  <w:style w:type="paragraph" w:styleId="BalloonText">
    <w:name w:val="Balloon Text"/>
    <w:basedOn w:val="Normal"/>
    <w:link w:val="BalloonTextChar"/>
    <w:uiPriority w:val="99"/>
    <w:semiHidden/>
    <w:unhideWhenUsed/>
    <w:rsid w:val="00C81D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D15"/>
    <w:rPr>
      <w:rFonts w:ascii="Segoe UI" w:eastAsia="Calibri" w:hAnsi="Segoe UI" w:cs="Segoe UI"/>
      <w:sz w:val="18"/>
      <w:szCs w:val="18"/>
      <w:lang w:val="en-US" w:bidi="ar-SA"/>
    </w:rPr>
  </w:style>
  <w:style w:type="paragraph" w:styleId="Bibliography">
    <w:name w:val="Bibliography"/>
    <w:basedOn w:val="Normal"/>
    <w:next w:val="Normal"/>
    <w:uiPriority w:val="37"/>
    <w:unhideWhenUsed/>
    <w:rsid w:val="00D72ED2"/>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92043">
      <w:bodyDiv w:val="1"/>
      <w:marLeft w:val="0"/>
      <w:marRight w:val="0"/>
      <w:marTop w:val="0"/>
      <w:marBottom w:val="0"/>
      <w:divBdr>
        <w:top w:val="none" w:sz="0" w:space="0" w:color="auto"/>
        <w:left w:val="none" w:sz="0" w:space="0" w:color="auto"/>
        <w:bottom w:val="none" w:sz="0" w:space="0" w:color="auto"/>
        <w:right w:val="none" w:sz="0" w:space="0" w:color="auto"/>
      </w:divBdr>
    </w:div>
    <w:div w:id="552620243">
      <w:bodyDiv w:val="1"/>
      <w:marLeft w:val="0"/>
      <w:marRight w:val="0"/>
      <w:marTop w:val="0"/>
      <w:marBottom w:val="0"/>
      <w:divBdr>
        <w:top w:val="none" w:sz="0" w:space="0" w:color="auto"/>
        <w:left w:val="none" w:sz="0" w:space="0" w:color="auto"/>
        <w:bottom w:val="none" w:sz="0" w:space="0" w:color="auto"/>
        <w:right w:val="none" w:sz="0" w:space="0" w:color="auto"/>
      </w:divBdr>
    </w:div>
    <w:div w:id="811488115">
      <w:bodyDiv w:val="1"/>
      <w:marLeft w:val="0"/>
      <w:marRight w:val="0"/>
      <w:marTop w:val="0"/>
      <w:marBottom w:val="0"/>
      <w:divBdr>
        <w:top w:val="none" w:sz="0" w:space="0" w:color="auto"/>
        <w:left w:val="none" w:sz="0" w:space="0" w:color="auto"/>
        <w:bottom w:val="none" w:sz="0" w:space="0" w:color="auto"/>
        <w:right w:val="none" w:sz="0" w:space="0" w:color="auto"/>
      </w:divBdr>
    </w:div>
    <w:div w:id="1223367468">
      <w:bodyDiv w:val="1"/>
      <w:marLeft w:val="0"/>
      <w:marRight w:val="0"/>
      <w:marTop w:val="0"/>
      <w:marBottom w:val="0"/>
      <w:divBdr>
        <w:top w:val="none" w:sz="0" w:space="0" w:color="auto"/>
        <w:left w:val="none" w:sz="0" w:space="0" w:color="auto"/>
        <w:bottom w:val="none" w:sz="0" w:space="0" w:color="auto"/>
        <w:right w:val="none" w:sz="0" w:space="0" w:color="auto"/>
      </w:divBdr>
    </w:div>
    <w:div w:id="1594556916">
      <w:bodyDiv w:val="1"/>
      <w:marLeft w:val="0"/>
      <w:marRight w:val="0"/>
      <w:marTop w:val="0"/>
      <w:marBottom w:val="0"/>
      <w:divBdr>
        <w:top w:val="none" w:sz="0" w:space="0" w:color="auto"/>
        <w:left w:val="none" w:sz="0" w:space="0" w:color="auto"/>
        <w:bottom w:val="none" w:sz="0" w:space="0" w:color="auto"/>
        <w:right w:val="none" w:sz="0" w:space="0" w:color="auto"/>
      </w:divBdr>
    </w:div>
    <w:div w:id="170867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7597</Words>
  <Characters>43309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3</cp:revision>
  <dcterms:created xsi:type="dcterms:W3CDTF">2021-05-14T04:06:00Z</dcterms:created>
  <dcterms:modified xsi:type="dcterms:W3CDTF">2021-05-14T04:06:00Z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id="8A6FEVuQ"/&gt;&lt;style id="http://www.zotero.org/styles/journal-of-geophysical-research-oceans" hasBibliography="1" bibliographyStyleHasBeenSet="1"/&gt;&lt;prefs&gt;&lt;pref name="fieldType" value="Field"/&gt;&lt;/pref</vt:lpwstr>
  </property>
  <property fmtid="{D5CDD505-2E9C-101B-9397-08002B2CF9AE}" pid="3" name="ZOTERO_PREF_2">
    <vt:lpwstr>s&gt;&lt;/data&gt;</vt:lpwstr>
  </property>
</Properties>
</file>