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r w:rsidRPr="00081D43">
        <w:rPr>
          <w:i/>
          <w:iCs/>
          <w:sz w:val="24"/>
          <w:szCs w:val="24"/>
        </w:rPr>
        <w:t>Channa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1C6EB03"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Pr="00AA122B">
        <w:rPr>
          <w:sz w:val="24"/>
          <w:szCs w:val="24"/>
        </w:rPr>
        <w:t xml:space="preserve"> Kaish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4214C381" w:rsidR="00C31E7C"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437AA3F4"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Typical studies also have a large number of elemental compositions and shape measures relative 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 PERMANOVA and</w:t>
      </w:r>
      <w:r w:rsidR="00081D43">
        <w:rPr>
          <w:sz w:val="24"/>
          <w:szCs w:val="24"/>
        </w:rPr>
        <w:t xml:space="preserve"> MGLMs to a</w:t>
      </w:r>
      <w:r w:rsidR="00081D43" w:rsidRPr="00AA122B">
        <w:rPr>
          <w:sz w:val="24"/>
          <w:szCs w:val="24"/>
        </w:rPr>
        <w:t xml:space="preserve"> case study of </w:t>
      </w:r>
      <w:r w:rsidR="00081D43" w:rsidRPr="00AA122B">
        <w:rPr>
          <w:i/>
          <w:iCs/>
          <w:sz w:val="24"/>
          <w:szCs w:val="24"/>
        </w:rPr>
        <w:t xml:space="preserve">Channa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 xml:space="preserve">We also introduce the Tweedie distribution as a suitable error structure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both otolith shape, otolith chemistry and a combined otolith shape and chemistry dataset. This suggests that 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75D0EC27"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2B4B47" w:rsidRPr="00AA122B">
        <w:rPr>
          <w:sz w:val="24"/>
          <w:szCs w:val="24"/>
        </w:rPr>
        <w:t xml:space="preserve"> (</w:t>
      </w:r>
      <w:r w:rsidR="005F2BBF" w:rsidRPr="00AA122B">
        <w:rPr>
          <w:sz w:val="24"/>
          <w:szCs w:val="24"/>
        </w:rPr>
        <w:t>Turner et al</w:t>
      </w:r>
      <w:r w:rsidR="002F5274">
        <w:rPr>
          <w:sz w:val="24"/>
          <w:szCs w:val="24"/>
        </w:rPr>
        <w:t>.</w:t>
      </w:r>
      <w:r w:rsidR="005F2BBF" w:rsidRPr="00AA122B">
        <w:rPr>
          <w:sz w:val="24"/>
          <w:szCs w:val="24"/>
        </w:rPr>
        <w:t xml:space="preserve"> 2015</w:t>
      </w:r>
      <w:r w:rsidR="002B4B47" w:rsidRPr="00AA122B">
        <w:rPr>
          <w:sz w:val="24"/>
          <w:szCs w:val="24"/>
        </w:rPr>
        <w:t>)</w:t>
      </w:r>
      <w:r w:rsidRPr="00AA122B">
        <w:rPr>
          <w:sz w:val="24"/>
          <w:szCs w:val="24"/>
        </w:rPr>
        <w:t xml:space="preserve">. </w:t>
      </w:r>
      <w:bookmarkStart w:id="1"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F83659">
        <w:rPr>
          <w:sz w:val="24"/>
          <w:szCs w:val="24"/>
        </w:rPr>
        <w:t xml:space="preserve"> (</w:t>
      </w:r>
      <w:r w:rsidR="00F83659">
        <w:rPr>
          <w:rFonts w:ascii="Calibri" w:eastAsia="Calibri" w:hAnsi="Calibri" w:cs="Calibri"/>
          <w:noProof/>
          <w:sz w:val="24"/>
          <w:szCs w:val="24"/>
        </w:rPr>
        <w:t xml:space="preserve">Tracey et al. 2006, </w:t>
      </w:r>
      <w:r w:rsidR="00F83659" w:rsidRPr="00F83659">
        <w:rPr>
          <w:rFonts w:ascii="Calibri" w:eastAsia="Calibri" w:hAnsi="Calibri" w:cs="Calibri"/>
          <w:noProof/>
          <w:sz w:val="24"/>
          <w:szCs w:val="24"/>
        </w:rPr>
        <w:t>Ferguson</w:t>
      </w:r>
      <w:r w:rsidR="00F83659">
        <w:rPr>
          <w:rFonts w:ascii="Calibri" w:eastAsia="Calibri" w:hAnsi="Calibri" w:cs="Calibri"/>
          <w:noProof/>
          <w:sz w:val="24"/>
          <w:szCs w:val="24"/>
        </w:rPr>
        <w:t xml:space="preserve"> et al. 2011)</w:t>
      </w:r>
      <w:bookmarkEnd w:id="1"/>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 (Campana and Casselman 1993; Begg et al. 2001</w:t>
      </w:r>
      <w:r w:rsidR="00155C64">
        <w:rPr>
          <w:sz w:val="24"/>
          <w:szCs w:val="24"/>
        </w:rPr>
        <w:t>;</w:t>
      </w:r>
      <w:r w:rsidR="00EA2343" w:rsidRPr="00AA122B">
        <w:rPr>
          <w:sz w:val="24"/>
          <w:szCs w:val="24"/>
        </w:rPr>
        <w:t xml:space="preserve"> Miyan et al. 2016</w:t>
      </w:r>
      <w:r w:rsidR="00F45D88">
        <w:rPr>
          <w:sz w:val="24"/>
          <w:szCs w:val="24"/>
        </w:rPr>
        <w:t>a</w:t>
      </w:r>
      <w:r w:rsidR="00155C64">
        <w:rPr>
          <w:sz w:val="24"/>
          <w:szCs w:val="24"/>
        </w:rPr>
        <w:t>; Nazir and Khan 2019</w:t>
      </w:r>
      <w:r w:rsidRPr="00AA122B">
        <w:rPr>
          <w:sz w:val="24"/>
          <w:szCs w:val="24"/>
        </w:rPr>
        <w:t xml:space="preserve">). </w:t>
      </w:r>
    </w:p>
    <w:p w14:paraId="447B3ABC" w14:textId="73F49BC4"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 (Bird et al., 1986; Campana and Casselman, 1993; Begg et al., 2001; Smith et al., 2002)</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 (Castonguay et al. 1991; Friedland and Reddin 1994)</w:t>
      </w:r>
      <w:r w:rsidR="00CD6D75">
        <w:rPr>
          <w:sz w:val="24"/>
          <w:szCs w:val="24"/>
        </w:rPr>
        <w:t xml:space="preserve">, although disentangling the </w:t>
      </w:r>
      <w:r w:rsidR="001C7117">
        <w:rPr>
          <w:sz w:val="24"/>
          <w:szCs w:val="24"/>
        </w:rPr>
        <w:t>physiological and environmental influences</w:t>
      </w:r>
      <w:r w:rsidR="00CD6D75">
        <w:rPr>
          <w:sz w:val="24"/>
          <w:szCs w:val="24"/>
        </w:rPr>
        <w:t xml:space="preserve"> is often complicated </w:t>
      </w:r>
      <w:r w:rsidR="001C7117">
        <w:rPr>
          <w:sz w:val="24"/>
          <w:szCs w:val="24"/>
        </w:rPr>
        <w:t>(Vignon and Morat 2010)</w:t>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 (Campana et al. 2000; Longmore et al, 2011).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 (Elsdon and Gillanders 2003; Stransky et al. 2005).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5D1FBA" w:rsidRPr="00AA122B">
        <w:rPr>
          <w:sz w:val="24"/>
          <w:szCs w:val="24"/>
        </w:rPr>
        <w:t xml:space="preserve"> (</w:t>
      </w:r>
      <w:r w:rsidR="005F2BBF" w:rsidRPr="00AA122B">
        <w:rPr>
          <w:sz w:val="24"/>
          <w:szCs w:val="24"/>
        </w:rPr>
        <w:t>Gramm</w:t>
      </w:r>
      <w:r w:rsidR="00712CD7">
        <w:rPr>
          <w:sz w:val="24"/>
          <w:szCs w:val="24"/>
        </w:rPr>
        <w:t>e</w:t>
      </w:r>
      <w:r w:rsidR="005F2BBF" w:rsidRPr="00AA122B">
        <w:rPr>
          <w:sz w:val="24"/>
          <w:szCs w:val="24"/>
        </w:rPr>
        <w:t xml:space="preserve">r et al 2017, </w:t>
      </w:r>
      <w:r w:rsidR="00A234D6" w:rsidRPr="00AA122B">
        <w:rPr>
          <w:sz w:val="24"/>
          <w:szCs w:val="24"/>
        </w:rPr>
        <w:t>Izzo et al 2018</w:t>
      </w:r>
      <w:r w:rsidR="005D1FBA" w:rsidRPr="00AA122B">
        <w:rPr>
          <w:sz w:val="24"/>
          <w:szCs w:val="24"/>
        </w:rPr>
        <w:t>)</w:t>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 </w:t>
      </w:r>
      <w:r w:rsidRPr="00AA122B">
        <w:rPr>
          <w:sz w:val="24"/>
          <w:szCs w:val="24"/>
        </w:rPr>
        <w:t>(Elsdon and Gillanders 2004; Khan et al. 2012; M</w:t>
      </w:r>
      <w:r w:rsidR="00E7736B" w:rsidRPr="00AA122B">
        <w:rPr>
          <w:sz w:val="24"/>
          <w:szCs w:val="24"/>
        </w:rPr>
        <w:t>iyan et al., 2014; 2016a; 2016b</w:t>
      </w:r>
      <w:r w:rsidRPr="00AA122B">
        <w:rPr>
          <w:sz w:val="24"/>
          <w:szCs w:val="24"/>
        </w:rPr>
        <w:t>)</w:t>
      </w:r>
      <w:r w:rsidR="005D1FBA" w:rsidRPr="00AA122B">
        <w:rPr>
          <w:sz w:val="24"/>
          <w:szCs w:val="24"/>
        </w:rPr>
        <w:t>.</w:t>
      </w:r>
      <w:r w:rsidR="00773871" w:rsidRPr="00AA122B">
        <w:rPr>
          <w:sz w:val="24"/>
          <w:szCs w:val="24"/>
        </w:rPr>
        <w:t xml:space="preserve"> </w:t>
      </w:r>
      <w:bookmarkStart w:id="2"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773871" w:rsidRPr="00AA122B">
        <w:rPr>
          <w:sz w:val="24"/>
          <w:szCs w:val="24"/>
        </w:rPr>
        <w:t xml:space="preserve"> </w:t>
      </w:r>
      <w:r w:rsidR="00DD1FE8" w:rsidRPr="00AA122B">
        <w:rPr>
          <w:sz w:val="24"/>
          <w:szCs w:val="24"/>
        </w:rPr>
        <w:fldChar w:fldCharType="begin"/>
      </w:r>
      <w:r w:rsidR="00AB27E4">
        <w:rPr>
          <w:sz w:val="24"/>
          <w:szCs w:val="24"/>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DD1FE8" w:rsidRPr="00AA122B">
        <w:rPr>
          <w:sz w:val="24"/>
          <w:szCs w:val="24"/>
        </w:rPr>
        <w:fldChar w:fldCharType="separate"/>
      </w:r>
      <w:r w:rsidR="00AB27E4">
        <w:rPr>
          <w:noProof/>
          <w:sz w:val="24"/>
          <w:szCs w:val="24"/>
        </w:rPr>
        <w:t>(Fowler et al., 2015)</w:t>
      </w:r>
      <w:r w:rsidR="00DD1FE8" w:rsidRPr="00AA122B">
        <w:rPr>
          <w:sz w:val="24"/>
          <w:szCs w:val="24"/>
        </w:rPr>
        <w:fldChar w:fldCharType="end"/>
      </w:r>
      <w:r w:rsidR="00773871" w:rsidRPr="00AA122B">
        <w:rPr>
          <w:sz w:val="24"/>
          <w:szCs w:val="24"/>
        </w:rPr>
        <w:t>.</w:t>
      </w:r>
      <w:bookmarkEnd w:id="2"/>
    </w:p>
    <w:p w14:paraId="4E8C2F13" w14:textId="5223920C"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using distance-based methods (eg. PERMANOVA; </w:t>
      </w:r>
      <w:r w:rsidR="00F45D88">
        <w:rPr>
          <w:sz w:val="24"/>
          <w:szCs w:val="24"/>
        </w:rPr>
        <w:t xml:space="preserve">Ferguson et al. 2011, </w:t>
      </w:r>
      <w:r w:rsidRPr="00EF46D6">
        <w:rPr>
          <w:sz w:val="24"/>
          <w:szCs w:val="24"/>
        </w:rPr>
        <w:t>Schilling et al. 2018</w:t>
      </w:r>
      <w:r w:rsidR="00622959">
        <w:rPr>
          <w:sz w:val="24"/>
          <w:szCs w:val="24"/>
        </w:rPr>
        <w:t>, Biol</w:t>
      </w:r>
      <w:r w:rsidR="00622959">
        <w:rPr>
          <w:rFonts w:cstheme="minorHAnsi"/>
          <w:sz w:val="24"/>
          <w:szCs w:val="24"/>
        </w:rPr>
        <w:t>é</w:t>
      </w:r>
      <w:r w:rsidR="00622959">
        <w:rPr>
          <w:sz w:val="24"/>
          <w:szCs w:val="24"/>
        </w:rPr>
        <w:t xml:space="preserve"> et al. 2019</w:t>
      </w:r>
      <w:r w:rsidRPr="00EF46D6">
        <w:rPr>
          <w:sz w:val="24"/>
          <w:szCs w:val="24"/>
        </w:rPr>
        <w:t xml:space="preserve">) or model-based methods which assume a gaussian error distribution (eg. MANOVA or LDA; Maguffee et al 2019). Ecologists typically also use these </w:t>
      </w:r>
      <w:r w:rsidR="00F45D88" w:rsidRPr="00EF46D6">
        <w:rPr>
          <w:sz w:val="24"/>
          <w:szCs w:val="24"/>
        </w:rPr>
        <w:t>distance-based</w:t>
      </w:r>
      <w:r w:rsidRPr="00EF46D6">
        <w:rPr>
          <w:sz w:val="24"/>
          <w:szCs w:val="24"/>
        </w:rPr>
        <w:t xml:space="preserve"> methods to form ordination plots to visualise the </w:t>
      </w:r>
      <w:r w:rsidRPr="00EF46D6">
        <w:rPr>
          <w:sz w:val="24"/>
          <w:szCs w:val="24"/>
        </w:rPr>
        <w:lastRenderedPageBreak/>
        <w:t>multivariate groupings in a low-dimensional plot (e.g. nMDS</w:t>
      </w:r>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analysis</w:t>
      </w:r>
      <w:r w:rsidR="00F45D88">
        <w:rPr>
          <w:sz w:val="24"/>
          <w:szCs w:val="24"/>
        </w:rPr>
        <w:t>;</w:t>
      </w:r>
      <w:r w:rsidRPr="00EF46D6">
        <w:rPr>
          <w:sz w:val="24"/>
          <w:szCs w:val="24"/>
        </w:rPr>
        <w:t xml:space="preserve"> </w:t>
      </w:r>
      <w:r w:rsidR="00F45D88">
        <w:rPr>
          <w:sz w:val="24"/>
          <w:szCs w:val="24"/>
        </w:rPr>
        <w:t>Tanner et al. 2012, Andrade et al. 2020</w:t>
      </w:r>
      <w:r w:rsidRPr="00EF46D6">
        <w:rPr>
          <w:sz w:val="24"/>
          <w:szCs w:val="24"/>
        </w:rPr>
        <w:t xml:space="preserve">). The issue however with taking these approaches is that they assume homogeneity, with no mean-variance relationship being taken into account in both the hypothesis testing or visualisation techniques. This is concerning for the otolith shape and chemistry data which have strong mean variance relationships, where the variance increases with the mean concentration and shape parameter value (e.g. Figure 2). The otolith data has a natural boundary at zero which creates a mean-variance relationship as 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Warton et al. 2018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383D48E9"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parameters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F45D88">
        <w:rPr>
          <w:sz w:val="24"/>
          <w:szCs w:val="24"/>
        </w:rPr>
        <w:t>detection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mean variance relationship similar to the shape data (e.g. Figure 2),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similar data to avoid the logging of null counts, however this has the same issue outlined in Warton et al. 2018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takes into </w:t>
      </w:r>
      <w:r w:rsidRPr="00EF46D6">
        <w:rPr>
          <w:sz w:val="24"/>
          <w:szCs w:val="24"/>
        </w:rPr>
        <w:lastRenderedPageBreak/>
        <w:t>account both the large number of null observations as well as the mean variance relationship exhibited in the present observations.</w:t>
      </w:r>
    </w:p>
    <w:p w14:paraId="15F2AE28" w14:textId="6C88B268"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a large number of null observations where the species was not found to be present and a distribution of positive continuous weight samples for the species that are found to be present. The solution to modelling the Biomass data and consequently the otolith Chemistry data is the Tweedie Distribution. The Tweedie distributions suitability to biomass data is explained in detail in Foster et. al 2013, however is largely due it’s equivalence to summing a Poisson 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parameter. The mean-variance relationship is therefore defined by Taylor’s power law (Taylor 1961), which has been shown to arise under a variety of ecological processes (Kendal</w:t>
      </w:r>
      <w:r w:rsidR="00712CD7">
        <w:rPr>
          <w:sz w:val="24"/>
          <w:szCs w:val="24"/>
        </w:rPr>
        <w:t xml:space="preserve"> et al.</w:t>
      </w:r>
      <w:r w:rsidRPr="00EF46D6">
        <w:rPr>
          <w:sz w:val="24"/>
          <w:szCs w:val="24"/>
        </w:rPr>
        <w:t xml:space="preserve"> 2004). The use of the Tweedie distribution in an MGLM setting is also discussed in detail in Niku et. al. 2017. </w:t>
      </w:r>
    </w:p>
    <w:p w14:paraId="1A0FE89C" w14:textId="58661068" w:rsidR="00EF46D6" w:rsidRPr="00EF46D6" w:rsidRDefault="00EF46D6" w:rsidP="00EF46D6">
      <w:pPr>
        <w:spacing w:line="360" w:lineRule="auto"/>
        <w:ind w:firstLine="720"/>
        <w:rPr>
          <w:sz w:val="24"/>
          <w:szCs w:val="24"/>
        </w:rPr>
      </w:pPr>
      <w:bookmarkStart w:id="3"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 xml:space="preserve">compared to distance-based methods </w:t>
      </w:r>
      <w:bookmarkEnd w:id="3"/>
      <w:r w:rsidRPr="00EF46D6">
        <w:rPr>
          <w:sz w:val="24"/>
          <w:szCs w:val="24"/>
        </w:rPr>
        <w:t>(Warton et al 2015). While MGLMs are now common for abundance data (Wang et al 2012), they are rarely used for other datasets despite the flexibility of the method which allows users to specify model parameters to fit a dataset. Otolith Chemistry data and Shape data can be easily applied in an MGLM setting (Nik</w:t>
      </w:r>
      <w:r w:rsidR="00F45D88">
        <w:rPr>
          <w:sz w:val="24"/>
          <w:szCs w:val="24"/>
        </w:rPr>
        <w:t>u</w:t>
      </w:r>
      <w:r w:rsidRPr="00EF46D6">
        <w:rPr>
          <w:sz w:val="24"/>
          <w:szCs w:val="24"/>
        </w:rPr>
        <w:t xml:space="preserve"> et. al. 2017, Wang et al. 2012) for instance by specifying appropriate mean-variance relationships and error distributions for the data (Wang et al. 2012). Appropriately modelling the mean-variance relationship of data avoids misleading results that can that arise in the traditional approaches when their homogeneity assumptions are not met (Warton et al. 2012). Assumptions for these models can also be readily checked by plotting Dunn-Smyth residuals (Dunn and Smyth 1996) which are randomised quantile residuals that have been shown to </w:t>
      </w:r>
      <w:r w:rsidRPr="00EF46D6">
        <w:rPr>
          <w:sz w:val="24"/>
          <w:szCs w:val="24"/>
        </w:rPr>
        <w:lastRenderedPageBreak/>
        <w:t>be effective at detecting many forms of model misspecification for generalised linear models (Dunn and Smyth 20</w:t>
      </w:r>
      <w:r w:rsidR="00712CD7">
        <w:rPr>
          <w:sz w:val="24"/>
          <w:szCs w:val="24"/>
        </w:rPr>
        <w:t>18</w:t>
      </w:r>
      <w:r w:rsidRPr="00EF46D6">
        <w:rPr>
          <w:sz w:val="24"/>
          <w:szCs w:val="24"/>
        </w:rPr>
        <w:t>). MGLM’s have also been found to have higher power then distance-based methods such as PERMANOVA (Wart</w:t>
      </w:r>
      <w:r>
        <w:rPr>
          <w:sz w:val="24"/>
          <w:szCs w:val="24"/>
        </w:rPr>
        <w:t>o</w:t>
      </w:r>
      <w:r w:rsidRPr="00EF46D6">
        <w:rPr>
          <w:sz w:val="24"/>
          <w:szCs w:val="24"/>
        </w:rPr>
        <w:t>n et al. 2012). Visualisations can also be performed in an MGLM setting using a latent variable factor analysis (Hui 2016) or by taking a copula approach (Popovic et al. 2019) that do not mislead users into mistaking differences in variance with differences in the mean.</w:t>
      </w:r>
    </w:p>
    <w:p w14:paraId="6F5B655C" w14:textId="77777777" w:rsidR="00EF46D6" w:rsidRPr="00EF46D6" w:rsidRDefault="00EF46D6" w:rsidP="00EF46D6">
      <w:pPr>
        <w:spacing w:line="360" w:lineRule="auto"/>
        <w:ind w:firstLine="720"/>
        <w:rPr>
          <w:sz w:val="24"/>
          <w:szCs w:val="24"/>
        </w:rPr>
      </w:pPr>
      <w:r w:rsidRPr="00EF46D6">
        <w:rPr>
          <w:sz w:val="24"/>
          <w:szCs w:val="24"/>
        </w:rPr>
        <w:t xml:space="preserve">Another recent technique used to analyse otolith data are machine learning classification methods, that have become prominent as they are robust to many assumptions that are often hard for traditional methods to satisfy (Jones et al., 2017). These methods allow the data to be grouped into different classes, which users can align as their ‘population’ markers. This method however fails to provide a means for hypothesis testing nor to easily visualise the differences among the groups. </w:t>
      </w:r>
    </w:p>
    <w:p w14:paraId="65F3951F" w14:textId="5B79C8D8" w:rsidR="002C7DE3" w:rsidRDefault="005C079A" w:rsidP="004753C2">
      <w:pPr>
        <w:spacing w:line="360" w:lineRule="auto"/>
        <w:ind w:firstLine="720"/>
        <w:rPr>
          <w:sz w:val="24"/>
          <w:szCs w:val="24"/>
        </w:rPr>
      </w:pPr>
      <w:r w:rsidRPr="00AA122B">
        <w:rPr>
          <w:i/>
          <w:iCs/>
          <w:sz w:val="24"/>
          <w:szCs w:val="24"/>
        </w:rPr>
        <w:t>Channa striata</w:t>
      </w:r>
      <w:r w:rsidRPr="00AA122B">
        <w:rPr>
          <w:sz w:val="24"/>
          <w:szCs w:val="24"/>
        </w:rPr>
        <w:t>, locally known</w:t>
      </w:r>
      <w:r w:rsidR="00134D0E" w:rsidRPr="00AA122B">
        <w:rPr>
          <w:sz w:val="24"/>
          <w:szCs w:val="24"/>
        </w:rPr>
        <w:t xml:space="preserve"> in India</w:t>
      </w:r>
      <w:r w:rsidRPr="00AA122B">
        <w:rPr>
          <w:sz w:val="24"/>
          <w:szCs w:val="24"/>
        </w:rPr>
        <w:t xml:space="preserve"> as “Dharidar-Sol”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Channidae.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8735C6">
        <w:rPr>
          <w:sz w:val="24"/>
          <w:szCs w:val="24"/>
        </w:rPr>
        <w:t xml:space="preserve"> </w:t>
      </w:r>
      <w:r w:rsidR="008735C6" w:rsidRPr="00AA122B">
        <w:rPr>
          <w:sz w:val="24"/>
          <w:szCs w:val="24"/>
        </w:rPr>
        <w:t>(Rahman and Awal, 2016)</w:t>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Pr="00AA122B">
        <w:rPr>
          <w:sz w:val="24"/>
          <w:szCs w:val="24"/>
        </w:rPr>
        <w:t xml:space="preserve"> (Rahman and Awal, 2016).</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 (Khan et al 2019). </w:t>
      </w:r>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1C6166E1" w:rsidR="00925965" w:rsidRPr="00AA122B" w:rsidRDefault="00925965" w:rsidP="004753C2">
      <w:pPr>
        <w:spacing w:line="360" w:lineRule="auto"/>
        <w:ind w:firstLine="720"/>
        <w:rPr>
          <w:sz w:val="24"/>
          <w:szCs w:val="24"/>
        </w:rPr>
      </w:pPr>
      <w:r w:rsidRPr="00AA122B">
        <w:rPr>
          <w:sz w:val="24"/>
          <w:szCs w:val="24"/>
        </w:rPr>
        <w:t xml:space="preserve">The striped snakehead, </w:t>
      </w:r>
      <w:r w:rsidRPr="00AA122B">
        <w:rPr>
          <w:i/>
          <w:iCs/>
          <w:sz w:val="24"/>
          <w:szCs w:val="24"/>
        </w:rPr>
        <w:t>Channa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r w:rsidR="00155C64" w:rsidRPr="00AA122B">
        <w:rPr>
          <w:sz w:val="24"/>
          <w:szCs w:val="24"/>
        </w:rPr>
        <w:t xml:space="preserve">Borneo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 (Phen et al., 2004; War et al., 2011).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 (Cagauan 2007).</w:t>
      </w:r>
    </w:p>
    <w:p w14:paraId="072154D8" w14:textId="77777777"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Narora (27° 30' N; 78° 25' E) on the river Ganga, Agra (27.1767° N; 78.0081°E) on the river Yamuna and Lucknow (26° 55' N; 80° 59' E) on the river Gomti (Figure 1). Identification of the fish was based on the descriptions of Jayaram (1999); Talwar and Jhingaran (1991).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toliths were extracted using forceps, cleaned in fresh water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49044BA3" w:rsidR="00BE6674" w:rsidRDefault="00185B87" w:rsidP="004753C2">
      <w:pPr>
        <w:spacing w:line="360" w:lineRule="auto"/>
        <w:ind w:firstLine="720"/>
        <w:rPr>
          <w:sz w:val="24"/>
          <w:szCs w:val="24"/>
        </w:rPr>
      </w:pPr>
      <w:r w:rsidRPr="00AA122B">
        <w:rPr>
          <w:sz w:val="24"/>
          <w:szCs w:val="24"/>
        </w:rPr>
        <w:t xml:space="preserve">The shape of the otoliths was quantified using wavelet coefficients using 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sidRPr="00AA122B">
        <w:rPr>
          <w:sz w:val="24"/>
          <w:szCs w:val="24"/>
        </w:rPr>
        <w:t xml:space="preserve">. The R package </w:t>
      </w:r>
      <w:r w:rsidRPr="00AA122B">
        <w:rPr>
          <w:i/>
          <w:iCs/>
          <w:sz w:val="24"/>
          <w:szCs w:val="24"/>
        </w:rPr>
        <w:t>‘shape</w:t>
      </w:r>
      <w:r w:rsidR="001C7117">
        <w:rPr>
          <w:i/>
          <w:iCs/>
          <w:sz w:val="24"/>
          <w:szCs w:val="24"/>
        </w:rPr>
        <w:t>R</w:t>
      </w:r>
      <w:r w:rsidRPr="00AA122B">
        <w:rPr>
          <w:sz w:val="24"/>
          <w:szCs w:val="24"/>
        </w:rPr>
        <w:t xml:space="preserve">’ was used to calculate </w:t>
      </w:r>
      <w:r w:rsidR="00E0619F">
        <w:rPr>
          <w:sz w:val="24"/>
          <w:szCs w:val="24"/>
        </w:rPr>
        <w:t xml:space="preserve">both </w:t>
      </w:r>
      <w:r w:rsidR="00E0619F" w:rsidRPr="00E0619F">
        <w:rPr>
          <w:sz w:val="24"/>
          <w:szCs w:val="24"/>
        </w:rPr>
        <w:t xml:space="preserve">Normalized Elliptic </w:t>
      </w:r>
      <w:r w:rsidR="00E0619F" w:rsidRPr="00E0619F">
        <w:rPr>
          <w:sz w:val="24"/>
          <w:szCs w:val="24"/>
        </w:rPr>
        <w:lastRenderedPageBreak/>
        <w:t>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representations of the otolith outlines</w:t>
      </w:r>
      <w:bookmarkStart w:id="4"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r w:rsidR="00372C33">
        <w:rPr>
          <w:i/>
          <w:iCs/>
          <w:sz w:val="24"/>
          <w:szCs w:val="24"/>
        </w:rPr>
        <w:t xml:space="preserve">smoothout()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 (Graps 1995).</w:t>
      </w:r>
      <w:r w:rsidR="00E0619F" w:rsidRPr="00880750">
        <w:rPr>
          <w:sz w:val="24"/>
          <w:szCs w:val="24"/>
        </w:rPr>
        <w:t xml:space="preserve"> </w:t>
      </w:r>
      <w:bookmarkEnd w:id="4"/>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CA6F42">
        <w:rPr>
          <w:sz w:val="24"/>
          <w:szCs w:val="24"/>
        </w:rPr>
        <w:t xml:space="preserve"> (Tracey et al. 2006)</w:t>
      </w:r>
      <w:r w:rsidR="00E0619F">
        <w:rPr>
          <w:sz w:val="24"/>
          <w:szCs w:val="24"/>
        </w:rPr>
        <w:t>.</w:t>
      </w:r>
      <w:r w:rsidR="00522A93">
        <w:rPr>
          <w:sz w:val="24"/>
          <w:szCs w:val="24"/>
        </w:rPr>
        <w:t xml:space="preserve"> </w:t>
      </w:r>
      <w:bookmarkStart w:id="5"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5"/>
    <w:p w14:paraId="260193EC" w14:textId="177E7EB2" w:rsidR="00185B87" w:rsidRPr="00AA122B" w:rsidRDefault="00185B87" w:rsidP="004753C2">
      <w:pPr>
        <w:spacing w:line="360" w:lineRule="auto"/>
        <w:ind w:firstLine="720"/>
        <w:rPr>
          <w:sz w:val="24"/>
          <w:szCs w:val="24"/>
        </w:rPr>
      </w:pPr>
      <w:r w:rsidRPr="00AA122B">
        <w:rPr>
          <w:sz w:val="24"/>
          <w:szCs w:val="24"/>
        </w:rPr>
        <w:t xml:space="preserve">To visualise the difference in mean shape between the three sites, the mean shape was reconstructed using the mean wavelets for each site. Wavelet coefficients were standardised for fish length as per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0927E273"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 (Turan 2006; Khan et al. 2012).</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Elemental composition of whole otoliths were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w:t>
      </w:r>
      <w:r w:rsidR="00657EB2" w:rsidRPr="00AA122B">
        <w:rPr>
          <w:rFonts w:cstheme="minorHAnsi"/>
          <w:sz w:val="24"/>
          <w:szCs w:val="24"/>
        </w:rPr>
        <w:lastRenderedPageBreak/>
        <w:t>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Indium (In) and Gallium (Ga) were added in samples and blanks, which were used to correct for the remaining matrix effect and to compensate for instrument drift. Multi elemental standards were prepared with high purity ICP multi-element standard solution IV certiPUR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 (Turan, 2006; Miyan et al., 2016</w:t>
      </w:r>
      <w:r>
        <w:rPr>
          <w:rFonts w:cstheme="minorHAnsi"/>
          <w:sz w:val="24"/>
          <w:szCs w:val="24"/>
        </w:rPr>
        <w:t>b</w:t>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element:Calcium (mmol:mol)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5A270189" w:rsidR="00EF46D6" w:rsidRDefault="00AB27E4">
      <w:pPr>
        <w:spacing w:line="360" w:lineRule="auto"/>
        <w:ind w:firstLine="720"/>
        <w:rPr>
          <w:sz w:val="24"/>
          <w:szCs w:val="24"/>
        </w:rPr>
      </w:pPr>
      <w:r>
        <w:rPr>
          <w:sz w:val="24"/>
          <w:szCs w:val="24"/>
        </w:rPr>
        <w:t xml:space="preserve">All analysis was performed in </w:t>
      </w:r>
      <w:r w:rsidRPr="00AA122B">
        <w:rPr>
          <w:sz w:val="24"/>
          <w:szCs w:val="24"/>
        </w:rPr>
        <w:t>R v3.6.</w:t>
      </w:r>
      <w:r w:rsidR="00794B37">
        <w:rPr>
          <w:sz w:val="24"/>
          <w:szCs w:val="24"/>
        </w:rPr>
        <w:t>0</w:t>
      </w:r>
      <w:r w:rsidRPr="00AA122B">
        <w:rPr>
          <w:sz w:val="24"/>
          <w:szCs w:val="24"/>
        </w:rPr>
        <w:t xml:space="preserve">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Pr>
          <w:sz w:val="24"/>
          <w:szCs w:val="24"/>
        </w:rPr>
        <w:t xml:space="preserve">. </w:t>
      </w:r>
      <w:r w:rsidR="00092AA9">
        <w:rPr>
          <w:sz w:val="24"/>
          <w:szCs w:val="24"/>
        </w:rPr>
        <w:t>As the initial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nMDS ordination plot to visualise the differences. Using the vegan R package, we created a dissimilarity matrix using Euclidean distances as is common for otolith datasets using the ‘</w:t>
      </w:r>
      <w:r w:rsidR="00092AA9" w:rsidRPr="00EB740A">
        <w:rPr>
          <w:i/>
          <w:iCs/>
          <w:sz w:val="24"/>
          <w:szCs w:val="24"/>
        </w:rPr>
        <w:t>vegdist()</w:t>
      </w:r>
      <w:r w:rsidR="00092AA9">
        <w:rPr>
          <w:sz w:val="24"/>
          <w:szCs w:val="24"/>
        </w:rPr>
        <w:t>’ function (</w:t>
      </w:r>
      <w:r w:rsidR="00794B37">
        <w:rPr>
          <w:sz w:val="24"/>
          <w:szCs w:val="24"/>
        </w:rPr>
        <w:t>Schilling et al. 2018</w:t>
      </w:r>
      <w:r w:rsidR="00092AA9">
        <w:rPr>
          <w:sz w:val="24"/>
          <w:szCs w:val="24"/>
        </w:rPr>
        <w:t xml:space="preserve">). Distance based analyses such as PERMANOVA have an often untested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In fact, a google scholar search of “otolith PERMANOVA” for 2018 and 2019 revealed less than 10% of papers check this assumption.</w:t>
      </w:r>
      <w:r w:rsidR="00EF46D6" w:rsidRPr="00EF46D6">
        <w:rPr>
          <w:sz w:val="24"/>
          <w:szCs w:val="24"/>
        </w:rPr>
        <w:t xml:space="preserve"> </w:t>
      </w:r>
    </w:p>
    <w:p w14:paraId="11E478BC" w14:textId="41CCB5D7"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r w:rsidRPr="00EF46D6">
        <w:rPr>
          <w:i/>
          <w:iCs/>
          <w:sz w:val="24"/>
          <w:szCs w:val="24"/>
        </w:rPr>
        <w:t>betadisper()</w:t>
      </w:r>
      <w:r w:rsidRPr="00EF46D6">
        <w:rPr>
          <w:sz w:val="24"/>
          <w:szCs w:val="24"/>
        </w:rPr>
        <w:t xml:space="preserve">’ function where a significant result (P &lt; 0.05) indicates an unequal variance between groups and therefore a violation of the assumptions of PERMANOVA. If </w:t>
      </w:r>
      <w:r w:rsidRPr="00EF46D6">
        <w:rPr>
          <w:sz w:val="24"/>
          <w:szCs w:val="24"/>
        </w:rPr>
        <w:lastRenderedPageBreak/>
        <w:t>this assumption is satisfied, the typical approach will be to proceed with the PERMANOVA for multivariate differences between our three sites using the ‘</w:t>
      </w:r>
      <w:r w:rsidRPr="00EB740A">
        <w:rPr>
          <w:i/>
          <w:iCs/>
          <w:sz w:val="24"/>
          <w:szCs w:val="24"/>
        </w:rPr>
        <w:t>adonis</w:t>
      </w:r>
      <w:r w:rsidR="00794B37" w:rsidRPr="00EB740A">
        <w:rPr>
          <w:i/>
          <w:iCs/>
          <w:sz w:val="24"/>
          <w:szCs w:val="24"/>
        </w:rPr>
        <w:t>()</w:t>
      </w:r>
      <w:r w:rsidRPr="00EF46D6">
        <w:rPr>
          <w:sz w:val="24"/>
          <w:szCs w:val="24"/>
        </w:rPr>
        <w:t>’ function. We can then also create an nMDS ordination plot using the ’</w:t>
      </w:r>
      <w:r w:rsidRPr="00EB740A">
        <w:rPr>
          <w:i/>
          <w:iCs/>
          <w:sz w:val="24"/>
          <w:szCs w:val="24"/>
        </w:rPr>
        <w:t>isoMDS</w:t>
      </w:r>
      <w:r w:rsidR="00794B37" w:rsidRPr="00EB740A">
        <w:rPr>
          <w:i/>
          <w:iCs/>
          <w:sz w:val="24"/>
          <w:szCs w:val="24"/>
        </w:rPr>
        <w:t>()</w:t>
      </w:r>
      <w:r w:rsidRPr="00EF46D6">
        <w:rPr>
          <w:sz w:val="24"/>
          <w:szCs w:val="24"/>
        </w:rPr>
        <w:t>’ function from the MASS R package</w:t>
      </w:r>
      <w:r w:rsidR="00794B37">
        <w:rPr>
          <w:sz w:val="24"/>
          <w:szCs w:val="24"/>
        </w:rPr>
        <w:t>(</w:t>
      </w:r>
      <w:r w:rsidR="00794B37" w:rsidRPr="00794B37">
        <w:rPr>
          <w:sz w:val="24"/>
          <w:szCs w:val="24"/>
        </w:rPr>
        <w:t>Venables</w:t>
      </w:r>
      <w:r w:rsidR="00794B37">
        <w:rPr>
          <w:sz w:val="24"/>
          <w:szCs w:val="24"/>
        </w:rPr>
        <w:t xml:space="preserve"> &amp; Ripley 2002)</w:t>
      </w:r>
      <w:r w:rsidRPr="00EF46D6">
        <w:rPr>
          <w:sz w:val="24"/>
          <w:szCs w:val="24"/>
        </w:rPr>
        <w:t xml:space="preserve"> based upon the earlier created distance matrix.  </w:t>
      </w:r>
      <w:r w:rsidR="00BE5A73">
        <w:rPr>
          <w:sz w:val="24"/>
          <w:szCs w:val="24"/>
        </w:rPr>
        <w:t>However, i</w:t>
      </w:r>
      <w:r w:rsidRPr="00EF46D6">
        <w:rPr>
          <w:sz w:val="24"/>
          <w:szCs w:val="24"/>
        </w:rPr>
        <w:t>f however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74477510"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 </w:t>
      </w:r>
      <w:r w:rsidR="00463973" w:rsidRPr="00AA122B">
        <w:rPr>
          <w:sz w:val="24"/>
          <w:szCs w:val="24"/>
        </w:rPr>
        <w:fldChar w:fldCharType="begin"/>
      </w:r>
      <w:r w:rsidR="00463973" w:rsidRPr="00AA122B">
        <w:rPr>
          <w:sz w:val="24"/>
          <w:szCs w:val="24"/>
        </w:rPr>
        <w:instrText xml:space="preserve"> ADDIN EN.CITE &lt;EndNote&gt;&lt;Cite AuthorYear="1"&gt;&lt;Author&gt;Warton&lt;/Author&gt;&lt;Year&gt;2015&lt;/Year&gt;&lt;RecNum&gt;502&lt;/RecNum&gt;&lt;DisplayText&gt;Warton et al. (2015)&lt;/DisplayText&gt;&lt;record&gt;&lt;rec-number&gt;502&lt;/rec-number&gt;&lt;foreign-keys&gt;&lt;key app="EN" db-id="tpvtxxttc2dzapezfe4xfz5nxr9at0sv9zrz" timestamp="1562894632"&gt;502&lt;/key&gt;&lt;/foreign-keys&gt;&lt;ref-type name="Journal Article"&gt;17&lt;/ref-type&gt;&lt;contributors&gt;&lt;authors&gt;&lt;author&gt;Warton, David I.&lt;/author&gt;&lt;author&gt;Foster, Scott D.&lt;/author&gt;&lt;author&gt;De’ath, Glenn&lt;/author&gt;&lt;author&gt;Stoklosa, Jakub&lt;/author&gt;&lt;author&gt;Dunstan, Piers K.&lt;/author&gt;&lt;/authors&gt;&lt;/contributors&gt;&lt;titles&gt;&lt;title&gt;Model-based thinking for community ecology&lt;/title&gt;&lt;secondary-title&gt;Plant Ecology&lt;/secondary-title&gt;&lt;/titles&gt;&lt;periodical&gt;&lt;full-title&gt;Plant Ecology&lt;/full-title&gt;&lt;abbr-1&gt;Plant Ecol.&lt;/abbr-1&gt;&lt;abbr-2&gt;Plant Ecol&lt;/abbr-2&gt;&lt;/periodical&gt;&lt;pages&gt;669-682&lt;/pages&gt;&lt;volume&gt;216&lt;/volume&gt;&lt;number&gt;5&lt;/number&gt;&lt;dates&gt;&lt;year&gt;2015&lt;/year&gt;&lt;pub-dates&gt;&lt;date&gt;May 01&lt;/date&gt;&lt;/pub-dates&gt;&lt;/dates&gt;&lt;isbn&gt;1573-5052&lt;/isbn&gt;&lt;label&gt;Warton2015&lt;/label&gt;&lt;work-type&gt;journal article&lt;/work-type&gt;&lt;urls&gt;&lt;related-urls&gt;&lt;url&gt;https://doi.org/10.1007/s11258-014-0366-3&lt;/url&gt;&lt;/related-urls&gt;&lt;/urls&gt;&lt;electronic-resource-num&gt;10.1007/s11258-014-0366-3&lt;/electronic-resource-num&gt;&lt;/record&gt;&lt;/Cite&gt;&lt;/EndNote&gt;</w:instrText>
      </w:r>
      <w:r w:rsidR="00463973" w:rsidRPr="00AA122B">
        <w:rPr>
          <w:sz w:val="24"/>
          <w:szCs w:val="24"/>
        </w:rPr>
        <w:fldChar w:fldCharType="separate"/>
      </w:r>
      <w:r w:rsidR="00463973" w:rsidRPr="00AA122B">
        <w:rPr>
          <w:noProof/>
          <w:sz w:val="24"/>
          <w:szCs w:val="24"/>
        </w:rPr>
        <w:t>Warton et al. (2015)</w:t>
      </w:r>
      <w:r w:rsidR="00463973" w:rsidRPr="00AA122B">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D936AC" w:rsidRPr="00AA122B">
        <w:rPr>
          <w:sz w:val="24"/>
          <w:szCs w:val="24"/>
        </w:rPr>
        <w:t xml:space="preserve"> </w:t>
      </w:r>
      <w:r w:rsidR="00D936AC" w:rsidRPr="00AA122B">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 </w:instrText>
      </w:r>
      <w:r w:rsidR="00AB27E4">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EN.CITE.DATA </w:instrText>
      </w:r>
      <w:r w:rsidR="00AB27E4">
        <w:rPr>
          <w:sz w:val="24"/>
          <w:szCs w:val="24"/>
        </w:rPr>
      </w:r>
      <w:r w:rsidR="00AB27E4">
        <w:rPr>
          <w:sz w:val="24"/>
          <w:szCs w:val="24"/>
        </w:rPr>
        <w:fldChar w:fldCharType="end"/>
      </w:r>
      <w:r w:rsidR="00D936AC" w:rsidRPr="00AA122B">
        <w:rPr>
          <w:sz w:val="24"/>
          <w:szCs w:val="24"/>
        </w:rPr>
      </w:r>
      <w:r w:rsidR="00D936AC" w:rsidRPr="00AA122B">
        <w:rPr>
          <w:sz w:val="24"/>
          <w:szCs w:val="24"/>
        </w:rPr>
        <w:fldChar w:fldCharType="separate"/>
      </w:r>
      <w:r w:rsidR="00AB27E4">
        <w:rPr>
          <w:noProof/>
          <w:sz w:val="24"/>
          <w:szCs w:val="24"/>
        </w:rPr>
        <w:t>(Warton, 2008, Warton et al., 2012)</w:t>
      </w:r>
      <w:r w:rsidR="00D936AC" w:rsidRPr="00AA122B">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 xml:space="preserve">variance plots which show how the variance changes with the mean of each variable. The mean variance plots identified that for both chemistry and shape data, as the mean increased, the </w:t>
      </w:r>
      <w:r w:rsidR="00673FFE" w:rsidRPr="00AA122B">
        <w:rPr>
          <w:sz w:val="24"/>
          <w:szCs w:val="24"/>
        </w:rPr>
        <w:lastRenderedPageBreak/>
        <w:t>variance also increased</w:t>
      </w:r>
      <w:r w:rsidR="002A1BDD" w:rsidRPr="00AA122B">
        <w:rPr>
          <w:sz w:val="24"/>
          <w:szCs w:val="24"/>
        </w:rPr>
        <w:t xml:space="preserve"> (Figure 2)</w:t>
      </w:r>
      <w:r w:rsidR="00673FFE" w:rsidRPr="00AA122B">
        <w:rPr>
          <w:sz w:val="24"/>
          <w:szCs w:val="24"/>
        </w:rPr>
        <w:t>.</w:t>
      </w:r>
      <w:r w:rsidR="00B55AC3" w:rsidRPr="00AA122B">
        <w:rPr>
          <w:sz w:val="24"/>
          <w:szCs w:val="24"/>
        </w:rPr>
        <w:t xml:space="preserve"> As a final step prior to inspecting the results,</w:t>
      </w:r>
      <w:r w:rsidR="00673FFE" w:rsidRPr="00AA122B">
        <w:rPr>
          <w:sz w:val="24"/>
          <w:szCs w:val="24"/>
        </w:rPr>
        <w:t xml:space="preserve"> </w:t>
      </w:r>
      <w:r w:rsidR="00B55AC3" w:rsidRPr="00AA122B">
        <w:rPr>
          <w:sz w:val="24"/>
          <w:szCs w:val="24"/>
        </w:rPr>
        <w:t xml:space="preserve">we assessed our models. </w:t>
      </w:r>
      <w:r w:rsidR="00673FFE" w:rsidRPr="00AA122B">
        <w:rPr>
          <w:sz w:val="24"/>
          <w:szCs w:val="24"/>
        </w:rPr>
        <w:t xml:space="preserve">To </w:t>
      </w:r>
      <w:r w:rsidR="003A7993" w:rsidRPr="00AA122B">
        <w:rPr>
          <w:sz w:val="24"/>
          <w:szCs w:val="24"/>
        </w:rPr>
        <w:t>assess</w:t>
      </w:r>
      <w:r w:rsidR="00673FFE" w:rsidRPr="00AA122B">
        <w:rPr>
          <w:sz w:val="24"/>
          <w:szCs w:val="24"/>
        </w:rPr>
        <w:t xml:space="preserve"> if the </w:t>
      </w:r>
      <w:r w:rsidR="00B879F7" w:rsidRPr="00AA122B">
        <w:rPr>
          <w:sz w:val="24"/>
          <w:szCs w:val="24"/>
        </w:rPr>
        <w:t xml:space="preserve">MGLMs </w:t>
      </w:r>
      <w:r w:rsidR="00673FFE" w:rsidRPr="00AA122B">
        <w:rPr>
          <w:sz w:val="24"/>
          <w:szCs w:val="24"/>
        </w:rPr>
        <w:t>accurately captured</w:t>
      </w:r>
      <w:r w:rsidR="00B55AC3" w:rsidRPr="00AA122B">
        <w:rPr>
          <w:sz w:val="24"/>
          <w:szCs w:val="24"/>
        </w:rPr>
        <w:t xml:space="preserve"> the</w:t>
      </w:r>
      <w:r w:rsidR="00673FFE" w:rsidRPr="00AA122B">
        <w:rPr>
          <w:sz w:val="24"/>
          <w:szCs w:val="24"/>
        </w:rPr>
        <w:t xml:space="preserve"> propert</w:t>
      </w:r>
      <w:r w:rsidR="00B55AC3" w:rsidRPr="00AA122B">
        <w:rPr>
          <w:sz w:val="24"/>
          <w:szCs w:val="24"/>
        </w:rPr>
        <w:t>ies</w:t>
      </w:r>
      <w:r w:rsidR="00673FFE" w:rsidRPr="00AA122B">
        <w:rPr>
          <w:sz w:val="24"/>
          <w:szCs w:val="24"/>
        </w:rPr>
        <w:t xml:space="preserve"> of our data, </w:t>
      </w:r>
      <w:r w:rsidR="00EF46D6">
        <w:rPr>
          <w:sz w:val="24"/>
          <w:szCs w:val="24"/>
        </w:rPr>
        <w:t xml:space="preserve">Dunn-Smyth </w:t>
      </w:r>
      <w:r w:rsidR="00673FFE" w:rsidRPr="00AA122B">
        <w:rPr>
          <w:sz w:val="24"/>
          <w:szCs w:val="24"/>
        </w:rPr>
        <w:t xml:space="preserve">residual plots were inspected for each model. No </w:t>
      </w:r>
      <w:r w:rsidR="007170ED" w:rsidRPr="00AA122B">
        <w:rPr>
          <w:sz w:val="24"/>
          <w:szCs w:val="24"/>
        </w:rPr>
        <w:t xml:space="preserve">strong </w:t>
      </w:r>
      <w:r w:rsidR="00673FFE" w:rsidRPr="00AA122B">
        <w:rPr>
          <w:sz w:val="24"/>
          <w:szCs w:val="24"/>
        </w:rPr>
        <w:t>pattern w</w:t>
      </w:r>
      <w:r w:rsidR="00532B50">
        <w:rPr>
          <w:sz w:val="24"/>
          <w:szCs w:val="24"/>
        </w:rPr>
        <w:t>ere</w:t>
      </w:r>
      <w:r w:rsidR="00673FFE" w:rsidRPr="00AA122B">
        <w:rPr>
          <w:sz w:val="24"/>
          <w:szCs w:val="24"/>
        </w:rPr>
        <w:t xml:space="preserve"> visible and the models were deemed to be accurately representing our data (Figure 3)</w:t>
      </w:r>
      <w:r w:rsidR="002F295A">
        <w:rPr>
          <w:sz w:val="24"/>
          <w:szCs w:val="24"/>
        </w:rPr>
        <w:t>,</w:t>
      </w:r>
      <w:r w:rsidR="00673FFE" w:rsidRPr="00AA122B">
        <w:rPr>
          <w:sz w:val="24"/>
          <w:szCs w:val="24"/>
        </w:rPr>
        <w:t xml:space="preserve"> allowing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‘manyany</w:t>
      </w:r>
      <w:r w:rsidR="00BE5A73">
        <w:rPr>
          <w:i/>
          <w:iCs/>
          <w:sz w:val="24"/>
          <w:szCs w:val="24"/>
        </w:rPr>
        <w:t>()</w:t>
      </w:r>
      <w:r w:rsidR="00673FFE" w:rsidRPr="00AA122B">
        <w:rPr>
          <w:i/>
          <w:iCs/>
          <w:sz w:val="24"/>
          <w:szCs w:val="24"/>
        </w:rPr>
        <w:t>’</w:t>
      </w:r>
      <w:r w:rsidR="00673FFE" w:rsidRPr="00AA122B">
        <w:rPr>
          <w:sz w:val="24"/>
          <w:szCs w:val="24"/>
        </w:rPr>
        <w:t xml:space="preserve"> function in the </w:t>
      </w:r>
      <w:r w:rsidR="00673FFE" w:rsidRPr="00EB740A">
        <w:rPr>
          <w:sz w:val="24"/>
          <w:szCs w:val="24"/>
        </w:rPr>
        <w:t>mvabund</w:t>
      </w:r>
      <w:r w:rsidR="00673FFE" w:rsidRPr="00AA122B">
        <w:rPr>
          <w:sz w:val="24"/>
          <w:szCs w:val="24"/>
        </w:rPr>
        <w:t xml:space="preserve"> R package </w:t>
      </w:r>
      <w:r w:rsidR="00673FFE" w:rsidRPr="00AA122B">
        <w:rPr>
          <w:sz w:val="24"/>
          <w:szCs w:val="24"/>
        </w:rPr>
        <w:fldChar w:fldCharType="begin"/>
      </w:r>
      <w:r w:rsidR="00AB27E4">
        <w:rPr>
          <w:sz w:val="24"/>
          <w:szCs w:val="24"/>
        </w:rPr>
        <w:instrText xml:space="preserve"> ADDIN EN.CITE &lt;EndNote&gt;&lt;Cite&gt;&lt;Author&gt;Wang&lt;/Author&gt;&lt;Year&gt;2012&lt;/Year&gt;&lt;RecNum&gt;492&lt;/RecNum&gt;&lt;DisplayText&gt;(Wang et al., 2012)&lt;/DisplayText&gt;&lt;record&gt;&lt;rec-number&gt;492&lt;/rec-number&gt;&lt;foreign-keys&gt;&lt;key app="EN" db-id="tpvtxxttc2dzapezfe4xfz5nxr9at0sv9zrz" timestamp="1561782067"&gt;492&lt;/key&gt;&lt;/foreign-keys&gt;&lt;ref-type name="Journal Article"&gt;17&lt;/ref-type&gt;&lt;contributors&gt;&lt;authors&gt;&lt;author&gt;Wang, Yi&lt;/author&gt;&lt;author&gt;Naumann, Ulrike&lt;/author&gt;&lt;author&gt;Wright, Stephen T.&lt;/author&gt;&lt;author&gt;Warton, David I.&lt;/author&gt;&lt;/authors&gt;&lt;/contributors&gt;&lt;titles&gt;&lt;title&gt;mvabund– an R package for model-based analysis of multivariate abundance data&lt;/title&gt;&lt;secondary-title&gt;Methods in Ecology and Evolution&lt;/secondary-title&gt;&lt;/titles&gt;&lt;periodical&gt;&lt;full-title&gt;Methods in Ecology and Evolution&lt;/full-title&gt;&lt;/periodical&gt;&lt;pages&gt;471-474&lt;/pages&gt;&lt;volume&gt;3&lt;/volume&gt;&lt;number&gt;3&lt;/number&gt;&lt;dates&gt;&lt;year&gt;2012&lt;/year&gt;&lt;/dates&gt;&lt;isbn&gt;2041-210X&lt;/isbn&gt;&lt;urls&gt;&lt;related-urls&gt;&lt;url&gt;https://besjournals.onlinelibrary.wiley.com/doi/abs/10.1111/j.2041-210X.2012.00190.x&lt;/url&gt;&lt;/related-urls&gt;&lt;/urls&gt;&lt;electronic-resource-num&gt;10.1111/j.2041-210X.2012.00190.x&lt;/electronic-resource-num&gt;&lt;/record&gt;&lt;/Cite&gt;&lt;/EndNote&gt;</w:instrText>
      </w:r>
      <w:r w:rsidR="00673FFE" w:rsidRPr="00AA122B">
        <w:rPr>
          <w:sz w:val="24"/>
          <w:szCs w:val="24"/>
        </w:rPr>
        <w:fldChar w:fldCharType="separate"/>
      </w:r>
      <w:r w:rsidR="00AB27E4">
        <w:rPr>
          <w:noProof/>
          <w:sz w:val="24"/>
          <w:szCs w:val="24"/>
        </w:rPr>
        <w:t>(Wang et al., 2012)</w:t>
      </w:r>
      <w:r w:rsidR="00673FFE" w:rsidRPr="00AA122B">
        <w:rPr>
          <w:sz w:val="24"/>
          <w:szCs w:val="24"/>
        </w:rPr>
        <w:fldChar w:fldCharType="end"/>
      </w:r>
      <w:r w:rsidR="00673FFE" w:rsidRPr="00AA122B">
        <w:rPr>
          <w:sz w:val="24"/>
          <w:szCs w:val="24"/>
        </w:rPr>
        <w:t>.</w:t>
      </w:r>
    </w:p>
    <w:p w14:paraId="37A1F3D1" w14:textId="3AEDEE1B" w:rsidR="00134D0E" w:rsidRPr="00AA122B" w:rsidRDefault="00575129" w:rsidP="00EB740A">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r w:rsidR="007A4985" w:rsidRPr="00AA122B">
        <w:rPr>
          <w:i/>
          <w:sz w:val="24"/>
          <w:szCs w:val="24"/>
        </w:rPr>
        <w:t>manyany</w:t>
      </w:r>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 (Warton et al. 2012)</w:t>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r w:rsidR="006344FF" w:rsidRPr="00AA122B">
        <w:rPr>
          <w:sz w:val="24"/>
          <w:szCs w:val="24"/>
        </w:rPr>
        <w:t xml:space="preserve">Posthoc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‘manyany</w:t>
      </w:r>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r w:rsidR="00D936AC" w:rsidRPr="00AA122B">
        <w:rPr>
          <w:i/>
          <w:iCs/>
          <w:sz w:val="24"/>
          <w:szCs w:val="24"/>
        </w:rPr>
        <w:t>padjust</w:t>
      </w:r>
      <w:r w:rsidR="00860052">
        <w:rPr>
          <w:i/>
          <w:iCs/>
          <w:sz w:val="24"/>
          <w:szCs w:val="24"/>
        </w:rPr>
        <w:t>()</w:t>
      </w:r>
      <w:r w:rsidR="00D936AC" w:rsidRPr="00AA122B">
        <w:rPr>
          <w:sz w:val="24"/>
          <w:szCs w:val="24"/>
        </w:rPr>
        <w:t>’ funtion</w:t>
      </w:r>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3802F9" w:rsidRPr="00AA122B">
        <w:rPr>
          <w:sz w:val="24"/>
          <w:szCs w:val="24"/>
        </w:rPr>
        <w:t xml:space="preserve"> (Hui 2016)</w:t>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 (Hui et al. 2015)</w:t>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 (Hui 2016). By using generalised linear models, this approach can align the visualisation model with the testing model, check </w:t>
      </w:r>
      <w:r w:rsidR="00EF46D6" w:rsidRPr="00EF46D6">
        <w:rPr>
          <w:sz w:val="24"/>
          <w:szCs w:val="24"/>
        </w:rPr>
        <w:lastRenderedPageBreak/>
        <w:t>assumptions and specify mean-variance relationships.</w:t>
      </w:r>
      <w:r w:rsidR="00860052">
        <w:rPr>
          <w:sz w:val="24"/>
          <w:szCs w:val="24"/>
        </w:rPr>
        <w:t xml:space="preserve"> </w:t>
      </w:r>
      <w:r w:rsidR="004650C2" w:rsidRPr="00AA122B">
        <w:rPr>
          <w:sz w:val="24"/>
          <w:szCs w:val="24"/>
        </w:rPr>
        <w:t xml:space="preserve">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EB740A" w:rsidRDefault="00235D51" w:rsidP="00EB740A">
      <w:pPr>
        <w:spacing w:line="360" w:lineRule="auto"/>
        <w:ind w:left="360"/>
        <w:rPr>
          <w:i/>
          <w:iCs/>
          <w:sz w:val="24"/>
          <w:szCs w:val="24"/>
        </w:rPr>
      </w:pPr>
      <w:r w:rsidRPr="00EB740A">
        <w:rPr>
          <w:i/>
          <w:iCs/>
          <w:sz w:val="24"/>
          <w:szCs w:val="24"/>
        </w:rPr>
        <w:t>3.1  Distance-based Assumptions and Analysis</w:t>
      </w:r>
    </w:p>
    <w:p w14:paraId="65B89E96" w14:textId="029EEADD" w:rsidR="00235D51" w:rsidRPr="00EB740A" w:rsidRDefault="00235D51" w:rsidP="00EB740A">
      <w:pPr>
        <w:spacing w:line="360" w:lineRule="auto"/>
        <w:ind w:firstLine="360"/>
        <w:rPr>
          <w:sz w:val="24"/>
          <w:szCs w:val="24"/>
        </w:rPr>
      </w:pPr>
      <w:r w:rsidRPr="00EB740A">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EB740A">
        <w:rPr>
          <w:sz w:val="24"/>
          <w:szCs w:val="24"/>
        </w:rPr>
        <w:t xml:space="preserve"> data (</w:t>
      </w:r>
      <w:r w:rsidRPr="00EB740A">
        <w:rPr>
          <w:i/>
          <w:iCs/>
          <w:sz w:val="24"/>
          <w:szCs w:val="24"/>
        </w:rPr>
        <w:t>F</w:t>
      </w:r>
      <w:r w:rsidRPr="00EB740A">
        <w:rPr>
          <w:sz w:val="24"/>
          <w:szCs w:val="24"/>
          <w:vertAlign w:val="subscript"/>
        </w:rPr>
        <w:t>2,51</w:t>
      </w:r>
      <w:r w:rsidRPr="00EB740A">
        <w:rPr>
          <w:sz w:val="24"/>
          <w:szCs w:val="24"/>
        </w:rPr>
        <w:t xml:space="preserve"> = 9.409, P &lt; 0.001) and the combined </w:t>
      </w:r>
      <w:r w:rsidR="001428DA">
        <w:rPr>
          <w:sz w:val="24"/>
          <w:szCs w:val="24"/>
        </w:rPr>
        <w:t>chemistry</w:t>
      </w:r>
      <w:r w:rsidRPr="00EB740A">
        <w:rPr>
          <w:sz w:val="24"/>
          <w:szCs w:val="24"/>
        </w:rPr>
        <w:t xml:space="preserve"> and shape data (</w:t>
      </w:r>
      <w:r w:rsidRPr="00EB740A">
        <w:rPr>
          <w:i/>
          <w:iCs/>
          <w:sz w:val="24"/>
          <w:szCs w:val="24"/>
        </w:rPr>
        <w:t>F</w:t>
      </w:r>
      <w:r w:rsidRPr="00EB740A">
        <w:rPr>
          <w:sz w:val="24"/>
          <w:szCs w:val="24"/>
          <w:vertAlign w:val="subscript"/>
        </w:rPr>
        <w:t>2,51</w:t>
      </w:r>
      <w:r w:rsidRPr="00EB740A">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EB740A">
        <w:rPr>
          <w:sz w:val="24"/>
          <w:szCs w:val="24"/>
        </w:rPr>
        <w:t xml:space="preserve"> satisfied for the shape only dataset (</w:t>
      </w:r>
      <w:r w:rsidRPr="00EB740A">
        <w:rPr>
          <w:i/>
          <w:iCs/>
          <w:sz w:val="24"/>
          <w:szCs w:val="24"/>
        </w:rPr>
        <w:t>F</w:t>
      </w:r>
      <w:r w:rsidRPr="00EB740A">
        <w:rPr>
          <w:sz w:val="24"/>
          <w:szCs w:val="24"/>
          <w:vertAlign w:val="subscript"/>
        </w:rPr>
        <w:t>2,51</w:t>
      </w:r>
      <w:r w:rsidRPr="00EB740A">
        <w:rPr>
          <w:sz w:val="24"/>
          <w:szCs w:val="24"/>
        </w:rPr>
        <w:t xml:space="preserve"> = 0.420, P = 0.659). </w:t>
      </w:r>
    </w:p>
    <w:p w14:paraId="76A8D899" w14:textId="77777777" w:rsidR="00235D51" w:rsidRPr="00EB740A" w:rsidRDefault="00235D51" w:rsidP="00EB740A">
      <w:pPr>
        <w:spacing w:line="360" w:lineRule="auto"/>
        <w:ind w:firstLine="360"/>
        <w:rPr>
          <w:sz w:val="24"/>
          <w:szCs w:val="24"/>
        </w:rPr>
      </w:pPr>
      <w:r w:rsidRPr="00EB740A">
        <w:rPr>
          <w:sz w:val="24"/>
          <w:szCs w:val="24"/>
        </w:rPr>
        <w:t xml:space="preserve">For the purpose of our demonstration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6FC71580"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Figure 4</w:t>
      </w:r>
      <w:r w:rsidRPr="00692A4F">
        <w:rPr>
          <w:sz w:val="24"/>
          <w:szCs w:val="24"/>
        </w:rPr>
        <w:t xml:space="preserve">). Visualising the multivariate differences in the NMDS ordination reveals some separation between sites, driven by the Narora site while the Agra and Lucknow samples have considerable overlap (Figure </w:t>
      </w:r>
      <w:r>
        <w:rPr>
          <w:sz w:val="24"/>
          <w:szCs w:val="24"/>
        </w:rPr>
        <w:t>5</w:t>
      </w:r>
      <w:r w:rsidRPr="00692A4F">
        <w:rPr>
          <w:sz w:val="24"/>
          <w:szCs w:val="24"/>
        </w:rPr>
        <w:t>, stress = 0.12).</w:t>
      </w:r>
    </w:p>
    <w:p w14:paraId="468A6C4E" w14:textId="1F5B412A" w:rsidR="00235D51" w:rsidRPr="00EB740A" w:rsidRDefault="00235D51" w:rsidP="00EB740A">
      <w:pPr>
        <w:spacing w:line="360" w:lineRule="auto"/>
        <w:ind w:firstLine="360"/>
        <w:rPr>
          <w:sz w:val="24"/>
          <w:szCs w:val="24"/>
        </w:rPr>
      </w:pPr>
      <w:r w:rsidRPr="00EB740A">
        <w:rPr>
          <w:sz w:val="24"/>
          <w:szCs w:val="24"/>
        </w:rPr>
        <w:t>Using the otolith chemistry data, PERMANOVA showed strong differences between sites (</w:t>
      </w:r>
      <w:r w:rsidRPr="00EB740A">
        <w:rPr>
          <w:i/>
          <w:iCs/>
          <w:sz w:val="24"/>
          <w:szCs w:val="24"/>
        </w:rPr>
        <w:t>F</w:t>
      </w:r>
      <w:r w:rsidRPr="00EB740A">
        <w:rPr>
          <w:sz w:val="24"/>
          <w:szCs w:val="24"/>
          <w:vertAlign w:val="subscript"/>
        </w:rPr>
        <w:t>2,53</w:t>
      </w:r>
      <w:r w:rsidRPr="00EB740A">
        <w:rPr>
          <w:sz w:val="24"/>
          <w:szCs w:val="24"/>
        </w:rPr>
        <w:t xml:space="preserve"> = 513.15, P &lt; 0.001</w:t>
      </w:r>
      <w:r w:rsidR="00E837AA">
        <w:rPr>
          <w:sz w:val="24"/>
          <w:szCs w:val="24"/>
        </w:rPr>
        <w:t>, Figure 6</w:t>
      </w:r>
      <w:r w:rsidRPr="00EB740A">
        <w:rPr>
          <w:sz w:val="24"/>
          <w:szCs w:val="24"/>
        </w:rPr>
        <w:t xml:space="preserve">). Visualisation using the NMDS ordination showed large separation between the Agra site and the other sites along the NMDS 1 axis (Figure </w:t>
      </w:r>
      <w:r w:rsidR="00E837AA">
        <w:rPr>
          <w:sz w:val="24"/>
          <w:szCs w:val="24"/>
        </w:rPr>
        <w:t>5</w:t>
      </w:r>
      <w:r w:rsidRPr="00EB740A">
        <w:rPr>
          <w:sz w:val="24"/>
          <w:szCs w:val="24"/>
        </w:rPr>
        <w:t>, stress = 0.01). The Narora site was heavily dispersed along the NMDS 2 axis with some samples overlapping the Lucknow site.</w:t>
      </w:r>
    </w:p>
    <w:p w14:paraId="3D8E98EB" w14:textId="1AC813EB" w:rsidR="00235D51" w:rsidRPr="00EB740A" w:rsidRDefault="00235D51" w:rsidP="00EB740A">
      <w:pPr>
        <w:spacing w:line="360" w:lineRule="auto"/>
        <w:ind w:firstLine="360"/>
        <w:rPr>
          <w:sz w:val="24"/>
          <w:szCs w:val="24"/>
        </w:rPr>
      </w:pPr>
      <w:r w:rsidRPr="00EB740A">
        <w:rPr>
          <w:sz w:val="24"/>
          <w:szCs w:val="24"/>
        </w:rPr>
        <w:t>When combined, the PERMANOVA again showed clear differences between sites (</w:t>
      </w:r>
      <w:r w:rsidRPr="00EB740A">
        <w:rPr>
          <w:i/>
          <w:iCs/>
          <w:sz w:val="24"/>
          <w:szCs w:val="24"/>
        </w:rPr>
        <w:t>F</w:t>
      </w:r>
      <w:r w:rsidRPr="00EB740A">
        <w:rPr>
          <w:sz w:val="24"/>
          <w:szCs w:val="24"/>
          <w:vertAlign w:val="subscript"/>
        </w:rPr>
        <w:t>2,53</w:t>
      </w:r>
      <w:r w:rsidRPr="00EB740A">
        <w:rPr>
          <w:sz w:val="24"/>
          <w:szCs w:val="24"/>
        </w:rPr>
        <w:t xml:space="preserve"> = 511.76, P &lt; 0.001). The separation in the NMDS ordinations was clearly driven by the differences in otolith chemistry with an almost identical pattern observed (Figure </w:t>
      </w:r>
      <w:r w:rsidR="00E837AA">
        <w:rPr>
          <w:sz w:val="24"/>
          <w:szCs w:val="24"/>
        </w:rPr>
        <w:t>5</w:t>
      </w:r>
      <w:r w:rsidRPr="00EB740A">
        <w:rPr>
          <w:sz w:val="24"/>
          <w:szCs w:val="24"/>
        </w:rPr>
        <w:t>, stress = 0.01).</w:t>
      </w:r>
    </w:p>
    <w:p w14:paraId="1F2079A5" w14:textId="45C5C272" w:rsidR="00235D51" w:rsidRPr="00EB740A" w:rsidRDefault="00EF46D6" w:rsidP="00EB740A">
      <w:pPr>
        <w:spacing w:line="360" w:lineRule="auto"/>
        <w:ind w:firstLine="360"/>
        <w:rPr>
          <w:sz w:val="24"/>
          <w:szCs w:val="24"/>
        </w:rPr>
      </w:pPr>
      <w:bookmarkStart w:id="6" w:name="_Hlk59445274"/>
      <w:r w:rsidRPr="00EF46D6">
        <w:rPr>
          <w:sz w:val="24"/>
          <w:szCs w:val="24"/>
        </w:rPr>
        <w:t xml:space="preserve">An important point to note in the NMDS plots for the Chemistry only and combined visualisations (Figure 5)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easier to distinguish if they didn’t overlap with more variable samples from Norora. This observation however is incredibly misleading and is a prime example of the dangers in ordination techniques that do not take into account mean-variance relationships (being explained in detail in Warton et. al. (2012)). Samples from Lucknow had the lowest mean concentrations of all chemicals besides Magnesium (Figure 6). This difference in ‘variance’ we are seeing in the NMDS plots for the Lucknow samples is in reality just a difference in mean concentration, with the difference in variance arising from the mean-variance relationship this data has (where the variance increases with the mean). Without properly accounting for this relationship users can inflate differences in mean concentrations for differences in concentration variability (confounding location and dispersion effects). Conversely, if we look at the model based latent variable ordinations (Figure 7) that do take into account a mean-variance relationship we not only get ‘greater power’ to pick apart the different populations, but we also have samples from the Lucknow site no longer being depicted with small variability, instead being similar in variability to samples from Norora, removing this previously misleading result.</w:t>
      </w:r>
      <w:bookmarkEnd w:id="6"/>
    </w:p>
    <w:p w14:paraId="29908E73" w14:textId="4528DEE5"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1B415EB8"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Figure 4</w:t>
      </w:r>
      <w:r w:rsidR="00740C18" w:rsidRPr="00AA122B">
        <w:rPr>
          <w:sz w:val="24"/>
          <w:szCs w:val="24"/>
        </w:rPr>
        <w:t>).</w:t>
      </w:r>
      <w:r w:rsidR="006E6BB6" w:rsidRPr="00AA122B">
        <w:rPr>
          <w:sz w:val="24"/>
          <w:szCs w:val="24"/>
        </w:rPr>
        <w:t xml:space="preserve"> </w:t>
      </w:r>
    </w:p>
    <w:p w14:paraId="208A8AE9" w14:textId="52E0CC96"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1428DA">
        <w:rPr>
          <w:sz w:val="24"/>
          <w:szCs w:val="24"/>
        </w:rPr>
        <w:t>6</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1428DA">
        <w:rPr>
          <w:sz w:val="24"/>
          <w:szCs w:val="24"/>
        </w:rPr>
        <w:t>6</w:t>
      </w:r>
      <w:r w:rsidR="00FB5641">
        <w:rPr>
          <w:sz w:val="24"/>
          <w:szCs w:val="24"/>
        </w:rPr>
        <w:t>). The Na</w:t>
      </w:r>
      <w:r w:rsidR="00E3547F">
        <w:rPr>
          <w:sz w:val="24"/>
          <w:szCs w:val="24"/>
        </w:rPr>
        <w:t>r</w:t>
      </w:r>
      <w:r w:rsidR="00FB5641">
        <w:rPr>
          <w:sz w:val="24"/>
          <w:szCs w:val="24"/>
        </w:rPr>
        <w:t>ora site</w:t>
      </w:r>
      <w:r w:rsidR="00E3547F">
        <w:rPr>
          <w:sz w:val="24"/>
          <w:szCs w:val="24"/>
        </w:rPr>
        <w:t xml:space="preserve"> had</w:t>
      </w:r>
      <w:r w:rsidR="00FB5641">
        <w:rPr>
          <w:sz w:val="24"/>
          <w:szCs w:val="24"/>
        </w:rPr>
        <w:t xml:space="preserve"> the highest concentrations of the other two elements (Zinc &amp; Magnesium; Figure </w:t>
      </w:r>
      <w:r w:rsidR="001428DA">
        <w:rPr>
          <w:sz w:val="24"/>
          <w:szCs w:val="24"/>
        </w:rPr>
        <w:t>6</w:t>
      </w:r>
      <w:r w:rsidR="00FB5641">
        <w:rPr>
          <w:sz w:val="24"/>
          <w:szCs w:val="24"/>
        </w:rPr>
        <w:t xml:space="preserve">). The Lucknow site showed the lowest concentrations of all elements (Figure </w:t>
      </w:r>
      <w:r w:rsidR="001428DA">
        <w:rPr>
          <w:sz w:val="24"/>
          <w:szCs w:val="24"/>
        </w:rPr>
        <w:t>6</w:t>
      </w:r>
      <w:r w:rsidR="00FB5641">
        <w:rPr>
          <w:sz w:val="24"/>
          <w:szCs w:val="24"/>
        </w:rPr>
        <w:t>).</w:t>
      </w:r>
    </w:p>
    <w:p w14:paraId="29890C59" w14:textId="61244099"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2FCE590B"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1428DA">
        <w:rPr>
          <w:sz w:val="24"/>
          <w:szCs w:val="24"/>
        </w:rPr>
        <w:t>7</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w:t>
      </w:r>
      <w:r w:rsidR="00750F7C" w:rsidRPr="00AA122B">
        <w:rPr>
          <w:sz w:val="24"/>
          <w:szCs w:val="24"/>
        </w:rPr>
        <w:lastRenderedPageBreak/>
        <w:t xml:space="preserve">multivariate generalised linear models with larger differences evident in the otolith chemistry data (Figure </w:t>
      </w:r>
      <w:r w:rsidR="001428DA">
        <w:rPr>
          <w:sz w:val="24"/>
          <w:szCs w:val="24"/>
        </w:rPr>
        <w:t>7</w:t>
      </w:r>
      <w:r w:rsidR="00750F7C" w:rsidRPr="00AA122B">
        <w:rPr>
          <w:sz w:val="24"/>
          <w:szCs w:val="24"/>
        </w:rPr>
        <w:t xml:space="preserve">a) than the otolith shape data (Figure </w:t>
      </w:r>
      <w:r w:rsidR="001428DA">
        <w:rPr>
          <w:sz w:val="24"/>
          <w:szCs w:val="24"/>
        </w:rPr>
        <w:t>7</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1428DA">
        <w:rPr>
          <w:sz w:val="24"/>
          <w:szCs w:val="24"/>
        </w:rPr>
        <w:t>7</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07DF084E"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290C007E"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7"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mean variance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r w:rsidR="0041004D" w:rsidRPr="00AA122B">
        <w:rPr>
          <w:bCs/>
          <w:i/>
          <w:sz w:val="24"/>
          <w:szCs w:val="24"/>
        </w:rPr>
        <w:t>Channa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7"/>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2C194B10"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3A7993" w:rsidRPr="00AA122B">
        <w:rPr>
          <w:sz w:val="24"/>
          <w:szCs w:val="24"/>
        </w:rPr>
        <w:t xml:space="preserve"> </w:t>
      </w:r>
      <w:r w:rsidR="003A7993" w:rsidRPr="00AA122B">
        <w:rPr>
          <w:sz w:val="24"/>
          <w:szCs w:val="24"/>
        </w:rPr>
        <w:fldChar w:fldCharType="begin"/>
      </w:r>
      <w:r w:rsidR="003A7993" w:rsidRPr="00AA122B">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003A7993" w:rsidRPr="00AA122B">
        <w:rPr>
          <w:sz w:val="24"/>
          <w:szCs w:val="24"/>
        </w:rPr>
        <w:fldChar w:fldCharType="separate"/>
      </w:r>
      <w:r w:rsidR="003A7993" w:rsidRPr="00AA122B">
        <w:rPr>
          <w:noProof/>
          <w:sz w:val="24"/>
          <w:szCs w:val="24"/>
        </w:rPr>
        <w:t>Warton et al. (2012)</w:t>
      </w:r>
      <w:r w:rsidR="003A7993" w:rsidRPr="00AA122B">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2E1CACA9" w:rsidR="00EF46D6" w:rsidRPr="00EF46D6" w:rsidRDefault="00EF46D6" w:rsidP="00EF46D6">
      <w:pPr>
        <w:spacing w:line="360" w:lineRule="auto"/>
        <w:ind w:firstLine="720"/>
        <w:rPr>
          <w:sz w:val="24"/>
          <w:szCs w:val="24"/>
        </w:rPr>
      </w:pPr>
      <w:bookmarkStart w:id="8" w:name="_Hlk59445328"/>
      <w:r w:rsidRPr="00EF46D6">
        <w:rPr>
          <w:sz w:val="24"/>
          <w:szCs w:val="24"/>
        </w:rPr>
        <w:t xml:space="preserve">A major advantage of this method is that MGLMs are flexible, being able to specify mean variance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2 &amp; 3). Not only do MGLM’s help to avoid misleading results but they have also been shown to have greater power at detecting effects when compared to traditional distance based approaches (</w:t>
      </w:r>
      <w:r w:rsidRPr="00EF46D6">
        <w:rPr>
          <w:sz w:val="24"/>
          <w:szCs w:val="24"/>
        </w:rPr>
        <w:fldChar w:fldCharType="begin"/>
      </w:r>
      <w:r w:rsidRPr="00EF46D6">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Pr="00EF46D6">
        <w:rPr>
          <w:sz w:val="24"/>
          <w:szCs w:val="24"/>
        </w:rPr>
        <w:fldChar w:fldCharType="separate"/>
      </w:r>
      <w:r w:rsidRPr="00EF46D6">
        <w:rPr>
          <w:sz w:val="24"/>
          <w:szCs w:val="24"/>
        </w:rPr>
        <w:t>Warton et al. 2012)</w:t>
      </w:r>
      <w:r w:rsidRPr="00EF46D6">
        <w:rPr>
          <w:sz w:val="24"/>
          <w:szCs w:val="24"/>
        </w:rPr>
        <w:fldChar w:fldCharType="end"/>
      </w:r>
      <w:r w:rsidRPr="00EF46D6">
        <w:rPr>
          <w:sz w:val="24"/>
          <w:szCs w:val="24"/>
        </w:rPr>
        <w:t>.  Warton et al. 2012 also found that mean-variance misspecification can lead to the confounding of dispersion and location effects in ordination plots (which we have verified in this study), misleading results when attempting to identify which response the effect is expressed in and a failure to detect multivariate effects unless it expressed in a high variance response.</w:t>
      </w:r>
    </w:p>
    <w:bookmarkEnd w:id="8"/>
    <w:p w14:paraId="28E800C2" w14:textId="3D74C912"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a</w:t>
      </w:r>
      <w:r w:rsidRPr="00AA122B">
        <w:rPr>
          <w:sz w:val="24"/>
          <w:szCs w:val="24"/>
        </w:rPr>
        <w:t xml:space="preserve"> large number of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this is not a concern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gb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31E8816B"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but the overall separation improving when shape data was combined with the elemental data. While the current study used a Bayesian model based latent variable method (Hui et al. 2015), an alternative ordination method directly based upon the MGLM model could be produced using Gaussian copula graphical models which can be run using the ‘ecoCopula’ R package </w:t>
      </w:r>
      <w:r w:rsidRPr="00AA122B">
        <w:rPr>
          <w:sz w:val="24"/>
          <w:szCs w:val="24"/>
        </w:rPr>
        <w:fldChar w:fldCharType="begin"/>
      </w:r>
      <w:r w:rsidR="00AB27E4">
        <w:rPr>
          <w:sz w:val="24"/>
          <w:szCs w:val="24"/>
        </w:rPr>
        <w:instrText xml:space="preserve"> ADDIN EN.CITE &lt;EndNote&gt;&lt;Cite&gt;&lt;Author&gt;Popovic&lt;/Author&gt;&lt;Year&gt;2019&lt;/Year&gt;&lt;RecNum&gt;696&lt;/RecNum&gt;&lt;DisplayText&gt;(Popovic et al., 2019)&lt;/DisplayText&gt;&lt;record&gt;&lt;rec-number&gt;696&lt;/rec-number&gt;&lt;foreign-keys&gt;&lt;key app="EN" db-id="tpvtxxttc2dzapezfe4xfz5nxr9at0sv9zrz" timestamp="1574567901"&gt;696&lt;/key&gt;&lt;/foreign-keys&gt;&lt;ref-type name="Journal Article"&gt;17&lt;/ref-type&gt;&lt;contributors&gt;&lt;authors&gt;&lt;author&gt;Popovic, Gordana C.&lt;/author&gt;&lt;author&gt;Warton, David I.&lt;/author&gt;&lt;author&gt;Thomson, Fiona J.&lt;/author&gt;&lt;author&gt;Hui, Francis K. C.&lt;/author&gt;&lt;author&gt;Moles, Angela T.&lt;/author&gt;&lt;/authors&gt;&lt;/contributors&gt;&lt;titles&gt;&lt;title&gt;Untangling direct species associations from indirect mediator species effects with graphical models&lt;/title&gt;&lt;secondary-title&gt;Methods in Ecology and Evolution&lt;/secondary-title&gt;&lt;/titles&gt;&lt;periodical&gt;&lt;full-title&gt;Methods in Ecology and Evolution&lt;/full-title&gt;&lt;/periodical&gt;&lt;pages&gt;1571-1583&lt;/pages&gt;&lt;volume&gt;10&lt;/volume&gt;&lt;number&gt;9&lt;/number&gt;&lt;dates&gt;&lt;year&gt;2019&lt;/year&gt;&lt;/dates&gt;&lt;isbn&gt;2041-210X&lt;/isbn&gt;&lt;urls&gt;&lt;related-urls&gt;&lt;url&gt;https://besjournals.onlinelibrary.wiley.com/doi/abs/10.1111/2041-210X.13247&lt;/url&gt;&lt;/related-urls&gt;&lt;/urls&gt;&lt;electronic-resource-num&gt;10.1111/2041-210x.13247&lt;/electronic-resource-num&gt;&lt;/record&gt;&lt;/Cite&gt;&lt;/EndNote&gt;</w:instrText>
      </w:r>
      <w:r w:rsidRPr="00AA122B">
        <w:rPr>
          <w:sz w:val="24"/>
          <w:szCs w:val="24"/>
        </w:rPr>
        <w:fldChar w:fldCharType="separate"/>
      </w:r>
      <w:r w:rsidR="00AB27E4">
        <w:rPr>
          <w:noProof/>
          <w:sz w:val="24"/>
          <w:szCs w:val="24"/>
        </w:rPr>
        <w:t>(Popovic et al., 2019)</w:t>
      </w:r>
      <w:r w:rsidRPr="00AA122B">
        <w:rPr>
          <w:sz w:val="24"/>
          <w:szCs w:val="24"/>
        </w:rPr>
        <w:fldChar w:fldCharType="end"/>
      </w:r>
      <w:r w:rsidRPr="00AA122B">
        <w:rPr>
          <w:sz w:val="24"/>
          <w:szCs w:val="24"/>
        </w:rPr>
        <w:t xml:space="preserve">. </w:t>
      </w:r>
      <w:r w:rsidR="00EF46D6" w:rsidRPr="00EF46D6">
        <w:rPr>
          <w:sz w:val="24"/>
          <w:szCs w:val="24"/>
        </w:rPr>
        <w:t>Both these ordination methods provide an alternative to traditional based distance-based ordination methods which we have shown to be misleading by failing to account for mean-</w:t>
      </w:r>
      <w:r w:rsidR="00EF46D6" w:rsidRPr="00EF46D6">
        <w:rPr>
          <w:sz w:val="24"/>
          <w:szCs w:val="24"/>
        </w:rPr>
        <w:lastRenderedPageBreak/>
        <w:t>variance relations.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52A1BEB0"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9"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9E771E" w:rsidRPr="00AA122B">
        <w:rPr>
          <w:bCs/>
          <w:sz w:val="24"/>
          <w:szCs w:val="24"/>
        </w:rPr>
        <w:t xml:space="preserve"> </w:t>
      </w:r>
      <w:r w:rsidR="002D3BE2" w:rsidRPr="00AA122B">
        <w:rPr>
          <w:bCs/>
          <w:sz w:val="24"/>
          <w:szCs w:val="24"/>
        </w:rPr>
        <w:t>(</w:t>
      </w:r>
      <w:r w:rsidR="009E771E" w:rsidRPr="00AA122B">
        <w:rPr>
          <w:bCs/>
          <w:sz w:val="24"/>
          <w:szCs w:val="24"/>
        </w:rPr>
        <w:t>Khan et al. 2019).</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712CD7">
        <w:rPr>
          <w:bCs/>
          <w:sz w:val="24"/>
          <w:szCs w:val="24"/>
        </w:rPr>
        <w:t xml:space="preserve"> (Begg et al. 1999)</w:t>
      </w:r>
      <w:r w:rsidR="00001F05">
        <w:rPr>
          <w:bCs/>
          <w:sz w:val="24"/>
          <w:szCs w:val="24"/>
        </w:rPr>
        <w:t xml:space="preserve">. </w:t>
      </w:r>
      <w:bookmarkEnd w:id="9"/>
    </w:p>
    <w:p w14:paraId="73C12709" w14:textId="220CCE0B" w:rsidR="0019601D" w:rsidRPr="00AA122B" w:rsidRDefault="0019601D" w:rsidP="004753C2">
      <w:pPr>
        <w:spacing w:line="360" w:lineRule="auto"/>
        <w:ind w:firstLine="720"/>
        <w:rPr>
          <w:b/>
          <w:bCs/>
          <w:sz w:val="24"/>
          <w:szCs w:val="24"/>
        </w:rPr>
      </w:pPr>
      <w:bookmarkStart w:id="10"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D81CAA" w:rsidRPr="00AA122B">
        <w:rPr>
          <w:bCs/>
          <w:sz w:val="24"/>
          <w:szCs w:val="24"/>
        </w:rPr>
        <w:t xml:space="preserve"> </w:t>
      </w:r>
      <w:r w:rsidR="00E7736B" w:rsidRPr="00AA122B">
        <w:rPr>
          <w:bCs/>
          <w:sz w:val="24"/>
          <w:szCs w:val="24"/>
        </w:rPr>
        <w:t>(Sengupta 2006)</w:t>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 (</w:t>
      </w:r>
      <w:r w:rsidR="0030641A" w:rsidRPr="00DF704A">
        <w:rPr>
          <w:rFonts w:ascii="Calibri" w:eastAsia="Calibri" w:hAnsi="Calibri" w:cs="Calibri"/>
          <w:noProof/>
          <w:sz w:val="24"/>
          <w:szCs w:val="24"/>
        </w:rPr>
        <w:t>Bhardwaj</w:t>
      </w:r>
      <w:r w:rsidR="0030641A">
        <w:rPr>
          <w:bCs/>
          <w:sz w:val="24"/>
          <w:szCs w:val="24"/>
          <w:lang w:val="en-US"/>
        </w:rPr>
        <w:t xml:space="preserve"> et al., 2017</w:t>
      </w:r>
      <w:r w:rsidR="00DF704A">
        <w:rPr>
          <w:bCs/>
          <w:sz w:val="24"/>
          <w:szCs w:val="24"/>
          <w:lang w:val="en-US"/>
        </w:rPr>
        <w:t>)</w:t>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10"/>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lastRenderedPageBreak/>
        <w:t xml:space="preserve">4.3 </w:t>
      </w:r>
      <w:r w:rsidR="004650C2" w:rsidRPr="00423B65">
        <w:rPr>
          <w:bCs/>
          <w:i/>
          <w:iCs/>
          <w:sz w:val="24"/>
          <w:szCs w:val="24"/>
        </w:rPr>
        <w:t>Conclusion</w:t>
      </w:r>
    </w:p>
    <w:p w14:paraId="28856150" w14:textId="5B11CDF7"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 xml:space="preserve">further research into potential demographic differences in now necessary which 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55176C86"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7EAB2AD1"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1D8F97B5" w:rsidR="00CB7657" w:rsidRPr="00AA122B" w:rsidRDefault="003E4236" w:rsidP="004753C2">
      <w:pPr>
        <w:spacing w:line="360" w:lineRule="auto"/>
        <w:rPr>
          <w:b/>
          <w:sz w:val="24"/>
          <w:szCs w:val="24"/>
        </w:rPr>
      </w:pPr>
      <w:r w:rsidRPr="00AA122B">
        <w:rPr>
          <w:b/>
          <w:sz w:val="24"/>
          <w:szCs w:val="24"/>
        </w:rPr>
        <w:lastRenderedPageBreak/>
        <w:t>References</w:t>
      </w:r>
    </w:p>
    <w:p w14:paraId="2C794AF4" w14:textId="1A143DC5" w:rsidR="00F45D88" w:rsidRDefault="00F45D88" w:rsidP="004753C2">
      <w:pPr>
        <w:spacing w:line="360" w:lineRule="auto"/>
        <w:ind w:left="720" w:hanging="720"/>
        <w:rPr>
          <w:rFonts w:ascii="Calibri" w:eastAsia="Calibri" w:hAnsi="Calibri" w:cs="Calibri"/>
          <w:noProof/>
          <w:sz w:val="24"/>
          <w:szCs w:val="24"/>
          <w:lang w:val="en-US"/>
        </w:rPr>
      </w:pPr>
      <w:r w:rsidRPr="00F45D88">
        <w:rPr>
          <w:rFonts w:ascii="Calibri" w:eastAsia="Calibri" w:hAnsi="Calibri" w:cs="Calibri"/>
          <w:noProof/>
          <w:sz w:val="24"/>
          <w:szCs w:val="24"/>
        </w:rPr>
        <w:t>Andrade, H., van der Sleen, P., Black, B. A., Godiksen, J. A., Locke, W. L., Carroll, M. L., ... &amp; Geffen, A. (2020). Ontogenetic movements of cod in Arctic fjords and the Barents Sea as revealed by otolith microchemistry. </w:t>
      </w:r>
      <w:r w:rsidRPr="00F45D88">
        <w:rPr>
          <w:rFonts w:ascii="Calibri" w:eastAsia="Calibri" w:hAnsi="Calibri" w:cs="Calibri"/>
          <w:i/>
          <w:iCs/>
          <w:noProof/>
          <w:sz w:val="24"/>
          <w:szCs w:val="24"/>
        </w:rPr>
        <w:t>Polar Biology</w:t>
      </w:r>
      <w:r w:rsidRPr="00F45D88">
        <w:rPr>
          <w:rFonts w:ascii="Calibri" w:eastAsia="Calibri" w:hAnsi="Calibri" w:cs="Calibri"/>
          <w:noProof/>
          <w:sz w:val="24"/>
          <w:szCs w:val="24"/>
        </w:rPr>
        <w:t>, </w:t>
      </w:r>
      <w:r w:rsidRPr="00F45D88">
        <w:rPr>
          <w:rFonts w:ascii="Calibri" w:eastAsia="Calibri" w:hAnsi="Calibri" w:cs="Calibri"/>
          <w:i/>
          <w:iCs/>
          <w:noProof/>
          <w:sz w:val="24"/>
          <w:szCs w:val="24"/>
        </w:rPr>
        <w:t>43</w:t>
      </w:r>
      <w:r w:rsidRPr="00F45D88">
        <w:rPr>
          <w:rFonts w:ascii="Calibri" w:eastAsia="Calibri" w:hAnsi="Calibri" w:cs="Calibri"/>
          <w:noProof/>
          <w:sz w:val="24"/>
          <w:szCs w:val="24"/>
        </w:rPr>
        <w:t>(5), 409-421.</w:t>
      </w:r>
    </w:p>
    <w:p w14:paraId="6DCE98D2" w14:textId="1621DF1E"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Friedland, K.D., Pearce, J.B., 1999. Stock identification and its role in stock assessment and fisheries management: an overview, Fish. Res. 43, 1–8.</w:t>
      </w:r>
    </w:p>
    <w:p w14:paraId="29C992AC" w14:textId="089FA8A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Overholtz, W.J., Munroe, N. J., 2001. The use of internal otolith morphometrics for identification of haddock (</w:t>
      </w:r>
      <w:r w:rsidRPr="00AA122B">
        <w:rPr>
          <w:rFonts w:ascii="Calibri" w:eastAsia="Calibri" w:hAnsi="Calibri" w:cs="Calibri"/>
          <w:i/>
          <w:noProof/>
          <w:sz w:val="24"/>
          <w:szCs w:val="24"/>
          <w:lang w:val="en-US"/>
        </w:rPr>
        <w:t>Melanogrammus aeglefinus</w:t>
      </w:r>
      <w:r w:rsidRPr="00AA122B">
        <w:rPr>
          <w:rFonts w:ascii="Calibri" w:eastAsia="Calibri" w:hAnsi="Calibri" w:cs="Calibri"/>
          <w:noProof/>
          <w:sz w:val="24"/>
          <w:szCs w:val="24"/>
          <w:lang w:val="en-US"/>
        </w:rPr>
        <w:t>) stocks on Georges Bank. Fish. Bull. 99, 1–14.</w:t>
      </w:r>
    </w:p>
    <w:p w14:paraId="0AD0A431" w14:textId="06FB62F9" w:rsidR="00DF704A" w:rsidRDefault="00DF704A" w:rsidP="004753C2">
      <w:pPr>
        <w:spacing w:line="360" w:lineRule="auto"/>
        <w:ind w:left="720" w:hanging="720"/>
        <w:rPr>
          <w:rFonts w:ascii="Calibri" w:eastAsia="Calibri" w:hAnsi="Calibri" w:cs="Calibri"/>
          <w:noProof/>
          <w:sz w:val="24"/>
          <w:szCs w:val="24"/>
        </w:rPr>
      </w:pPr>
      <w:r w:rsidRPr="00DF704A">
        <w:rPr>
          <w:rFonts w:ascii="Calibri" w:eastAsia="Calibri" w:hAnsi="Calibri" w:cs="Calibri"/>
          <w:noProof/>
          <w:sz w:val="24"/>
          <w:szCs w:val="24"/>
        </w:rPr>
        <w:t>Bhardwaj, R., Gupta, A., &amp; Garg, J. K. 2017</w:t>
      </w:r>
      <w:r w:rsidR="00CA6F42">
        <w:rPr>
          <w:rFonts w:ascii="Calibri" w:eastAsia="Calibri" w:hAnsi="Calibri" w:cs="Calibri"/>
          <w:noProof/>
          <w:sz w:val="24"/>
          <w:szCs w:val="24"/>
        </w:rPr>
        <w:t>.</w:t>
      </w:r>
      <w:r w:rsidRPr="00DF704A">
        <w:rPr>
          <w:rFonts w:ascii="Calibri" w:eastAsia="Calibri" w:hAnsi="Calibri" w:cs="Calibri"/>
          <w:noProof/>
          <w:sz w:val="24"/>
          <w:szCs w:val="24"/>
        </w:rPr>
        <w:t xml:space="preserve"> Evaluation of heavy metal contamination using environmetrics and indexing approach for River Yamuna, Delhi stretch, India. </w:t>
      </w:r>
      <w:r w:rsidRPr="00DF704A">
        <w:rPr>
          <w:rFonts w:ascii="Calibri" w:eastAsia="Calibri" w:hAnsi="Calibri" w:cs="Calibri"/>
          <w:i/>
          <w:iCs/>
          <w:noProof/>
          <w:sz w:val="24"/>
          <w:szCs w:val="24"/>
        </w:rPr>
        <w:t xml:space="preserve">Water </w:t>
      </w:r>
      <w:r w:rsidR="00622959">
        <w:rPr>
          <w:rFonts w:ascii="Calibri" w:eastAsia="Calibri" w:hAnsi="Calibri" w:cs="Calibri"/>
          <w:i/>
          <w:iCs/>
          <w:noProof/>
          <w:sz w:val="24"/>
          <w:szCs w:val="24"/>
        </w:rPr>
        <w:t>S</w:t>
      </w:r>
      <w:r w:rsidRPr="00DF704A">
        <w:rPr>
          <w:rFonts w:ascii="Calibri" w:eastAsia="Calibri" w:hAnsi="Calibri" w:cs="Calibri"/>
          <w:i/>
          <w:iCs/>
          <w:noProof/>
          <w:sz w:val="24"/>
          <w:szCs w:val="24"/>
        </w:rPr>
        <w:t>science</w:t>
      </w:r>
      <w:r w:rsidRPr="00DF704A">
        <w:rPr>
          <w:rFonts w:ascii="Calibri" w:eastAsia="Calibri" w:hAnsi="Calibri" w:cs="Calibri"/>
          <w:noProof/>
          <w:sz w:val="24"/>
          <w:szCs w:val="24"/>
        </w:rPr>
        <w:t xml:space="preserve">, </w:t>
      </w:r>
      <w:r w:rsidRPr="00DF704A">
        <w:rPr>
          <w:rFonts w:ascii="Calibri" w:eastAsia="Calibri" w:hAnsi="Calibri" w:cs="Calibri"/>
          <w:i/>
          <w:iCs/>
          <w:noProof/>
          <w:sz w:val="24"/>
          <w:szCs w:val="24"/>
        </w:rPr>
        <w:t>31</w:t>
      </w:r>
      <w:r w:rsidRPr="00DF704A">
        <w:rPr>
          <w:rFonts w:ascii="Calibri" w:eastAsia="Calibri" w:hAnsi="Calibri" w:cs="Calibri"/>
          <w:noProof/>
          <w:sz w:val="24"/>
          <w:szCs w:val="24"/>
        </w:rPr>
        <w:t>(1), 52-66.</w:t>
      </w:r>
    </w:p>
    <w:p w14:paraId="5DFAFBEC" w14:textId="3B771A11" w:rsidR="00622959" w:rsidRPr="00DF704A" w:rsidRDefault="00622959" w:rsidP="004753C2">
      <w:pPr>
        <w:spacing w:line="360" w:lineRule="auto"/>
        <w:ind w:left="720" w:hanging="720"/>
        <w:rPr>
          <w:rFonts w:ascii="Calibri" w:eastAsia="Calibri" w:hAnsi="Calibri" w:cs="Calibri"/>
          <w:noProof/>
          <w:sz w:val="24"/>
          <w:szCs w:val="24"/>
        </w:rPr>
      </w:pPr>
      <w:r w:rsidRPr="00622959">
        <w:rPr>
          <w:rFonts w:ascii="Calibri" w:eastAsia="Calibri" w:hAnsi="Calibri" w:cs="Calibri"/>
          <w:noProof/>
          <w:sz w:val="24"/>
          <w:szCs w:val="24"/>
        </w:rPr>
        <w:t>Biolé, F. G., Thompson, G. A., Vargas, C. V., Leisen, M., Barra, F., Volpedo, A. V., &amp; Avigliano, E. (2019). Fish stocks of Urophycis brasiliensis revealed by otolith fingerprint and shape in the Southwestern Atlantic Ocean. </w:t>
      </w:r>
      <w:r w:rsidRPr="00622959">
        <w:rPr>
          <w:rFonts w:ascii="Calibri" w:eastAsia="Calibri" w:hAnsi="Calibri" w:cs="Calibri"/>
          <w:i/>
          <w:iCs/>
          <w:noProof/>
          <w:sz w:val="24"/>
          <w:szCs w:val="24"/>
        </w:rPr>
        <w:t>Estuarine, Coastal and Shelf Science</w:t>
      </w:r>
      <w:r w:rsidRPr="00622959">
        <w:rPr>
          <w:rFonts w:ascii="Calibri" w:eastAsia="Calibri" w:hAnsi="Calibri" w:cs="Calibri"/>
          <w:noProof/>
          <w:sz w:val="24"/>
          <w:szCs w:val="24"/>
        </w:rPr>
        <w:t>, </w:t>
      </w:r>
      <w:r w:rsidRPr="00622959">
        <w:rPr>
          <w:rFonts w:ascii="Calibri" w:eastAsia="Calibri" w:hAnsi="Calibri" w:cs="Calibri"/>
          <w:i/>
          <w:iCs/>
          <w:noProof/>
          <w:sz w:val="24"/>
          <w:szCs w:val="24"/>
        </w:rPr>
        <w:t>229</w:t>
      </w:r>
      <w:r w:rsidRPr="00622959">
        <w:rPr>
          <w:rFonts w:ascii="Calibri" w:eastAsia="Calibri" w:hAnsi="Calibri" w:cs="Calibri"/>
          <w:noProof/>
          <w:sz w:val="24"/>
          <w:szCs w:val="24"/>
        </w:rPr>
        <w:t>, 106406.</w:t>
      </w:r>
    </w:p>
    <w:p w14:paraId="350C96FE"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Bird, J. L.; Eppler, D. T.; and Checkley, D. M., Jr., 1986: Comparisons of herring otoliths using Fourier series shape analysis. Can. J. Fish. Aquat. Sci. 43, 1228– 1234.</w:t>
      </w:r>
    </w:p>
    <w:p w14:paraId="3F09653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Cagauan, A. 2007. Exotic aquatic species introduction in the Philippines for aquaculture- A threat to biodiversity or a boon to the economy?. Journal of Environmental Science and Management, 10/1: 48-62.</w:t>
      </w:r>
    </w:p>
    <w:p w14:paraId="667BD740" w14:textId="527332F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Campana, S.E.,</w:t>
      </w:r>
      <w:r w:rsidR="007222B4">
        <w:rPr>
          <w:rFonts w:ascii="Calibri" w:eastAsia="Calibri" w:hAnsi="Calibri" w:cs="Calibri"/>
          <w:noProof/>
          <w:sz w:val="24"/>
          <w:szCs w:val="24"/>
          <w:lang w:val="en-US"/>
        </w:rPr>
        <w:t xml:space="preserve"> and</w:t>
      </w:r>
      <w:r w:rsidRPr="00AA122B">
        <w:rPr>
          <w:rFonts w:ascii="Calibri" w:eastAsia="Calibri" w:hAnsi="Calibri" w:cs="Calibri"/>
          <w:noProof/>
          <w:sz w:val="24"/>
          <w:szCs w:val="24"/>
          <w:lang w:val="en-US"/>
        </w:rPr>
        <w:t xml:space="preserve"> Casselman, J.M., 1993. Stock discrimination using otolith shape analysis. Can. J. Fish. Aquat. Sci. 50, 1062-1083.</w:t>
      </w:r>
    </w:p>
    <w:p w14:paraId="28769D06" w14:textId="3FCBD786" w:rsidR="00712CD7" w:rsidRPr="00AA122B" w:rsidRDefault="00712CD7" w:rsidP="004753C2">
      <w:pPr>
        <w:spacing w:line="360" w:lineRule="auto"/>
        <w:ind w:left="720" w:hanging="720"/>
        <w:rPr>
          <w:rFonts w:ascii="Calibri" w:eastAsia="Calibri" w:hAnsi="Calibri" w:cs="Calibri"/>
          <w:noProof/>
          <w:sz w:val="24"/>
          <w:szCs w:val="24"/>
          <w:lang w:val="en-US"/>
        </w:rPr>
      </w:pPr>
      <w:r w:rsidRPr="00712CD7">
        <w:rPr>
          <w:rFonts w:ascii="Calibri" w:eastAsia="Calibri" w:hAnsi="Calibri" w:cs="Calibri"/>
          <w:noProof/>
          <w:sz w:val="24"/>
          <w:szCs w:val="24"/>
        </w:rPr>
        <w:t>Campana, S. E., Chouinard, G. A., Hanson, J. M., Frechet, A., &amp; Brattey, J. (2000). Otolith elemental fingerprints as biological tracers of fish stocks. </w:t>
      </w:r>
      <w:r w:rsidRPr="00712CD7">
        <w:rPr>
          <w:rFonts w:ascii="Calibri" w:eastAsia="Calibri" w:hAnsi="Calibri" w:cs="Calibri"/>
          <w:i/>
          <w:iCs/>
          <w:noProof/>
          <w:sz w:val="24"/>
          <w:szCs w:val="24"/>
        </w:rPr>
        <w:t>Fisheries Research</w:t>
      </w:r>
      <w:r w:rsidRPr="00712CD7">
        <w:rPr>
          <w:rFonts w:ascii="Calibri" w:eastAsia="Calibri" w:hAnsi="Calibri" w:cs="Calibri"/>
          <w:noProof/>
          <w:sz w:val="24"/>
          <w:szCs w:val="24"/>
        </w:rPr>
        <w:t>, </w:t>
      </w:r>
      <w:r w:rsidRPr="00712CD7">
        <w:rPr>
          <w:rFonts w:ascii="Calibri" w:eastAsia="Calibri" w:hAnsi="Calibri" w:cs="Calibri"/>
          <w:i/>
          <w:iCs/>
          <w:noProof/>
          <w:sz w:val="24"/>
          <w:szCs w:val="24"/>
        </w:rPr>
        <w:t>46</w:t>
      </w:r>
      <w:r w:rsidRPr="00712CD7">
        <w:rPr>
          <w:rFonts w:ascii="Calibri" w:eastAsia="Calibri" w:hAnsi="Calibri" w:cs="Calibri"/>
          <w:noProof/>
          <w:sz w:val="24"/>
          <w:szCs w:val="24"/>
        </w:rPr>
        <w:t>(1-3), 343-357.</w:t>
      </w:r>
    </w:p>
    <w:p w14:paraId="37FD92E9" w14:textId="7116751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Castonguay, M., Simard, P., Gagnon, P., 1991. Usefulness of Fourier analysis of otolith shape for Atlantic mackerel (Scomber scombrus) stock discrimination. Can. J. Fish. Aquat. Sci.  48, 296–302.</w:t>
      </w:r>
    </w:p>
    <w:p w14:paraId="27424BAF" w14:textId="77777777" w:rsidR="00622959" w:rsidRPr="000571E1" w:rsidRDefault="00622959" w:rsidP="00EB740A">
      <w:pPr>
        <w:spacing w:line="360" w:lineRule="auto"/>
        <w:ind w:left="709" w:hanging="709"/>
        <w:rPr>
          <w:rFonts w:eastAsia="Times New Roman" w:cstheme="minorHAnsi"/>
        </w:rPr>
      </w:pPr>
      <w:r w:rsidRPr="000571E1">
        <w:rPr>
          <w:rFonts w:cstheme="minorHAnsi"/>
          <w:color w:val="222222"/>
          <w:sz w:val="24"/>
          <w:szCs w:val="24"/>
          <w:shd w:val="clear" w:color="auto" w:fill="FFFFFF"/>
        </w:rPr>
        <w:t>Dunn, P. K., &amp; Smyth, G. K. 1996. Randomized quantile residuals. </w:t>
      </w:r>
      <w:r w:rsidRPr="000571E1">
        <w:rPr>
          <w:rFonts w:cstheme="minorHAnsi"/>
          <w:i/>
          <w:iCs/>
          <w:color w:val="222222"/>
          <w:sz w:val="24"/>
          <w:szCs w:val="24"/>
          <w:shd w:val="clear" w:color="auto" w:fill="FFFFFF"/>
        </w:rPr>
        <w:t>Journal of Computational and Graphical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5</w:t>
      </w:r>
      <w:r w:rsidRPr="000571E1">
        <w:rPr>
          <w:rFonts w:cstheme="minorHAnsi"/>
          <w:color w:val="222222"/>
          <w:sz w:val="24"/>
          <w:szCs w:val="24"/>
          <w:shd w:val="clear" w:color="auto" w:fill="FFFFFF"/>
        </w:rPr>
        <w:t>(3), 236-244.</w:t>
      </w:r>
    </w:p>
    <w:p w14:paraId="355E521D" w14:textId="77777777" w:rsidR="00622959" w:rsidRPr="000571E1" w:rsidRDefault="00622959" w:rsidP="00EB740A">
      <w:pPr>
        <w:spacing w:line="360" w:lineRule="auto"/>
        <w:ind w:left="709" w:hanging="709"/>
        <w:rPr>
          <w:rFonts w:eastAsia="Times New Roman" w:cstheme="minorHAnsi"/>
        </w:rPr>
      </w:pPr>
      <w:r w:rsidRPr="000571E1">
        <w:rPr>
          <w:rFonts w:cstheme="minorHAnsi"/>
          <w:color w:val="222222"/>
          <w:sz w:val="24"/>
          <w:szCs w:val="24"/>
          <w:shd w:val="clear" w:color="auto" w:fill="FFFFFF"/>
        </w:rPr>
        <w:t>Dunn, P. K., &amp; Smyth, G. K. 2018. Generalized Linear Models: Diagnostics. In </w:t>
      </w:r>
      <w:r w:rsidRPr="000571E1">
        <w:rPr>
          <w:rFonts w:cstheme="minorHAnsi"/>
          <w:i/>
          <w:iCs/>
          <w:color w:val="222222"/>
          <w:sz w:val="24"/>
          <w:szCs w:val="24"/>
          <w:shd w:val="clear" w:color="auto" w:fill="FFFFFF"/>
        </w:rPr>
        <w:t>Generalized Linear Models With Examples in R</w:t>
      </w:r>
      <w:r w:rsidRPr="000571E1">
        <w:rPr>
          <w:rFonts w:cstheme="minorHAnsi"/>
          <w:color w:val="222222"/>
          <w:sz w:val="24"/>
          <w:szCs w:val="24"/>
          <w:shd w:val="clear" w:color="auto" w:fill="FFFFFF"/>
        </w:rPr>
        <w:t> (pp. 297-331). Springer, New York, NY.</w:t>
      </w:r>
    </w:p>
    <w:p w14:paraId="613602C7" w14:textId="77777777" w:rsidR="00712CD7" w:rsidRDefault="00712CD7" w:rsidP="00712CD7">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 S., and B. M. Gillanders. 2003. Reconstructing migratory patterns of fish based on environmental influences on otolith chemistry. Rev. Fish Biol. Fish. 13: 219– 235. doi:10.1023/B:RFBF.0000033071.73952.40</w:t>
      </w:r>
    </w:p>
    <w:p w14:paraId="15F9B443" w14:textId="11B198E6"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TS, Gillanders BM 2004</w:t>
      </w:r>
      <w:r w:rsidR="00CA6F42">
        <w:rPr>
          <w:rFonts w:ascii="Calibri" w:eastAsia="Calibri" w:hAnsi="Calibri" w:cs="Calibri"/>
          <w:noProof/>
          <w:sz w:val="24"/>
          <w:szCs w:val="24"/>
          <w:lang w:val="en-US"/>
        </w:rPr>
        <w:t>.</w:t>
      </w:r>
      <w:r w:rsidRPr="00AA122B">
        <w:rPr>
          <w:rFonts w:ascii="Calibri" w:eastAsia="Calibri" w:hAnsi="Calibri" w:cs="Calibri"/>
          <w:noProof/>
          <w:sz w:val="24"/>
          <w:szCs w:val="24"/>
          <w:lang w:val="en-US"/>
        </w:rPr>
        <w:t xml:space="preserve"> Fish otolith chemistry influenced by exposure to multiple environmental variables. J Exp Mar Biol Ecol 313:269–284</w:t>
      </w:r>
    </w:p>
    <w:p w14:paraId="60DE42E8" w14:textId="6A5DB989" w:rsidR="00622959" w:rsidRPr="000571E1" w:rsidRDefault="00622959" w:rsidP="00EB740A">
      <w:pPr>
        <w:spacing w:line="360" w:lineRule="auto"/>
        <w:ind w:left="709" w:hanging="709"/>
        <w:rPr>
          <w:rFonts w:cstheme="minorHAnsi"/>
        </w:rPr>
      </w:pPr>
      <w:r w:rsidRPr="000571E1">
        <w:rPr>
          <w:rFonts w:cstheme="minorHAnsi"/>
          <w:color w:val="222222"/>
          <w:sz w:val="24"/>
          <w:szCs w:val="24"/>
          <w:shd w:val="clear" w:color="auto" w:fill="FFFFFF"/>
        </w:rPr>
        <w:t>Foster, S.D. and Bravington, M.V., 2013. A Poisson–Gamma model for analysis of ecological non-negative continuous data. </w:t>
      </w:r>
      <w:r w:rsidRPr="000571E1">
        <w:rPr>
          <w:rFonts w:cstheme="minorHAnsi"/>
          <w:i/>
          <w:iCs/>
          <w:color w:val="222222"/>
          <w:sz w:val="24"/>
          <w:szCs w:val="24"/>
          <w:shd w:val="clear" w:color="auto" w:fill="FFFFFF"/>
        </w:rPr>
        <w:t>Environmental and ecological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20</w:t>
      </w:r>
      <w:r w:rsidRPr="000571E1">
        <w:rPr>
          <w:rFonts w:cstheme="minorHAnsi"/>
          <w:color w:val="222222"/>
          <w:sz w:val="24"/>
          <w:szCs w:val="24"/>
          <w:shd w:val="clear" w:color="auto" w:fill="FFFFFF"/>
        </w:rPr>
        <w:t>(4), pp.533-552.</w:t>
      </w:r>
    </w:p>
    <w:p w14:paraId="3AA8728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Fowler, A. M., P. I. Macreadie, D. P. Bishop, and D. J. Booth. 2015. Using otolith microchemistry and shape to assess the habitat value of oil structures for reef fish. Marine Environmental Research </w:t>
      </w:r>
      <w:r w:rsidRPr="00AA122B">
        <w:rPr>
          <w:rFonts w:ascii="Calibri" w:eastAsia="Calibri" w:hAnsi="Calibri" w:cs="Calibri"/>
          <w:b/>
          <w:noProof/>
          <w:sz w:val="24"/>
          <w:szCs w:val="24"/>
          <w:lang w:val="en-US"/>
        </w:rPr>
        <w:t>106</w:t>
      </w:r>
      <w:r w:rsidRPr="00AA122B">
        <w:rPr>
          <w:rFonts w:ascii="Calibri" w:eastAsia="Calibri" w:hAnsi="Calibri" w:cs="Calibri"/>
          <w:noProof/>
          <w:sz w:val="24"/>
          <w:szCs w:val="24"/>
          <w:lang w:val="en-US"/>
        </w:rPr>
        <w:t>:103-113.</w:t>
      </w:r>
    </w:p>
    <w:p w14:paraId="6B3D7D0D" w14:textId="400A8AF1"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Friedland, K. D., and D. G. Reddin. 1994. Use of otolith morphology in stock discriminations of Atlantic salmon (</w:t>
      </w:r>
      <w:r w:rsidRPr="00EB740A">
        <w:rPr>
          <w:rFonts w:ascii="Calibri" w:eastAsia="Calibri" w:hAnsi="Calibri" w:cs="Calibri"/>
          <w:i/>
          <w:iCs/>
          <w:noProof/>
          <w:sz w:val="24"/>
          <w:szCs w:val="24"/>
          <w:lang w:val="en-US"/>
        </w:rPr>
        <w:t>Salmo salar</w:t>
      </w:r>
      <w:r w:rsidRPr="00AA122B">
        <w:rPr>
          <w:rFonts w:ascii="Calibri" w:eastAsia="Calibri" w:hAnsi="Calibri" w:cs="Calibri"/>
          <w:noProof/>
          <w:sz w:val="24"/>
          <w:szCs w:val="24"/>
          <w:lang w:val="en-US"/>
        </w:rPr>
        <w:t>). Can. J. Fish. Aquat. Sci. 51:91–98.</w:t>
      </w:r>
    </w:p>
    <w:p w14:paraId="6F8122D4" w14:textId="7155098B" w:rsidR="00F83659" w:rsidRPr="00AA122B" w:rsidRDefault="00F83659" w:rsidP="004753C2">
      <w:pPr>
        <w:spacing w:line="360" w:lineRule="auto"/>
        <w:ind w:left="720" w:hanging="720"/>
        <w:rPr>
          <w:rFonts w:ascii="Calibri" w:eastAsia="Calibri" w:hAnsi="Calibri" w:cs="Calibri"/>
          <w:noProof/>
          <w:sz w:val="24"/>
          <w:szCs w:val="24"/>
          <w:lang w:val="en-US"/>
        </w:rPr>
      </w:pPr>
      <w:r w:rsidRPr="00F83659">
        <w:rPr>
          <w:rFonts w:ascii="Calibri" w:eastAsia="Calibri" w:hAnsi="Calibri" w:cs="Calibri"/>
          <w:noProof/>
          <w:sz w:val="24"/>
          <w:szCs w:val="24"/>
        </w:rPr>
        <w:t>Ferguson, G. J., Ward, T. M., &amp; Gillanders, B. M. (2011). Otolith shape and elemental composition: Complementary tools for stock discrimination of mulloway (</w:t>
      </w:r>
      <w:r w:rsidRPr="00EB740A">
        <w:rPr>
          <w:rFonts w:ascii="Calibri" w:eastAsia="Calibri" w:hAnsi="Calibri" w:cs="Calibri"/>
          <w:i/>
          <w:iCs/>
          <w:noProof/>
          <w:sz w:val="24"/>
          <w:szCs w:val="24"/>
        </w:rPr>
        <w:t>Argyrosomus japonicus</w:t>
      </w:r>
      <w:r w:rsidRPr="00F83659">
        <w:rPr>
          <w:rFonts w:ascii="Calibri" w:eastAsia="Calibri" w:hAnsi="Calibri" w:cs="Calibri"/>
          <w:noProof/>
          <w:sz w:val="24"/>
          <w:szCs w:val="24"/>
        </w:rPr>
        <w:t>) in southern Australia. </w:t>
      </w:r>
      <w:r w:rsidRPr="00F83659">
        <w:rPr>
          <w:rFonts w:ascii="Calibri" w:eastAsia="Calibri" w:hAnsi="Calibri" w:cs="Calibri"/>
          <w:i/>
          <w:iCs/>
          <w:noProof/>
          <w:sz w:val="24"/>
          <w:szCs w:val="24"/>
        </w:rPr>
        <w:t>Fisheries Research</w:t>
      </w:r>
      <w:r w:rsidRPr="00F83659">
        <w:rPr>
          <w:rFonts w:ascii="Calibri" w:eastAsia="Calibri" w:hAnsi="Calibri" w:cs="Calibri"/>
          <w:noProof/>
          <w:sz w:val="24"/>
          <w:szCs w:val="24"/>
        </w:rPr>
        <w:t>, </w:t>
      </w:r>
      <w:r w:rsidRPr="00F83659">
        <w:rPr>
          <w:rFonts w:ascii="Calibri" w:eastAsia="Calibri" w:hAnsi="Calibri" w:cs="Calibri"/>
          <w:i/>
          <w:iCs/>
          <w:noProof/>
          <w:sz w:val="24"/>
          <w:szCs w:val="24"/>
        </w:rPr>
        <w:t>110</w:t>
      </w:r>
      <w:r w:rsidRPr="00F83659">
        <w:rPr>
          <w:rFonts w:ascii="Calibri" w:eastAsia="Calibri" w:hAnsi="Calibri" w:cs="Calibri"/>
          <w:noProof/>
          <w:sz w:val="24"/>
          <w:szCs w:val="24"/>
        </w:rPr>
        <w:t>(1), 75-83.</w:t>
      </w:r>
    </w:p>
    <w:p w14:paraId="30F352C9" w14:textId="15A0074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Grammer, G. L., J. R. Morrongiello, C. Izzo, P. J. Hawthorne, J. F. Middleton, and B. M. Gillanders. 2017. Coupling biogeochemical tracers with fish growth reveals physiological and environmental controls on otolith chemistry. Ecological Monographs 87: 487– 507.</w:t>
      </w:r>
    </w:p>
    <w:p w14:paraId="37437D44" w14:textId="66BE9005" w:rsidR="00522A93" w:rsidRPr="00AA122B" w:rsidRDefault="00522A93" w:rsidP="004753C2">
      <w:pPr>
        <w:spacing w:line="360" w:lineRule="auto"/>
        <w:ind w:left="720" w:hanging="720"/>
        <w:rPr>
          <w:rFonts w:ascii="Calibri" w:eastAsia="Calibri" w:hAnsi="Calibri" w:cs="Calibri"/>
          <w:noProof/>
          <w:sz w:val="24"/>
          <w:szCs w:val="24"/>
          <w:lang w:val="en-US"/>
        </w:rPr>
      </w:pPr>
      <w:r w:rsidRPr="00522A93">
        <w:rPr>
          <w:rFonts w:ascii="Calibri" w:eastAsia="Calibri" w:hAnsi="Calibri" w:cs="Calibri"/>
          <w:noProof/>
          <w:sz w:val="24"/>
          <w:szCs w:val="24"/>
          <w:lang w:val="en-US"/>
        </w:rPr>
        <w:lastRenderedPageBreak/>
        <w:t>Graps, A. 1995. An introduction to wavelets. IEEE computational science and engineering, 2(2), 50-61.</w:t>
      </w:r>
    </w:p>
    <w:p w14:paraId="3FC9F621" w14:textId="07957CC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2016. boral – Bayesian Ordination and Regression Analysis of Multivariate Abundance Data in r. Methods in Ecology and Evolution 7:744-750.</w:t>
      </w:r>
    </w:p>
    <w:p w14:paraId="1378A39A" w14:textId="41F413F3"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S. Taskinen, S. Pledger, S. D. Foster, and D. I. Warton. 2015. Model-based approaches to unconstrained ordination. Methods in Ecology and Evolution 6:399-411.</w:t>
      </w:r>
    </w:p>
    <w:p w14:paraId="01BBB4A0" w14:textId="6B0D812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Izzo, C., Reis-Santos, P., and Gillanders, B. M. 2018. Otolith chemistry does not just reflect environmental conditions: a meta-analytic evaluation. Fish and Fisheries 19, 441–454. doi:10.1111/FAF.12264</w:t>
      </w:r>
    </w:p>
    <w:p w14:paraId="190D1C2B" w14:textId="50C087CB"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Jayaram, K.C., 1999. The Freshwater Fishes of the Indian Region. Narendra Publishing House, Delhi, India.</w:t>
      </w:r>
    </w:p>
    <w:p w14:paraId="095446E2" w14:textId="33A4D254" w:rsidR="00B44FDE" w:rsidRDefault="00B44FDE" w:rsidP="004753C2">
      <w:pPr>
        <w:spacing w:line="360" w:lineRule="auto"/>
        <w:ind w:left="720" w:hanging="720"/>
        <w:rPr>
          <w:rFonts w:ascii="Calibri" w:eastAsia="Calibri" w:hAnsi="Calibri" w:cs="Calibri"/>
          <w:noProof/>
          <w:sz w:val="24"/>
          <w:szCs w:val="24"/>
        </w:rPr>
      </w:pPr>
      <w:r w:rsidRPr="00B44FDE">
        <w:rPr>
          <w:rFonts w:ascii="Calibri" w:eastAsia="Calibri" w:hAnsi="Calibri" w:cs="Calibri"/>
          <w:noProof/>
          <w:sz w:val="24"/>
          <w:szCs w:val="24"/>
        </w:rPr>
        <w:t xml:space="preserve">Jones, C. M., Palmer, M., &amp; Schaffler, J. J. 2017. Beyond Z ar: the use and abuse of classification statistics for otolith chemistry. </w:t>
      </w:r>
      <w:r w:rsidRPr="00B44FDE">
        <w:rPr>
          <w:rFonts w:ascii="Calibri" w:eastAsia="Calibri" w:hAnsi="Calibri" w:cs="Calibri"/>
          <w:i/>
          <w:iCs/>
          <w:noProof/>
          <w:sz w:val="24"/>
          <w:szCs w:val="24"/>
        </w:rPr>
        <w:t>Journal of Fish Biology</w:t>
      </w:r>
      <w:r w:rsidRPr="00B44FDE">
        <w:rPr>
          <w:rFonts w:ascii="Calibri" w:eastAsia="Calibri" w:hAnsi="Calibri" w:cs="Calibri"/>
          <w:noProof/>
          <w:sz w:val="24"/>
          <w:szCs w:val="24"/>
        </w:rPr>
        <w:t xml:space="preserve">, </w:t>
      </w:r>
      <w:r w:rsidRPr="00B44FDE">
        <w:rPr>
          <w:rFonts w:ascii="Calibri" w:eastAsia="Calibri" w:hAnsi="Calibri" w:cs="Calibri"/>
          <w:i/>
          <w:iCs/>
          <w:noProof/>
          <w:sz w:val="24"/>
          <w:szCs w:val="24"/>
        </w:rPr>
        <w:t>90</w:t>
      </w:r>
      <w:r w:rsidRPr="00B44FDE">
        <w:rPr>
          <w:rFonts w:ascii="Calibri" w:eastAsia="Calibri" w:hAnsi="Calibri" w:cs="Calibri"/>
          <w:noProof/>
          <w:sz w:val="24"/>
          <w:szCs w:val="24"/>
        </w:rPr>
        <w:t>(2), 492-504.</w:t>
      </w:r>
    </w:p>
    <w:p w14:paraId="5525A24D" w14:textId="5AE1CCDD" w:rsidR="00622959" w:rsidRPr="00EB740A" w:rsidRDefault="00622959" w:rsidP="00EB740A">
      <w:pPr>
        <w:spacing w:line="360" w:lineRule="auto"/>
        <w:ind w:left="709" w:hanging="709"/>
        <w:rPr>
          <w:rFonts w:eastAsia="Times New Roman" w:cstheme="minorHAnsi"/>
        </w:rPr>
      </w:pPr>
      <w:r w:rsidRPr="000571E1">
        <w:rPr>
          <w:rFonts w:cstheme="minorHAnsi"/>
          <w:color w:val="222222"/>
          <w:sz w:val="24"/>
          <w:szCs w:val="24"/>
          <w:shd w:val="clear" w:color="auto" w:fill="FFFFFF"/>
        </w:rPr>
        <w:t>Kendal, R. L., Coolen, I., &amp; Laland, K. N. (2004). The role of conformity in foraging when personal and social information conflict. </w:t>
      </w:r>
      <w:r w:rsidRPr="000571E1">
        <w:rPr>
          <w:rFonts w:cstheme="minorHAnsi"/>
          <w:i/>
          <w:iCs/>
          <w:color w:val="222222"/>
          <w:sz w:val="24"/>
          <w:szCs w:val="24"/>
          <w:shd w:val="clear" w:color="auto" w:fill="FFFFFF"/>
        </w:rPr>
        <w:t>Behavioral Ecology</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15</w:t>
      </w:r>
      <w:r w:rsidRPr="000571E1">
        <w:rPr>
          <w:rFonts w:cstheme="minorHAnsi"/>
          <w:color w:val="222222"/>
          <w:sz w:val="24"/>
          <w:szCs w:val="24"/>
          <w:shd w:val="clear" w:color="auto" w:fill="FFFFFF"/>
        </w:rPr>
        <w:t>(2), 269-277.</w:t>
      </w:r>
    </w:p>
    <w:p w14:paraId="26FE6063" w14:textId="18FB7C6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Khan, M.A., Miyan, K., Khan, S., Patel, D.K., Ansari, N.G.,</w:t>
      </w:r>
      <w:r w:rsidR="00CA6F42">
        <w:rPr>
          <w:rFonts w:ascii="Calibri" w:eastAsia="Calibri" w:hAnsi="Calibri" w:cs="Calibri"/>
          <w:noProof/>
          <w:sz w:val="24"/>
          <w:szCs w:val="24"/>
          <w:lang w:val="en-US"/>
        </w:rPr>
        <w:t xml:space="preserve"> </w:t>
      </w:r>
      <w:r w:rsidRPr="00AA122B">
        <w:rPr>
          <w:rFonts w:ascii="Calibri" w:eastAsia="Calibri" w:hAnsi="Calibri" w:cs="Calibri"/>
          <w:noProof/>
          <w:sz w:val="24"/>
          <w:szCs w:val="24"/>
          <w:lang w:val="en-US"/>
        </w:rPr>
        <w:t xml:space="preserve">2012. Studies on elemental profile of otoliths and truss network analysis for stock discrimination of the threatened stinging catfish, </w:t>
      </w:r>
      <w:r w:rsidRPr="00AA122B">
        <w:rPr>
          <w:rFonts w:ascii="Calibri" w:eastAsia="Calibri" w:hAnsi="Calibri" w:cs="Calibri"/>
          <w:i/>
          <w:noProof/>
          <w:sz w:val="24"/>
          <w:szCs w:val="24"/>
          <w:lang w:val="en-US"/>
        </w:rPr>
        <w:t>Heteropneustes fossilis</w:t>
      </w:r>
      <w:r w:rsidRPr="00AA122B">
        <w:rPr>
          <w:rFonts w:ascii="Calibri" w:eastAsia="Calibri" w:hAnsi="Calibri" w:cs="Calibri"/>
          <w:noProof/>
          <w:sz w:val="24"/>
          <w:szCs w:val="24"/>
          <w:lang w:val="en-US"/>
        </w:rPr>
        <w:t xml:space="preserve"> (Bloch 1794), from the river Ganga and its tributaries. Zool. Stud. 51, 1195‒1206.</w:t>
      </w:r>
    </w:p>
    <w:p w14:paraId="07C47A61" w14:textId="58A23093"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Khan, M.A., Khan, S., Miyan, K., 2019. Stock identification of the </w:t>
      </w:r>
      <w:r w:rsidRPr="00AA122B">
        <w:rPr>
          <w:rFonts w:ascii="Calibri" w:eastAsia="Calibri" w:hAnsi="Calibri" w:cs="Calibri"/>
          <w:i/>
          <w:noProof/>
          <w:sz w:val="24"/>
          <w:szCs w:val="24"/>
          <w:lang w:val="en-US"/>
        </w:rPr>
        <w:t>Channa striata</w:t>
      </w:r>
      <w:r w:rsidRPr="00AA122B">
        <w:rPr>
          <w:rFonts w:ascii="Calibri" w:eastAsia="Calibri" w:hAnsi="Calibri" w:cs="Calibri"/>
          <w:noProof/>
          <w:sz w:val="24"/>
          <w:szCs w:val="24"/>
          <w:lang w:val="en-US"/>
        </w:rPr>
        <w:t xml:space="preserve"> inhabiting the Gangetic river system using truss morphometry. Russ. J. Ecol. 50, 391–396.</w:t>
      </w:r>
    </w:p>
    <w:p w14:paraId="1797887F" w14:textId="59056F90" w:rsid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Libungan, L. A., and S. Pálsson. 2015. ShapeR: an R package to study otolith shape variation among fish populations. PLOS ONE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:e0121102.</w:t>
      </w:r>
    </w:p>
    <w:p w14:paraId="777ED3DF" w14:textId="2BEB3C7F" w:rsidR="00A53C3D" w:rsidRDefault="00A53C3D" w:rsidP="004753C2">
      <w:pPr>
        <w:spacing w:after="0" w:line="360" w:lineRule="auto"/>
        <w:ind w:left="720" w:hanging="720"/>
        <w:rPr>
          <w:rFonts w:ascii="Calibri" w:eastAsia="Calibri" w:hAnsi="Calibri" w:cs="Calibri"/>
          <w:noProof/>
          <w:sz w:val="24"/>
          <w:szCs w:val="24"/>
        </w:rPr>
      </w:pPr>
      <w:r w:rsidRPr="00A53C3D">
        <w:rPr>
          <w:rFonts w:ascii="Calibri" w:eastAsia="Calibri" w:hAnsi="Calibri" w:cs="Calibri"/>
          <w:noProof/>
          <w:sz w:val="24"/>
          <w:szCs w:val="24"/>
        </w:rPr>
        <w:t xml:space="preserve">Maguffee, A. C., Reilly, R., Clark, R., &amp; Jones, M. L. 2019. Examining the potential of otolith chemistry to determine natal origins of wild Lake Michigan Chinook salmon. Canadian Journal of Fisheries and Aquatic Sciences, </w:t>
      </w:r>
      <w:r w:rsidRPr="00A53C3D">
        <w:rPr>
          <w:rFonts w:ascii="Calibri" w:eastAsia="Calibri" w:hAnsi="Calibri" w:cs="Calibri"/>
          <w:i/>
          <w:iCs/>
          <w:noProof/>
          <w:sz w:val="24"/>
          <w:szCs w:val="24"/>
        </w:rPr>
        <w:t>76</w:t>
      </w:r>
      <w:r w:rsidRPr="00A53C3D">
        <w:rPr>
          <w:rFonts w:ascii="Calibri" w:eastAsia="Calibri" w:hAnsi="Calibri" w:cs="Calibri"/>
          <w:noProof/>
          <w:sz w:val="24"/>
          <w:szCs w:val="24"/>
        </w:rPr>
        <w:t>(11), 2035-2044.</w:t>
      </w:r>
    </w:p>
    <w:p w14:paraId="2B5C3EE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Miyan, K., Khan, M.A., Khan, S., 2014. Stock structure delineation using variation in otolith chemistry of snakehead, </w:t>
      </w:r>
      <w:r w:rsidRPr="00AA122B">
        <w:rPr>
          <w:rFonts w:ascii="Calibri" w:eastAsia="Calibri" w:hAnsi="Calibri" w:cs="Calibri"/>
          <w:i/>
          <w:noProof/>
          <w:sz w:val="24"/>
          <w:szCs w:val="24"/>
          <w:lang w:val="en-US"/>
        </w:rPr>
        <w:t>Channa punctata</w:t>
      </w:r>
      <w:r w:rsidRPr="00AA122B">
        <w:rPr>
          <w:rFonts w:ascii="Calibri" w:eastAsia="Calibri" w:hAnsi="Calibri" w:cs="Calibri"/>
          <w:noProof/>
          <w:sz w:val="24"/>
          <w:szCs w:val="24"/>
          <w:lang w:val="en-US"/>
        </w:rPr>
        <w:t xml:space="preserve"> (Bloch, 1793), from three Indian rivers. J. Appl. Ichthyol. 30, 881‒886.</w:t>
      </w:r>
    </w:p>
    <w:p w14:paraId="0CE560A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Ansari, N.G., 2016a. Truss morphometry and otolith microchemistry reveal stock discrimination in </w:t>
      </w:r>
      <w:r w:rsidRPr="00AA122B">
        <w:rPr>
          <w:rFonts w:ascii="Calibri" w:eastAsia="Calibri" w:hAnsi="Calibri" w:cs="Calibri"/>
          <w:i/>
          <w:noProof/>
          <w:sz w:val="24"/>
          <w:szCs w:val="24"/>
          <w:lang w:val="en-US"/>
        </w:rPr>
        <w:t xml:space="preserve">Clarias batrachus </w:t>
      </w:r>
      <w:r w:rsidRPr="00AA122B">
        <w:rPr>
          <w:rFonts w:ascii="Calibri" w:eastAsia="Calibri" w:hAnsi="Calibri" w:cs="Calibri"/>
          <w:noProof/>
          <w:sz w:val="24"/>
          <w:szCs w:val="24"/>
          <w:lang w:val="en-US"/>
        </w:rPr>
        <w:t>(Linnaeus, 1758) inhabiting the Gangetic river system. Fish. Res. 173, 294‒302.</w:t>
      </w:r>
    </w:p>
    <w:p w14:paraId="56B8FC58"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Prasad, S., 2016b. Otolith fingerprints reveal stock discrimination of </w:t>
      </w:r>
      <w:r w:rsidRPr="00AA122B">
        <w:rPr>
          <w:rFonts w:ascii="Calibri" w:eastAsia="Calibri" w:hAnsi="Calibri" w:cs="Calibri"/>
          <w:i/>
          <w:noProof/>
          <w:sz w:val="24"/>
          <w:szCs w:val="24"/>
          <w:lang w:val="en-US"/>
        </w:rPr>
        <w:t>Sperata seenghala</w:t>
      </w:r>
      <w:r w:rsidRPr="00AA122B">
        <w:rPr>
          <w:rFonts w:ascii="Calibri" w:eastAsia="Calibri" w:hAnsi="Calibri" w:cs="Calibri"/>
          <w:noProof/>
          <w:sz w:val="24"/>
          <w:szCs w:val="24"/>
          <w:lang w:val="en-US"/>
        </w:rPr>
        <w:t xml:space="preserve"> inhabiting the Gangetic river system. Ichthyol. Res. 63, 294‒301.</w:t>
      </w:r>
    </w:p>
    <w:p w14:paraId="7E31DE1F" w14:textId="611AE281" w:rsidR="00155C64" w:rsidRDefault="00155C64" w:rsidP="004753C2">
      <w:pPr>
        <w:spacing w:line="360" w:lineRule="auto"/>
        <w:ind w:left="720" w:hanging="720"/>
        <w:rPr>
          <w:rFonts w:ascii="Calibri" w:eastAsia="Calibri" w:hAnsi="Calibri" w:cs="Calibri"/>
          <w:noProof/>
          <w:sz w:val="24"/>
          <w:szCs w:val="24"/>
          <w:lang w:val="en-US"/>
        </w:rPr>
      </w:pPr>
      <w:r w:rsidRPr="00155C64">
        <w:rPr>
          <w:rFonts w:ascii="Calibri" w:eastAsia="Calibri" w:hAnsi="Calibri" w:cs="Calibri"/>
          <w:noProof/>
          <w:sz w:val="24"/>
          <w:szCs w:val="24"/>
          <w:lang w:val="en-US"/>
        </w:rPr>
        <w:t>Nazir, A., Khan, M.A., 2019. Spatial and temporal variation in otolith chemistry and its relationship with water chemistry: Stock discrimination of Sperata aor. Ecol. Freshw. Fish. 28, 499–511.</w:t>
      </w:r>
    </w:p>
    <w:p w14:paraId="5F7053CA" w14:textId="1D23D71E" w:rsidR="00622959" w:rsidRPr="00EB740A" w:rsidRDefault="00622959" w:rsidP="00EB740A">
      <w:pPr>
        <w:spacing w:line="360" w:lineRule="auto"/>
        <w:ind w:left="709" w:hanging="709"/>
        <w:rPr>
          <w:rFonts w:eastAsia="Times New Roman" w:cstheme="minorHAnsi"/>
        </w:rPr>
      </w:pPr>
      <w:r w:rsidRPr="000571E1">
        <w:rPr>
          <w:rFonts w:cstheme="minorHAnsi"/>
          <w:color w:val="222222"/>
          <w:sz w:val="24"/>
          <w:szCs w:val="24"/>
          <w:shd w:val="clear" w:color="auto" w:fill="FFFFFF"/>
        </w:rPr>
        <w:t>Niku, J., Warton, D.I., Hui, F.K. and Taskinen, S., 2017. Generalized linear latent variable models for multivariate count and biomass data in ecology. </w:t>
      </w:r>
      <w:r w:rsidRPr="00EB740A">
        <w:rPr>
          <w:rFonts w:cstheme="minorHAnsi"/>
          <w:color w:val="222222"/>
          <w:sz w:val="24"/>
          <w:szCs w:val="24"/>
          <w:shd w:val="clear" w:color="auto" w:fill="FFFFFF"/>
        </w:rPr>
        <w:t>Journal of Agricultural, Biological and Environmental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22</w:t>
      </w:r>
      <w:r w:rsidRPr="000571E1">
        <w:rPr>
          <w:rFonts w:cstheme="minorHAnsi"/>
          <w:color w:val="222222"/>
          <w:sz w:val="24"/>
          <w:szCs w:val="24"/>
          <w:shd w:val="clear" w:color="auto" w:fill="FFFFFF"/>
        </w:rPr>
        <w:t>(4), pp.498-522.</w:t>
      </w:r>
    </w:p>
    <w:p w14:paraId="340E5E01" w14:textId="79B20B2C" w:rsidR="002D3BB2" w:rsidRPr="002D3BB2" w:rsidRDefault="002D3BB2" w:rsidP="004753C2">
      <w:pPr>
        <w:spacing w:line="360" w:lineRule="auto"/>
        <w:ind w:left="720" w:hanging="720"/>
        <w:rPr>
          <w:rFonts w:ascii="Calibri" w:eastAsia="Calibri" w:hAnsi="Calibri" w:cs="Calibri"/>
          <w:noProof/>
          <w:sz w:val="24"/>
          <w:szCs w:val="24"/>
          <w:lang w:val="en-US"/>
        </w:rPr>
      </w:pPr>
      <w:r w:rsidRPr="002D3BB2">
        <w:rPr>
          <w:rFonts w:ascii="Calibri" w:eastAsia="Calibri" w:hAnsi="Calibri" w:cs="Calibri"/>
          <w:noProof/>
          <w:sz w:val="24"/>
          <w:szCs w:val="24"/>
          <w:lang w:val="en-US"/>
        </w:rPr>
        <w:t>O</w:t>
      </w:r>
      <w:r>
        <w:rPr>
          <w:rFonts w:ascii="Calibri" w:eastAsia="Calibri" w:hAnsi="Calibri" w:cs="Calibri"/>
          <w:noProof/>
          <w:sz w:val="24"/>
          <w:szCs w:val="24"/>
          <w:lang w:val="en-US"/>
        </w:rPr>
        <w:t>ksanen</w:t>
      </w:r>
      <w:r w:rsidRPr="002D3BB2">
        <w:rPr>
          <w:rFonts w:ascii="Calibri" w:eastAsia="Calibri" w:hAnsi="Calibri" w:cs="Calibri"/>
          <w:noProof/>
          <w:sz w:val="24"/>
          <w:szCs w:val="24"/>
          <w:lang w:val="en-US"/>
        </w:rPr>
        <w:t>, J., B</w:t>
      </w:r>
      <w:r>
        <w:rPr>
          <w:rFonts w:ascii="Calibri" w:eastAsia="Calibri" w:hAnsi="Calibri" w:cs="Calibri"/>
          <w:noProof/>
          <w:sz w:val="24"/>
          <w:szCs w:val="24"/>
          <w:lang w:val="en-US"/>
        </w:rPr>
        <w:t>lanchet</w:t>
      </w:r>
      <w:r w:rsidRPr="002D3BB2">
        <w:rPr>
          <w:rFonts w:ascii="Calibri" w:eastAsia="Calibri" w:hAnsi="Calibri" w:cs="Calibri"/>
          <w:noProof/>
          <w:sz w:val="24"/>
          <w:szCs w:val="24"/>
          <w:lang w:val="en-US"/>
        </w:rPr>
        <w:t>, F. G., F</w:t>
      </w:r>
      <w:r>
        <w:rPr>
          <w:rFonts w:ascii="Calibri" w:eastAsia="Calibri" w:hAnsi="Calibri" w:cs="Calibri"/>
          <w:noProof/>
          <w:sz w:val="24"/>
          <w:szCs w:val="24"/>
          <w:lang w:val="en-US"/>
        </w:rPr>
        <w:t>riendly</w:t>
      </w:r>
      <w:r w:rsidRPr="002D3BB2">
        <w:rPr>
          <w:rFonts w:ascii="Calibri" w:eastAsia="Calibri" w:hAnsi="Calibri" w:cs="Calibri"/>
          <w:noProof/>
          <w:sz w:val="24"/>
          <w:szCs w:val="24"/>
          <w:lang w:val="en-US"/>
        </w:rPr>
        <w:t>, M., K</w:t>
      </w:r>
      <w:r>
        <w:rPr>
          <w:rFonts w:ascii="Calibri" w:eastAsia="Calibri" w:hAnsi="Calibri" w:cs="Calibri"/>
          <w:noProof/>
          <w:sz w:val="24"/>
          <w:szCs w:val="24"/>
          <w:lang w:val="en-US"/>
        </w:rPr>
        <w:t>indt</w:t>
      </w:r>
      <w:r w:rsidRPr="002D3BB2">
        <w:rPr>
          <w:rFonts w:ascii="Calibri" w:eastAsia="Calibri" w:hAnsi="Calibri" w:cs="Calibri"/>
          <w:noProof/>
          <w:sz w:val="24"/>
          <w:szCs w:val="24"/>
          <w:lang w:val="en-US"/>
        </w:rPr>
        <w:t>, R., L</w:t>
      </w:r>
      <w:r>
        <w:rPr>
          <w:rFonts w:ascii="Calibri" w:eastAsia="Calibri" w:hAnsi="Calibri" w:cs="Calibri"/>
          <w:noProof/>
          <w:sz w:val="24"/>
          <w:szCs w:val="24"/>
          <w:lang w:val="en-US"/>
        </w:rPr>
        <w:t>egendre</w:t>
      </w:r>
      <w:r w:rsidRPr="002D3BB2">
        <w:rPr>
          <w:rFonts w:ascii="Calibri" w:eastAsia="Calibri" w:hAnsi="Calibri" w:cs="Calibri"/>
          <w:noProof/>
          <w:sz w:val="24"/>
          <w:szCs w:val="24"/>
          <w:lang w:val="en-US"/>
        </w:rPr>
        <w:t>, P., M</w:t>
      </w:r>
      <w:r>
        <w:rPr>
          <w:rFonts w:ascii="Calibri" w:eastAsia="Calibri" w:hAnsi="Calibri" w:cs="Calibri"/>
          <w:noProof/>
          <w:sz w:val="24"/>
          <w:szCs w:val="24"/>
          <w:lang w:val="en-US"/>
        </w:rPr>
        <w:t>cGlinn</w:t>
      </w:r>
      <w:r w:rsidRPr="002D3BB2">
        <w:rPr>
          <w:rFonts w:ascii="Calibri" w:eastAsia="Calibri" w:hAnsi="Calibri" w:cs="Calibri"/>
          <w:noProof/>
          <w:sz w:val="24"/>
          <w:szCs w:val="24"/>
          <w:lang w:val="en-US"/>
        </w:rPr>
        <w:t>, D., M</w:t>
      </w:r>
      <w:r>
        <w:rPr>
          <w:rFonts w:ascii="Calibri" w:eastAsia="Calibri" w:hAnsi="Calibri" w:cs="Calibri"/>
          <w:noProof/>
          <w:sz w:val="24"/>
          <w:szCs w:val="24"/>
          <w:lang w:val="en-US"/>
        </w:rPr>
        <w:t>inchin</w:t>
      </w:r>
      <w:r w:rsidRPr="002D3BB2">
        <w:rPr>
          <w:rFonts w:ascii="Calibri" w:eastAsia="Calibri" w:hAnsi="Calibri" w:cs="Calibri"/>
          <w:noProof/>
          <w:sz w:val="24"/>
          <w:szCs w:val="24"/>
          <w:lang w:val="en-US"/>
        </w:rPr>
        <w:t>, P. R., O'H</w:t>
      </w:r>
      <w:r>
        <w:rPr>
          <w:rFonts w:ascii="Calibri" w:eastAsia="Calibri" w:hAnsi="Calibri" w:cs="Calibri"/>
          <w:noProof/>
          <w:sz w:val="24"/>
          <w:szCs w:val="24"/>
          <w:lang w:val="en-US"/>
        </w:rPr>
        <w:t>ara</w:t>
      </w:r>
      <w:r w:rsidRPr="002D3BB2">
        <w:rPr>
          <w:rFonts w:ascii="Calibri" w:eastAsia="Calibri" w:hAnsi="Calibri" w:cs="Calibri"/>
          <w:noProof/>
          <w:sz w:val="24"/>
          <w:szCs w:val="24"/>
          <w:lang w:val="en-US"/>
        </w:rPr>
        <w:t>, R. B., S</w:t>
      </w:r>
      <w:r>
        <w:rPr>
          <w:rFonts w:ascii="Calibri" w:eastAsia="Calibri" w:hAnsi="Calibri" w:cs="Calibri"/>
          <w:noProof/>
          <w:sz w:val="24"/>
          <w:szCs w:val="24"/>
          <w:lang w:val="en-US"/>
        </w:rPr>
        <w:t>impson</w:t>
      </w:r>
      <w:r w:rsidRPr="002D3BB2">
        <w:rPr>
          <w:rFonts w:ascii="Calibri" w:eastAsia="Calibri" w:hAnsi="Calibri" w:cs="Calibri"/>
          <w:noProof/>
          <w:sz w:val="24"/>
          <w:szCs w:val="24"/>
          <w:lang w:val="en-US"/>
        </w:rPr>
        <w:t>, G. L., S</w:t>
      </w:r>
      <w:r>
        <w:rPr>
          <w:rFonts w:ascii="Calibri" w:eastAsia="Calibri" w:hAnsi="Calibri" w:cs="Calibri"/>
          <w:noProof/>
          <w:sz w:val="24"/>
          <w:szCs w:val="24"/>
          <w:lang w:val="en-US"/>
        </w:rPr>
        <w:t>olymos</w:t>
      </w:r>
      <w:r w:rsidRPr="002D3BB2">
        <w:rPr>
          <w:rFonts w:ascii="Calibri" w:eastAsia="Calibri" w:hAnsi="Calibri" w:cs="Calibri"/>
          <w:noProof/>
          <w:sz w:val="24"/>
          <w:szCs w:val="24"/>
          <w:lang w:val="en-US"/>
        </w:rPr>
        <w:t>, P., S</w:t>
      </w:r>
      <w:r>
        <w:rPr>
          <w:rFonts w:ascii="Calibri" w:eastAsia="Calibri" w:hAnsi="Calibri" w:cs="Calibri"/>
          <w:noProof/>
          <w:sz w:val="24"/>
          <w:szCs w:val="24"/>
          <w:lang w:val="en-US"/>
        </w:rPr>
        <w:t>tevens</w:t>
      </w:r>
      <w:r w:rsidRPr="002D3BB2">
        <w:rPr>
          <w:rFonts w:ascii="Calibri" w:eastAsia="Calibri" w:hAnsi="Calibri" w:cs="Calibri"/>
          <w:noProof/>
          <w:sz w:val="24"/>
          <w:szCs w:val="24"/>
          <w:lang w:val="en-US"/>
        </w:rPr>
        <w:t>, M. H. H., S</w:t>
      </w:r>
      <w:r>
        <w:rPr>
          <w:rFonts w:ascii="Calibri" w:eastAsia="Calibri" w:hAnsi="Calibri" w:cs="Calibri"/>
          <w:noProof/>
          <w:sz w:val="24"/>
          <w:szCs w:val="24"/>
          <w:lang w:val="en-US"/>
        </w:rPr>
        <w:t>zoecs</w:t>
      </w:r>
      <w:r w:rsidRPr="002D3BB2">
        <w:rPr>
          <w:rFonts w:ascii="Calibri" w:eastAsia="Calibri" w:hAnsi="Calibri" w:cs="Calibri"/>
          <w:noProof/>
          <w:sz w:val="24"/>
          <w:szCs w:val="24"/>
          <w:lang w:val="en-US"/>
        </w:rPr>
        <w:t>, E. &amp; W</w:t>
      </w:r>
      <w:r>
        <w:rPr>
          <w:rFonts w:ascii="Calibri" w:eastAsia="Calibri" w:hAnsi="Calibri" w:cs="Calibri"/>
          <w:noProof/>
          <w:sz w:val="24"/>
          <w:szCs w:val="24"/>
          <w:lang w:val="en-US"/>
        </w:rPr>
        <w:t>agner</w:t>
      </w:r>
      <w:r w:rsidRPr="002D3BB2">
        <w:rPr>
          <w:rFonts w:ascii="Calibri" w:eastAsia="Calibri" w:hAnsi="Calibri" w:cs="Calibri"/>
          <w:noProof/>
          <w:sz w:val="24"/>
          <w:szCs w:val="24"/>
          <w:lang w:val="en-US"/>
        </w:rPr>
        <w:t>, H. 2019. vegan: Community Ecology Package.</w:t>
      </w:r>
      <w:r>
        <w:rPr>
          <w:rFonts w:ascii="Calibri" w:eastAsia="Calibri" w:hAnsi="Calibri" w:cs="Calibri"/>
          <w:noProof/>
          <w:sz w:val="24"/>
          <w:szCs w:val="24"/>
          <w:lang w:val="en-US"/>
        </w:rPr>
        <w:t xml:space="preserve"> R package version 2.5-5.</w:t>
      </w:r>
    </w:p>
    <w:p w14:paraId="7FB3C72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Phen, C., T. Thang, E. Baran, L. Vann. 2004. Biological Reviews of Important Cambodian Fish Species, Based on Fishbase. Penang, Malaysia: WorldFish Center.</w:t>
      </w:r>
    </w:p>
    <w:p w14:paraId="2EED5B4C"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Popovic, G. C., D. I. Warton, F. J. Thomson, F. K. C. Hui, and A. T. Moles. 2019. Untangling direct species associations from indirect mediator species effects with graphical models. Methods in Ecology and Evolution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:1571-1583.</w:t>
      </w:r>
    </w:p>
    <w:p w14:paraId="62D44AF3"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 Core Team. 2019. R: A language and environment for statistical computing. R Foundation for Statistical Computing, Vienna, Austria.</w:t>
      </w:r>
    </w:p>
    <w:p w14:paraId="054C2C0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Rahman, M.A., Awal, S., 2016. Development of Captive Breeding, Seed Production and Culture Techniques of Snakehead Fish for Species Conservation and Sustainable Aquaculture. Int. J. Adv. Agric. Environ. Eng. 3, 117-120.</w:t>
      </w:r>
    </w:p>
    <w:p w14:paraId="44DF4DCA"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Schilling, H. T., P. Reis-Santos, J. M. Hughes, J. A. Smith, J. D. Everett, J. Stewart, B. M. Gillanders, and I. M. Suthers. 2018. Evaluating estuarine nursery use and life history patterns of </w:t>
      </w:r>
      <w:r w:rsidRPr="00AA122B">
        <w:rPr>
          <w:rFonts w:ascii="Calibri" w:eastAsia="Calibri" w:hAnsi="Calibri" w:cs="Calibri"/>
          <w:i/>
          <w:noProof/>
          <w:sz w:val="24"/>
          <w:szCs w:val="24"/>
          <w:lang w:val="en-US"/>
        </w:rPr>
        <w:t>Pomatomus saltatrix</w:t>
      </w:r>
      <w:r w:rsidRPr="00AA122B">
        <w:rPr>
          <w:rFonts w:ascii="Calibri" w:eastAsia="Calibri" w:hAnsi="Calibri" w:cs="Calibri"/>
          <w:noProof/>
          <w:sz w:val="24"/>
          <w:szCs w:val="24"/>
          <w:lang w:val="en-US"/>
        </w:rPr>
        <w:t xml:space="preserve"> in eastern Australia. Marine Ecology Progress Series </w:t>
      </w:r>
      <w:r w:rsidRPr="00AA122B">
        <w:rPr>
          <w:rFonts w:ascii="Calibri" w:eastAsia="Calibri" w:hAnsi="Calibri" w:cs="Calibri"/>
          <w:b/>
          <w:noProof/>
          <w:sz w:val="24"/>
          <w:szCs w:val="24"/>
          <w:lang w:val="en-US"/>
        </w:rPr>
        <w:t>598</w:t>
      </w:r>
      <w:r w:rsidRPr="00AA122B">
        <w:rPr>
          <w:rFonts w:ascii="Calibri" w:eastAsia="Calibri" w:hAnsi="Calibri" w:cs="Calibri"/>
          <w:noProof/>
          <w:sz w:val="24"/>
          <w:szCs w:val="24"/>
          <w:lang w:val="en-US"/>
        </w:rPr>
        <w:t>:187-199.</w:t>
      </w:r>
    </w:p>
    <w:p w14:paraId="45B82A34"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Sengupta, B., 2006. Water quality status of Yamuna River (1999–2005). Assessment and Development of River Basin Series: ADSORBS/41/2006-07. CPCB Ministry of Environment and Forests, Delhi. 136 pp.</w:t>
      </w:r>
    </w:p>
    <w:p w14:paraId="4537F557"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Stransky, C., 2005. Geographic variation of golden redfish (Sebastes marinus) and  deep-sea redfish (S. mentella) in the North Atlantic based on otolith shape analysis.  ICES J. Mar. Sci. 62, 1691–1698.</w:t>
      </w:r>
    </w:p>
    <w:p w14:paraId="0ECBEC64" w14:textId="69222F4F"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Talwar, P. K., Jhingran, A.G., 1991. Insland Fishes of India and Adjacent Countries. Vol. 1-2. Oxford and IBH Publishing Co. Pvt. Ltd., New Delhi, Calcutta, India.</w:t>
      </w:r>
    </w:p>
    <w:p w14:paraId="5F7DEACD" w14:textId="3D1AA80D" w:rsidR="00F45D88" w:rsidRDefault="00F45D88" w:rsidP="004753C2">
      <w:pPr>
        <w:spacing w:line="360" w:lineRule="auto"/>
        <w:ind w:left="720" w:hanging="720"/>
        <w:rPr>
          <w:rFonts w:ascii="Calibri" w:eastAsia="Calibri" w:hAnsi="Calibri" w:cs="Calibri"/>
          <w:noProof/>
          <w:sz w:val="24"/>
          <w:szCs w:val="24"/>
          <w:lang w:val="en-US"/>
        </w:rPr>
      </w:pPr>
      <w:r w:rsidRPr="00F45D88">
        <w:rPr>
          <w:rFonts w:ascii="Calibri" w:eastAsia="Calibri" w:hAnsi="Calibri" w:cs="Calibri"/>
          <w:noProof/>
          <w:sz w:val="24"/>
          <w:szCs w:val="24"/>
        </w:rPr>
        <w:t>Tanner, S. E., Vasconcelos, R. P., Cabral, H. N., &amp; Thorrold, S. R. (2012). Testing an otolith geochemistry approach to determine population structure and movements of European hake in the northeast Atlantic Ocean and Mediterranean Sea. </w:t>
      </w:r>
      <w:r w:rsidRPr="00F45D88">
        <w:rPr>
          <w:rFonts w:ascii="Calibri" w:eastAsia="Calibri" w:hAnsi="Calibri" w:cs="Calibri"/>
          <w:i/>
          <w:iCs/>
          <w:noProof/>
          <w:sz w:val="24"/>
          <w:szCs w:val="24"/>
        </w:rPr>
        <w:t>Fisheries Research</w:t>
      </w:r>
      <w:r w:rsidRPr="00F45D88">
        <w:rPr>
          <w:rFonts w:ascii="Calibri" w:eastAsia="Calibri" w:hAnsi="Calibri" w:cs="Calibri"/>
          <w:noProof/>
          <w:sz w:val="24"/>
          <w:szCs w:val="24"/>
        </w:rPr>
        <w:t>, </w:t>
      </w:r>
      <w:r w:rsidRPr="00F45D88">
        <w:rPr>
          <w:rFonts w:ascii="Calibri" w:eastAsia="Calibri" w:hAnsi="Calibri" w:cs="Calibri"/>
          <w:i/>
          <w:iCs/>
          <w:noProof/>
          <w:sz w:val="24"/>
          <w:szCs w:val="24"/>
        </w:rPr>
        <w:t>125</w:t>
      </w:r>
      <w:r w:rsidRPr="00F45D88">
        <w:rPr>
          <w:rFonts w:ascii="Calibri" w:eastAsia="Calibri" w:hAnsi="Calibri" w:cs="Calibri"/>
          <w:noProof/>
          <w:sz w:val="24"/>
          <w:szCs w:val="24"/>
        </w:rPr>
        <w:t>, 198-205.</w:t>
      </w:r>
    </w:p>
    <w:p w14:paraId="7DA98EE8" w14:textId="278B61FA" w:rsidR="00622959" w:rsidRPr="00EB740A" w:rsidRDefault="00622959" w:rsidP="00EB740A">
      <w:pPr>
        <w:spacing w:line="360" w:lineRule="auto"/>
        <w:rPr>
          <w:rFonts w:eastAsia="Times New Roman" w:cstheme="minorHAnsi"/>
        </w:rPr>
      </w:pPr>
      <w:r w:rsidRPr="000571E1">
        <w:rPr>
          <w:rFonts w:cstheme="minorHAnsi"/>
          <w:color w:val="222222"/>
          <w:sz w:val="24"/>
          <w:szCs w:val="24"/>
          <w:shd w:val="clear" w:color="auto" w:fill="FFFFFF"/>
        </w:rPr>
        <w:t>Taylor, L. R. (1961). Aggregation, variance and the mean. </w:t>
      </w:r>
      <w:r w:rsidRPr="000571E1">
        <w:rPr>
          <w:rFonts w:cstheme="minorHAnsi"/>
          <w:i/>
          <w:iCs/>
          <w:color w:val="222222"/>
          <w:sz w:val="24"/>
          <w:szCs w:val="24"/>
          <w:shd w:val="clear" w:color="auto" w:fill="FFFFFF"/>
        </w:rPr>
        <w:t>Nature</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189</w:t>
      </w:r>
      <w:r w:rsidRPr="000571E1">
        <w:rPr>
          <w:rFonts w:cstheme="minorHAnsi"/>
          <w:color w:val="222222"/>
          <w:sz w:val="24"/>
          <w:szCs w:val="24"/>
          <w:shd w:val="clear" w:color="auto" w:fill="FFFFFF"/>
        </w:rPr>
        <w:t>(4766), 732-735.</w:t>
      </w:r>
    </w:p>
    <w:p w14:paraId="08AE7AE5" w14:textId="1A1010C8" w:rsidR="00CA6F42" w:rsidRPr="00AA122B" w:rsidRDefault="00CA6F42" w:rsidP="004753C2">
      <w:pPr>
        <w:spacing w:line="360" w:lineRule="auto"/>
        <w:ind w:left="720" w:hanging="720"/>
        <w:rPr>
          <w:rFonts w:ascii="Calibri" w:eastAsia="Calibri" w:hAnsi="Calibri" w:cs="Calibri"/>
          <w:noProof/>
          <w:sz w:val="24"/>
          <w:szCs w:val="24"/>
          <w:lang w:val="en-US"/>
        </w:rPr>
      </w:pPr>
      <w:r w:rsidRPr="00CA6F42">
        <w:rPr>
          <w:rFonts w:ascii="Calibri" w:eastAsia="Calibri" w:hAnsi="Calibri" w:cs="Calibri"/>
          <w:noProof/>
          <w:sz w:val="24"/>
          <w:szCs w:val="24"/>
        </w:rPr>
        <w:t>Tracey, S. R., Lyle, J. M., &amp; Duhamel, G. 2006. Application of elliptical Fourier analysis of otolith form as a tool for stock identification. </w:t>
      </w:r>
      <w:r w:rsidRPr="00CA6F42">
        <w:rPr>
          <w:rFonts w:ascii="Calibri" w:eastAsia="Calibri" w:hAnsi="Calibri" w:cs="Calibri"/>
          <w:i/>
          <w:iCs/>
          <w:noProof/>
          <w:sz w:val="24"/>
          <w:szCs w:val="24"/>
        </w:rPr>
        <w:t>Fisheries Research</w:t>
      </w:r>
      <w:r w:rsidRPr="00CA6F42">
        <w:rPr>
          <w:rFonts w:ascii="Calibri" w:eastAsia="Calibri" w:hAnsi="Calibri" w:cs="Calibri"/>
          <w:noProof/>
          <w:sz w:val="24"/>
          <w:szCs w:val="24"/>
        </w:rPr>
        <w:t>, </w:t>
      </w:r>
      <w:r w:rsidRPr="00CA6F42">
        <w:rPr>
          <w:rFonts w:ascii="Calibri" w:eastAsia="Calibri" w:hAnsi="Calibri" w:cs="Calibri"/>
          <w:i/>
          <w:iCs/>
          <w:noProof/>
          <w:sz w:val="24"/>
          <w:szCs w:val="24"/>
        </w:rPr>
        <w:t>77</w:t>
      </w:r>
      <w:r w:rsidRPr="00CA6F42">
        <w:rPr>
          <w:rFonts w:ascii="Calibri" w:eastAsia="Calibri" w:hAnsi="Calibri" w:cs="Calibri"/>
          <w:noProof/>
          <w:sz w:val="24"/>
          <w:szCs w:val="24"/>
        </w:rPr>
        <w:t>(2), 138-147.</w:t>
      </w:r>
    </w:p>
    <w:p w14:paraId="40386D6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Turan, C., 2006. The use of otolith shape and chemistry to determine stock structure of Mediterranean horse mackerel </w:t>
      </w:r>
      <w:r w:rsidRPr="00CD6D75">
        <w:rPr>
          <w:rFonts w:ascii="Calibri" w:eastAsia="Calibri" w:hAnsi="Calibri" w:cs="Calibri"/>
          <w:i/>
          <w:iCs/>
          <w:noProof/>
          <w:sz w:val="24"/>
          <w:szCs w:val="24"/>
          <w:lang w:val="en-US"/>
        </w:rPr>
        <w:t>Trachurus mediterraneus</w:t>
      </w:r>
      <w:r w:rsidRPr="00AA122B">
        <w:rPr>
          <w:rFonts w:ascii="Calibri" w:eastAsia="Calibri" w:hAnsi="Calibri" w:cs="Calibri"/>
          <w:noProof/>
          <w:sz w:val="24"/>
          <w:szCs w:val="24"/>
          <w:lang w:val="en-US"/>
        </w:rPr>
        <w:t xml:space="preserve"> (Steindachner). J. Fish. Biol. 69(Suppl. C), 165-180.</w:t>
      </w:r>
    </w:p>
    <w:p w14:paraId="4FC8ECCB" w14:textId="5BA96696"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Turner, S. M., Manderson, J. P., Richardson, D. E., Hoey, J. J., and Hare, J. A. 2015. Using habitat association models to predict Alewife and Blueback Herring marine distributions and overlap with Atlantic Herring and Atlantic Mackerel: can incidental catches be avoided? ICES J. Mar. Sci. 73, 1912–1924. doi: 10.1093/icesjms/fsv166</w:t>
      </w:r>
    </w:p>
    <w:p w14:paraId="73E2A158" w14:textId="1BD7D4A7" w:rsidR="00794B37" w:rsidRDefault="00794B37" w:rsidP="00794B37">
      <w:pPr>
        <w:spacing w:line="360" w:lineRule="auto"/>
        <w:ind w:left="720" w:hanging="720"/>
        <w:rPr>
          <w:rFonts w:ascii="Calibri" w:eastAsia="Calibri" w:hAnsi="Calibri" w:cs="Calibri"/>
          <w:noProof/>
          <w:sz w:val="24"/>
          <w:szCs w:val="24"/>
        </w:rPr>
      </w:pPr>
      <w:r w:rsidRPr="00794B37">
        <w:rPr>
          <w:rFonts w:ascii="Calibri" w:eastAsia="Calibri" w:hAnsi="Calibri" w:cs="Calibri"/>
          <w:noProof/>
          <w:sz w:val="24"/>
          <w:szCs w:val="24"/>
        </w:rPr>
        <w:t>Venables, W. N. &amp; Ripley, B. D. (2002) Modern Applied Statistics with S. Fourth Edition. Springer, New York.  ISBN 0-387-95457-0</w:t>
      </w:r>
    </w:p>
    <w:p w14:paraId="7652F286" w14:textId="0B4BBEC7" w:rsidR="001C7117" w:rsidRPr="001C7117" w:rsidRDefault="001C7117" w:rsidP="004753C2">
      <w:pPr>
        <w:spacing w:line="360" w:lineRule="auto"/>
        <w:ind w:left="720" w:hanging="720"/>
        <w:rPr>
          <w:rFonts w:ascii="Calibri" w:eastAsia="Calibri" w:hAnsi="Calibri" w:cs="Calibri"/>
          <w:noProof/>
          <w:sz w:val="24"/>
          <w:szCs w:val="24"/>
          <w:lang w:val="en-US"/>
        </w:rPr>
      </w:pPr>
      <w:r w:rsidRPr="001C7117">
        <w:rPr>
          <w:rFonts w:ascii="Calibri" w:eastAsia="Calibri" w:hAnsi="Calibri" w:cs="Calibri"/>
          <w:noProof/>
          <w:sz w:val="24"/>
          <w:szCs w:val="24"/>
        </w:rPr>
        <w:lastRenderedPageBreak/>
        <w:t>Vignon M, Morat F (2010) Environmental and genetic determinant of otolith shape revealed by a non-indigenous tropical fish. Mar Ecol Prog Ser 411:231-241. </w:t>
      </w:r>
      <w:hyperlink r:id="rId10" w:history="1">
        <w:r w:rsidRPr="001C7117">
          <w:rPr>
            <w:rStyle w:val="Hyperlink"/>
            <w:rFonts w:ascii="Calibri" w:eastAsia="Calibri" w:hAnsi="Calibri" w:cs="Calibri"/>
            <w:noProof/>
            <w:sz w:val="24"/>
            <w:szCs w:val="24"/>
          </w:rPr>
          <w:t>https://doi.org/10.3354/meps08651</w:t>
        </w:r>
      </w:hyperlink>
    </w:p>
    <w:p w14:paraId="6A30F751"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Wang, Y., U. Naumann, S. T. Wright, and D. I. Warton. 2012. mvabund– an R package for model-based analysis of multivariate abundance data.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:471-474.</w:t>
      </w:r>
    </w:p>
    <w:p w14:paraId="738CDAE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War, M., K. Altaff, M. Haniffa. 2011. Growth and survival of larval snakehead Channa striates (Bloch, 1793) fed different live feed organisms. Turkish Journal of Fisheries and Aquatic Sciences, 11: 523-528.</w:t>
      </w:r>
    </w:p>
    <w:p w14:paraId="7DB5DE9F"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2008. Raw data graphing: an informative but under-utilized tool for the analysis of multivariate abundances. Austral Ecology </w:t>
      </w:r>
      <w:r w:rsidRPr="00AA122B">
        <w:rPr>
          <w:rFonts w:ascii="Calibri" w:eastAsia="Calibri" w:hAnsi="Calibri" w:cs="Calibri"/>
          <w:b/>
          <w:noProof/>
          <w:sz w:val="24"/>
          <w:szCs w:val="24"/>
          <w:lang w:val="en-US"/>
        </w:rPr>
        <w:t>33</w:t>
      </w:r>
      <w:r w:rsidRPr="00AA122B">
        <w:rPr>
          <w:rFonts w:ascii="Calibri" w:eastAsia="Calibri" w:hAnsi="Calibri" w:cs="Calibri"/>
          <w:noProof/>
          <w:sz w:val="24"/>
          <w:szCs w:val="24"/>
          <w:lang w:val="en-US"/>
        </w:rPr>
        <w:t>: 290-300.</w:t>
      </w:r>
    </w:p>
    <w:p w14:paraId="452A87C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D. Foster, G. De’ath, J. Stoklosa, and P. K. Dunstan. 2015. Model-based thinking for community ecology. Plant Ecology </w:t>
      </w:r>
      <w:r w:rsidRPr="00AA122B">
        <w:rPr>
          <w:rFonts w:ascii="Calibri" w:eastAsia="Calibri" w:hAnsi="Calibri" w:cs="Calibri"/>
          <w:b/>
          <w:noProof/>
          <w:sz w:val="24"/>
          <w:szCs w:val="24"/>
          <w:lang w:val="en-US"/>
        </w:rPr>
        <w:t>216</w:t>
      </w:r>
      <w:r w:rsidRPr="00AA122B">
        <w:rPr>
          <w:rFonts w:ascii="Calibri" w:eastAsia="Calibri" w:hAnsi="Calibri" w:cs="Calibri"/>
          <w:noProof/>
          <w:sz w:val="24"/>
          <w:szCs w:val="24"/>
          <w:lang w:val="en-US"/>
        </w:rPr>
        <w:t>:669-682.</w:t>
      </w:r>
    </w:p>
    <w:p w14:paraId="0BA6B2AF" w14:textId="64BCEB62"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T. Wright, and Y. Wang. 2012. Distance-based multivariate analyses confound location and dispersion effects.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:89-101.</w:t>
      </w:r>
    </w:p>
    <w:p w14:paraId="3E9EF4CE" w14:textId="27F626D0" w:rsidR="00AF769D" w:rsidRPr="00AA122B" w:rsidRDefault="00AF769D" w:rsidP="004753C2">
      <w:pPr>
        <w:spacing w:line="360" w:lineRule="auto"/>
        <w:ind w:left="720" w:hanging="720"/>
        <w:rPr>
          <w:rFonts w:ascii="Calibri" w:eastAsia="Calibri" w:hAnsi="Calibri" w:cs="Calibri"/>
          <w:noProof/>
          <w:sz w:val="24"/>
          <w:szCs w:val="24"/>
          <w:lang w:val="en-US"/>
        </w:rPr>
      </w:pPr>
      <w:r w:rsidRPr="00AF769D">
        <w:rPr>
          <w:rFonts w:ascii="Calibri" w:eastAsia="Calibri" w:hAnsi="Calibri" w:cs="Calibri"/>
          <w:noProof/>
          <w:sz w:val="24"/>
          <w:szCs w:val="24"/>
          <w:lang w:val="en-US"/>
        </w:rPr>
        <w:t>Warton, D. I. (2018). Why you cannot transform your way out of trouble for small counts. Biometrics, 74(1), 362-368.</w:t>
      </w:r>
    </w:p>
    <w:p w14:paraId="075D6E02" w14:textId="77777777" w:rsidR="0092400B" w:rsidRDefault="0092400B" w:rsidP="004753C2">
      <w:pPr>
        <w:spacing w:line="360" w:lineRule="auto"/>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Univariate GLM results for the otolith chemistry analysis. For each element, the Likelihood Ratio test statistic (LR; 2 dp) and</w:t>
      </w:r>
      <w:r w:rsidR="00F7039E">
        <w:rPr>
          <w:sz w:val="24"/>
          <w:szCs w:val="24"/>
        </w:rPr>
        <w:t xml:space="preserve"> </w:t>
      </w:r>
      <w:r w:rsidRPr="00AA122B">
        <w:rPr>
          <w:i/>
          <w:iCs/>
          <w:sz w:val="24"/>
          <w:szCs w:val="24"/>
        </w:rPr>
        <w:t>P</w:t>
      </w:r>
      <w:r w:rsidRPr="00AA122B">
        <w:rPr>
          <w:sz w:val="24"/>
          <w:szCs w:val="24"/>
        </w:rPr>
        <w:t>-value (3 dp) are shown as well as the % contribution to the multivariate differences (2 dp).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EB740A">
        <w:tc>
          <w:tcPr>
            <w:tcW w:w="1803" w:type="dxa"/>
            <w:tcBorders>
              <w:top w:val="single" w:sz="4" w:space="0" w:color="auto"/>
            </w:tcBorders>
          </w:tcPr>
          <w:p w14:paraId="7827ACFD" w14:textId="7AC5832B" w:rsidR="00820D2A" w:rsidRPr="00820D2A" w:rsidRDefault="00820D2A" w:rsidP="00820D2A">
            <w:pPr>
              <w:spacing w:line="360" w:lineRule="auto"/>
              <w:rPr>
                <w:sz w:val="24"/>
                <w:szCs w:val="24"/>
              </w:rPr>
            </w:pPr>
            <w:r w:rsidRPr="00EB740A">
              <w:rPr>
                <w:sz w:val="24"/>
                <w:szCs w:val="24"/>
              </w:rPr>
              <w:t>Na</w:t>
            </w:r>
          </w:p>
        </w:tc>
        <w:tc>
          <w:tcPr>
            <w:tcW w:w="1919" w:type="dxa"/>
            <w:tcBorders>
              <w:top w:val="single" w:sz="4" w:space="0" w:color="auto"/>
            </w:tcBorders>
            <w:vAlign w:val="bottom"/>
          </w:tcPr>
          <w:p w14:paraId="25245315" w14:textId="06460D53" w:rsidR="00820D2A" w:rsidRPr="00820D2A" w:rsidRDefault="00820D2A" w:rsidP="00820D2A">
            <w:pPr>
              <w:spacing w:line="360" w:lineRule="auto"/>
              <w:rPr>
                <w:sz w:val="24"/>
                <w:szCs w:val="24"/>
              </w:rPr>
            </w:pPr>
            <w:r w:rsidRPr="00EB740A">
              <w:rPr>
                <w:rFonts w:ascii="Calibri" w:hAnsi="Calibri" w:cs="Calibri"/>
                <w:color w:val="000000"/>
                <w:sz w:val="24"/>
                <w:szCs w:val="24"/>
              </w:rPr>
              <w:t>296.57</w:t>
            </w:r>
          </w:p>
        </w:tc>
        <w:tc>
          <w:tcPr>
            <w:tcW w:w="1803" w:type="dxa"/>
            <w:tcBorders>
              <w:top w:val="single" w:sz="4" w:space="0" w:color="auto"/>
            </w:tcBorders>
          </w:tcPr>
          <w:p w14:paraId="7D941921" w14:textId="4879D0A4" w:rsidR="00820D2A" w:rsidRPr="00820D2A" w:rsidRDefault="00820D2A" w:rsidP="00820D2A">
            <w:pPr>
              <w:spacing w:line="360" w:lineRule="auto"/>
              <w:rPr>
                <w:sz w:val="24"/>
                <w:szCs w:val="24"/>
              </w:rPr>
            </w:pPr>
            <w:r w:rsidRPr="00EB740A">
              <w:rPr>
                <w:sz w:val="24"/>
                <w:szCs w:val="24"/>
              </w:rPr>
              <w:t>&lt;0.001</w:t>
            </w:r>
          </w:p>
        </w:tc>
        <w:tc>
          <w:tcPr>
            <w:tcW w:w="1934" w:type="dxa"/>
            <w:tcBorders>
              <w:top w:val="single" w:sz="4" w:space="0" w:color="auto"/>
            </w:tcBorders>
          </w:tcPr>
          <w:p w14:paraId="3594F249" w14:textId="0445F2DB" w:rsidR="00820D2A" w:rsidRPr="00820D2A" w:rsidRDefault="00820D2A" w:rsidP="00820D2A">
            <w:pPr>
              <w:spacing w:line="360" w:lineRule="auto"/>
              <w:rPr>
                <w:sz w:val="24"/>
                <w:szCs w:val="24"/>
              </w:rPr>
            </w:pPr>
            <w:r w:rsidRPr="00EB740A">
              <w:rPr>
                <w:sz w:val="24"/>
                <w:szCs w:val="24"/>
              </w:rPr>
              <w:t>25.84</w:t>
            </w:r>
          </w:p>
        </w:tc>
      </w:tr>
      <w:tr w:rsidR="00820D2A" w:rsidRPr="00AA122B" w14:paraId="221020F0" w14:textId="77777777" w:rsidTr="00EB740A">
        <w:tc>
          <w:tcPr>
            <w:tcW w:w="1803" w:type="dxa"/>
          </w:tcPr>
          <w:p w14:paraId="11F7F7DB" w14:textId="0A8275C8" w:rsidR="00820D2A" w:rsidRPr="00820D2A" w:rsidRDefault="00820D2A" w:rsidP="00820D2A">
            <w:pPr>
              <w:spacing w:line="360" w:lineRule="auto"/>
              <w:rPr>
                <w:sz w:val="24"/>
                <w:szCs w:val="24"/>
              </w:rPr>
            </w:pPr>
            <w:r w:rsidRPr="00EB740A">
              <w:rPr>
                <w:sz w:val="24"/>
                <w:szCs w:val="24"/>
              </w:rPr>
              <w:t>Sr</w:t>
            </w:r>
          </w:p>
        </w:tc>
        <w:tc>
          <w:tcPr>
            <w:tcW w:w="1919" w:type="dxa"/>
            <w:vAlign w:val="bottom"/>
          </w:tcPr>
          <w:p w14:paraId="70EC3EFC" w14:textId="49ED324D" w:rsidR="00820D2A" w:rsidRPr="00820D2A" w:rsidRDefault="00820D2A" w:rsidP="00820D2A">
            <w:pPr>
              <w:spacing w:line="360" w:lineRule="auto"/>
              <w:rPr>
                <w:sz w:val="24"/>
                <w:szCs w:val="24"/>
              </w:rPr>
            </w:pPr>
            <w:r w:rsidRPr="00EB740A">
              <w:rPr>
                <w:rFonts w:ascii="Calibri" w:hAnsi="Calibri" w:cs="Calibri"/>
                <w:color w:val="000000"/>
                <w:sz w:val="24"/>
                <w:szCs w:val="24"/>
              </w:rPr>
              <w:t>216.61</w:t>
            </w:r>
          </w:p>
        </w:tc>
        <w:tc>
          <w:tcPr>
            <w:tcW w:w="1803" w:type="dxa"/>
          </w:tcPr>
          <w:p w14:paraId="32392CC1" w14:textId="2BAF9A1A" w:rsidR="00820D2A" w:rsidRPr="00820D2A" w:rsidRDefault="00820D2A" w:rsidP="00820D2A">
            <w:pPr>
              <w:spacing w:line="360" w:lineRule="auto"/>
              <w:rPr>
                <w:sz w:val="24"/>
                <w:szCs w:val="24"/>
              </w:rPr>
            </w:pPr>
            <w:r w:rsidRPr="00EB740A">
              <w:rPr>
                <w:sz w:val="24"/>
                <w:szCs w:val="24"/>
              </w:rPr>
              <w:t>&lt;0.001</w:t>
            </w:r>
          </w:p>
        </w:tc>
        <w:tc>
          <w:tcPr>
            <w:tcW w:w="1934" w:type="dxa"/>
          </w:tcPr>
          <w:p w14:paraId="5676AE78" w14:textId="0AB7A107" w:rsidR="00820D2A" w:rsidRPr="00820D2A" w:rsidRDefault="00820D2A" w:rsidP="00820D2A">
            <w:pPr>
              <w:spacing w:line="360" w:lineRule="auto"/>
              <w:rPr>
                <w:sz w:val="24"/>
                <w:szCs w:val="24"/>
              </w:rPr>
            </w:pPr>
            <w:r w:rsidRPr="00EB740A">
              <w:rPr>
                <w:sz w:val="24"/>
                <w:szCs w:val="24"/>
              </w:rPr>
              <w:t>18.87</w:t>
            </w:r>
          </w:p>
        </w:tc>
      </w:tr>
      <w:tr w:rsidR="00820D2A" w:rsidRPr="00AA122B" w14:paraId="4DB310EA" w14:textId="77777777" w:rsidTr="00EB740A">
        <w:tc>
          <w:tcPr>
            <w:tcW w:w="1803" w:type="dxa"/>
          </w:tcPr>
          <w:p w14:paraId="5FCC6DE1" w14:textId="41A94B41" w:rsidR="00820D2A" w:rsidRPr="00820D2A" w:rsidRDefault="00820D2A" w:rsidP="00820D2A">
            <w:pPr>
              <w:spacing w:line="360" w:lineRule="auto"/>
              <w:rPr>
                <w:sz w:val="24"/>
                <w:szCs w:val="24"/>
              </w:rPr>
            </w:pPr>
            <w:r w:rsidRPr="00EB740A">
              <w:rPr>
                <w:sz w:val="24"/>
                <w:szCs w:val="24"/>
              </w:rPr>
              <w:t>Mg</w:t>
            </w:r>
          </w:p>
        </w:tc>
        <w:tc>
          <w:tcPr>
            <w:tcW w:w="1919" w:type="dxa"/>
            <w:vAlign w:val="bottom"/>
          </w:tcPr>
          <w:p w14:paraId="40A030A6" w14:textId="16B8E1EB" w:rsidR="00820D2A" w:rsidRPr="00820D2A" w:rsidRDefault="00820D2A" w:rsidP="00820D2A">
            <w:pPr>
              <w:spacing w:line="360" w:lineRule="auto"/>
              <w:rPr>
                <w:sz w:val="24"/>
                <w:szCs w:val="24"/>
              </w:rPr>
            </w:pPr>
            <w:r w:rsidRPr="00EB740A">
              <w:rPr>
                <w:rFonts w:ascii="Calibri" w:hAnsi="Calibri" w:cs="Calibri"/>
                <w:color w:val="000000"/>
                <w:sz w:val="24"/>
                <w:szCs w:val="24"/>
              </w:rPr>
              <w:t>113.60</w:t>
            </w:r>
          </w:p>
        </w:tc>
        <w:tc>
          <w:tcPr>
            <w:tcW w:w="1803" w:type="dxa"/>
          </w:tcPr>
          <w:p w14:paraId="5C7716F6" w14:textId="4DBFBE06" w:rsidR="00820D2A" w:rsidRPr="00820D2A" w:rsidRDefault="00820D2A" w:rsidP="00820D2A">
            <w:pPr>
              <w:spacing w:line="360" w:lineRule="auto"/>
              <w:rPr>
                <w:sz w:val="24"/>
                <w:szCs w:val="24"/>
              </w:rPr>
            </w:pPr>
            <w:r w:rsidRPr="00EB740A">
              <w:rPr>
                <w:sz w:val="24"/>
                <w:szCs w:val="24"/>
              </w:rPr>
              <w:t>&lt;0.001</w:t>
            </w:r>
          </w:p>
        </w:tc>
        <w:tc>
          <w:tcPr>
            <w:tcW w:w="1934" w:type="dxa"/>
          </w:tcPr>
          <w:p w14:paraId="5FB8C038" w14:textId="4FE9DB39" w:rsidR="00820D2A" w:rsidRPr="00820D2A" w:rsidRDefault="00820D2A" w:rsidP="00820D2A">
            <w:pPr>
              <w:spacing w:line="360" w:lineRule="auto"/>
              <w:rPr>
                <w:sz w:val="24"/>
                <w:szCs w:val="24"/>
              </w:rPr>
            </w:pPr>
            <w:r w:rsidRPr="00EB740A">
              <w:rPr>
                <w:sz w:val="24"/>
                <w:szCs w:val="24"/>
              </w:rPr>
              <w:t>9.90</w:t>
            </w:r>
          </w:p>
        </w:tc>
      </w:tr>
      <w:tr w:rsidR="00820D2A" w:rsidRPr="00AA122B" w14:paraId="258B2121" w14:textId="77777777" w:rsidTr="00EB740A">
        <w:tc>
          <w:tcPr>
            <w:tcW w:w="1803" w:type="dxa"/>
          </w:tcPr>
          <w:p w14:paraId="699CC26A" w14:textId="598BFAE3" w:rsidR="00820D2A" w:rsidRPr="00820D2A" w:rsidRDefault="00820D2A" w:rsidP="00820D2A">
            <w:pPr>
              <w:spacing w:line="360" w:lineRule="auto"/>
              <w:rPr>
                <w:sz w:val="24"/>
                <w:szCs w:val="24"/>
              </w:rPr>
            </w:pPr>
            <w:r w:rsidRPr="00EB740A">
              <w:rPr>
                <w:sz w:val="24"/>
                <w:szCs w:val="24"/>
              </w:rPr>
              <w:t>Ni</w:t>
            </w:r>
          </w:p>
        </w:tc>
        <w:tc>
          <w:tcPr>
            <w:tcW w:w="1919" w:type="dxa"/>
            <w:vAlign w:val="bottom"/>
          </w:tcPr>
          <w:p w14:paraId="3DDB3B71" w14:textId="6A24C6DB" w:rsidR="00820D2A" w:rsidRPr="00820D2A" w:rsidRDefault="00820D2A" w:rsidP="00820D2A">
            <w:pPr>
              <w:spacing w:line="360" w:lineRule="auto"/>
              <w:rPr>
                <w:sz w:val="24"/>
                <w:szCs w:val="24"/>
              </w:rPr>
            </w:pPr>
            <w:r w:rsidRPr="00EB740A">
              <w:rPr>
                <w:rFonts w:ascii="Calibri" w:hAnsi="Calibri" w:cs="Calibri"/>
                <w:color w:val="000000"/>
                <w:sz w:val="24"/>
                <w:szCs w:val="24"/>
              </w:rPr>
              <w:t>91.59</w:t>
            </w:r>
          </w:p>
        </w:tc>
        <w:tc>
          <w:tcPr>
            <w:tcW w:w="1803" w:type="dxa"/>
          </w:tcPr>
          <w:p w14:paraId="1E843D36" w14:textId="1FEDAB15" w:rsidR="00820D2A" w:rsidRPr="00820D2A" w:rsidRDefault="00820D2A" w:rsidP="00820D2A">
            <w:pPr>
              <w:spacing w:line="360" w:lineRule="auto"/>
              <w:rPr>
                <w:sz w:val="24"/>
                <w:szCs w:val="24"/>
              </w:rPr>
            </w:pPr>
            <w:r w:rsidRPr="00EB740A">
              <w:rPr>
                <w:sz w:val="24"/>
                <w:szCs w:val="24"/>
              </w:rPr>
              <w:t>&lt;0.001</w:t>
            </w:r>
          </w:p>
        </w:tc>
        <w:tc>
          <w:tcPr>
            <w:tcW w:w="1934" w:type="dxa"/>
          </w:tcPr>
          <w:p w14:paraId="522D0E51" w14:textId="7BC91134" w:rsidR="00820D2A" w:rsidRPr="00820D2A" w:rsidRDefault="00820D2A" w:rsidP="00820D2A">
            <w:pPr>
              <w:spacing w:line="360" w:lineRule="auto"/>
              <w:rPr>
                <w:sz w:val="24"/>
                <w:szCs w:val="24"/>
              </w:rPr>
            </w:pPr>
            <w:r w:rsidRPr="00EB740A">
              <w:rPr>
                <w:sz w:val="24"/>
                <w:szCs w:val="24"/>
              </w:rPr>
              <w:t>7.98</w:t>
            </w:r>
          </w:p>
        </w:tc>
      </w:tr>
      <w:tr w:rsidR="00820D2A" w:rsidRPr="00AA122B" w14:paraId="6F6114A6" w14:textId="77777777" w:rsidTr="00EB740A">
        <w:tc>
          <w:tcPr>
            <w:tcW w:w="1803" w:type="dxa"/>
          </w:tcPr>
          <w:p w14:paraId="6582B173" w14:textId="6BA5EA27" w:rsidR="00820D2A" w:rsidRPr="00820D2A" w:rsidRDefault="00820D2A" w:rsidP="00820D2A">
            <w:pPr>
              <w:spacing w:line="360" w:lineRule="auto"/>
              <w:rPr>
                <w:sz w:val="24"/>
                <w:szCs w:val="24"/>
              </w:rPr>
            </w:pPr>
            <w:r w:rsidRPr="00EB740A">
              <w:rPr>
                <w:sz w:val="24"/>
                <w:szCs w:val="24"/>
              </w:rPr>
              <w:t>Cd</w:t>
            </w:r>
          </w:p>
        </w:tc>
        <w:tc>
          <w:tcPr>
            <w:tcW w:w="1919" w:type="dxa"/>
            <w:vAlign w:val="bottom"/>
          </w:tcPr>
          <w:p w14:paraId="61DE6709" w14:textId="5714DA85" w:rsidR="00820D2A" w:rsidRPr="00820D2A" w:rsidRDefault="00820D2A" w:rsidP="00820D2A">
            <w:pPr>
              <w:spacing w:line="360" w:lineRule="auto"/>
              <w:rPr>
                <w:sz w:val="24"/>
                <w:szCs w:val="24"/>
              </w:rPr>
            </w:pPr>
            <w:r w:rsidRPr="00EB740A">
              <w:rPr>
                <w:rFonts w:ascii="Calibri" w:hAnsi="Calibri" w:cs="Calibri"/>
                <w:color w:val="000000"/>
                <w:sz w:val="24"/>
                <w:szCs w:val="24"/>
              </w:rPr>
              <w:t>90.53</w:t>
            </w:r>
          </w:p>
        </w:tc>
        <w:tc>
          <w:tcPr>
            <w:tcW w:w="1803" w:type="dxa"/>
          </w:tcPr>
          <w:p w14:paraId="2C23B171" w14:textId="56100000" w:rsidR="00820D2A" w:rsidRPr="00820D2A" w:rsidRDefault="00820D2A" w:rsidP="00820D2A">
            <w:pPr>
              <w:spacing w:line="360" w:lineRule="auto"/>
              <w:rPr>
                <w:sz w:val="24"/>
                <w:szCs w:val="24"/>
              </w:rPr>
            </w:pPr>
            <w:r w:rsidRPr="00EB740A">
              <w:rPr>
                <w:sz w:val="24"/>
                <w:szCs w:val="24"/>
              </w:rPr>
              <w:t>&lt;0.001</w:t>
            </w:r>
          </w:p>
        </w:tc>
        <w:tc>
          <w:tcPr>
            <w:tcW w:w="1934" w:type="dxa"/>
          </w:tcPr>
          <w:p w14:paraId="705B087A" w14:textId="3EDCD81E" w:rsidR="00820D2A" w:rsidRPr="00820D2A" w:rsidRDefault="00820D2A" w:rsidP="00820D2A">
            <w:pPr>
              <w:spacing w:line="360" w:lineRule="auto"/>
              <w:rPr>
                <w:sz w:val="24"/>
                <w:szCs w:val="24"/>
              </w:rPr>
            </w:pPr>
            <w:r w:rsidRPr="00EB740A">
              <w:rPr>
                <w:sz w:val="24"/>
                <w:szCs w:val="24"/>
              </w:rPr>
              <w:t>7.89</w:t>
            </w:r>
          </w:p>
        </w:tc>
      </w:tr>
      <w:tr w:rsidR="00820D2A" w:rsidRPr="00AA122B" w14:paraId="1EA6A154" w14:textId="77777777" w:rsidTr="00EB740A">
        <w:tc>
          <w:tcPr>
            <w:tcW w:w="1803" w:type="dxa"/>
          </w:tcPr>
          <w:p w14:paraId="7A620688" w14:textId="395BC1C1" w:rsidR="00820D2A" w:rsidRPr="00820D2A" w:rsidRDefault="00820D2A" w:rsidP="00820D2A">
            <w:pPr>
              <w:spacing w:line="360" w:lineRule="auto"/>
              <w:rPr>
                <w:sz w:val="24"/>
                <w:szCs w:val="24"/>
              </w:rPr>
            </w:pPr>
            <w:r w:rsidRPr="00EB740A">
              <w:rPr>
                <w:sz w:val="24"/>
                <w:szCs w:val="24"/>
              </w:rPr>
              <w:t>Ba</w:t>
            </w:r>
          </w:p>
        </w:tc>
        <w:tc>
          <w:tcPr>
            <w:tcW w:w="1919" w:type="dxa"/>
            <w:vAlign w:val="bottom"/>
          </w:tcPr>
          <w:p w14:paraId="1DA194B5" w14:textId="1024CE33" w:rsidR="00820D2A" w:rsidRPr="00820D2A" w:rsidRDefault="00820D2A" w:rsidP="00820D2A">
            <w:pPr>
              <w:spacing w:line="360" w:lineRule="auto"/>
              <w:rPr>
                <w:sz w:val="24"/>
                <w:szCs w:val="24"/>
              </w:rPr>
            </w:pPr>
            <w:r w:rsidRPr="00EB740A">
              <w:rPr>
                <w:rFonts w:ascii="Calibri" w:hAnsi="Calibri" w:cs="Calibri"/>
                <w:color w:val="000000"/>
                <w:sz w:val="24"/>
                <w:szCs w:val="24"/>
              </w:rPr>
              <w:t>88.85</w:t>
            </w:r>
          </w:p>
        </w:tc>
        <w:tc>
          <w:tcPr>
            <w:tcW w:w="1803" w:type="dxa"/>
          </w:tcPr>
          <w:p w14:paraId="5AD29CA0" w14:textId="6F074022" w:rsidR="00820D2A" w:rsidRPr="00820D2A" w:rsidRDefault="00820D2A" w:rsidP="00820D2A">
            <w:pPr>
              <w:spacing w:line="360" w:lineRule="auto"/>
              <w:rPr>
                <w:sz w:val="24"/>
                <w:szCs w:val="24"/>
              </w:rPr>
            </w:pPr>
            <w:r w:rsidRPr="00EB740A">
              <w:rPr>
                <w:sz w:val="24"/>
                <w:szCs w:val="24"/>
              </w:rPr>
              <w:t>&lt;0.001</w:t>
            </w:r>
          </w:p>
        </w:tc>
        <w:tc>
          <w:tcPr>
            <w:tcW w:w="1934" w:type="dxa"/>
          </w:tcPr>
          <w:p w14:paraId="5CCF7ACB" w14:textId="04344EBE" w:rsidR="00820D2A" w:rsidRPr="00820D2A" w:rsidRDefault="00820D2A" w:rsidP="00820D2A">
            <w:pPr>
              <w:spacing w:line="360" w:lineRule="auto"/>
              <w:rPr>
                <w:sz w:val="24"/>
                <w:szCs w:val="24"/>
              </w:rPr>
            </w:pPr>
            <w:r w:rsidRPr="00EB740A">
              <w:rPr>
                <w:sz w:val="24"/>
                <w:szCs w:val="24"/>
              </w:rPr>
              <w:t>7.74</w:t>
            </w:r>
          </w:p>
        </w:tc>
      </w:tr>
      <w:tr w:rsidR="00820D2A" w:rsidRPr="00AA122B" w14:paraId="6513B678" w14:textId="77777777" w:rsidTr="00EB740A">
        <w:tc>
          <w:tcPr>
            <w:tcW w:w="1803" w:type="dxa"/>
          </w:tcPr>
          <w:p w14:paraId="7987D659" w14:textId="65BD8233" w:rsidR="00820D2A" w:rsidRPr="00820D2A" w:rsidRDefault="00820D2A" w:rsidP="00820D2A">
            <w:pPr>
              <w:spacing w:line="360" w:lineRule="auto"/>
              <w:rPr>
                <w:sz w:val="24"/>
                <w:szCs w:val="24"/>
              </w:rPr>
            </w:pPr>
            <w:r w:rsidRPr="00EB740A">
              <w:rPr>
                <w:sz w:val="24"/>
                <w:szCs w:val="24"/>
              </w:rPr>
              <w:t>Mn</w:t>
            </w:r>
          </w:p>
        </w:tc>
        <w:tc>
          <w:tcPr>
            <w:tcW w:w="1919" w:type="dxa"/>
            <w:vAlign w:val="bottom"/>
          </w:tcPr>
          <w:p w14:paraId="6B37156E" w14:textId="3238BAB1" w:rsidR="00820D2A" w:rsidRPr="00820D2A" w:rsidRDefault="00820D2A" w:rsidP="00820D2A">
            <w:pPr>
              <w:spacing w:line="360" w:lineRule="auto"/>
              <w:rPr>
                <w:sz w:val="24"/>
                <w:szCs w:val="24"/>
              </w:rPr>
            </w:pPr>
            <w:r w:rsidRPr="00EB740A">
              <w:rPr>
                <w:rFonts w:ascii="Calibri" w:hAnsi="Calibri" w:cs="Calibri"/>
                <w:color w:val="000000"/>
                <w:sz w:val="24"/>
                <w:szCs w:val="24"/>
              </w:rPr>
              <w:t>74.82</w:t>
            </w:r>
          </w:p>
        </w:tc>
        <w:tc>
          <w:tcPr>
            <w:tcW w:w="1803" w:type="dxa"/>
          </w:tcPr>
          <w:p w14:paraId="3B3E1BF7" w14:textId="455EDBD0" w:rsidR="00820D2A" w:rsidRPr="00820D2A" w:rsidRDefault="00820D2A" w:rsidP="00820D2A">
            <w:pPr>
              <w:spacing w:line="360" w:lineRule="auto"/>
              <w:rPr>
                <w:sz w:val="24"/>
                <w:szCs w:val="24"/>
              </w:rPr>
            </w:pPr>
            <w:r w:rsidRPr="00EB740A">
              <w:rPr>
                <w:sz w:val="24"/>
                <w:szCs w:val="24"/>
              </w:rPr>
              <w:t>&lt;0.001</w:t>
            </w:r>
          </w:p>
        </w:tc>
        <w:tc>
          <w:tcPr>
            <w:tcW w:w="1934" w:type="dxa"/>
          </w:tcPr>
          <w:p w14:paraId="58C3A813" w14:textId="6323874A" w:rsidR="00820D2A" w:rsidRPr="00820D2A" w:rsidRDefault="00820D2A" w:rsidP="00820D2A">
            <w:pPr>
              <w:spacing w:line="360" w:lineRule="auto"/>
              <w:rPr>
                <w:sz w:val="24"/>
                <w:szCs w:val="24"/>
              </w:rPr>
            </w:pPr>
            <w:r w:rsidRPr="00EB740A">
              <w:rPr>
                <w:sz w:val="24"/>
                <w:szCs w:val="24"/>
              </w:rPr>
              <w:t>6.52</w:t>
            </w:r>
          </w:p>
        </w:tc>
      </w:tr>
      <w:tr w:rsidR="00820D2A" w:rsidRPr="00AA122B" w14:paraId="7A22793C" w14:textId="77777777" w:rsidTr="00EB740A">
        <w:tc>
          <w:tcPr>
            <w:tcW w:w="1803" w:type="dxa"/>
          </w:tcPr>
          <w:p w14:paraId="404C0411" w14:textId="6509FBB8" w:rsidR="00820D2A" w:rsidRPr="00820D2A" w:rsidRDefault="00820D2A" w:rsidP="00820D2A">
            <w:pPr>
              <w:spacing w:line="360" w:lineRule="auto"/>
              <w:rPr>
                <w:sz w:val="24"/>
                <w:szCs w:val="24"/>
              </w:rPr>
            </w:pPr>
            <w:r w:rsidRPr="00EB740A">
              <w:rPr>
                <w:sz w:val="24"/>
                <w:szCs w:val="24"/>
              </w:rPr>
              <w:t>Cr</w:t>
            </w:r>
          </w:p>
        </w:tc>
        <w:tc>
          <w:tcPr>
            <w:tcW w:w="1919" w:type="dxa"/>
            <w:vAlign w:val="bottom"/>
          </w:tcPr>
          <w:p w14:paraId="3F44DE49" w14:textId="4B0AB9E1" w:rsidR="00820D2A" w:rsidRPr="00820D2A" w:rsidRDefault="00820D2A" w:rsidP="00820D2A">
            <w:pPr>
              <w:spacing w:line="360" w:lineRule="auto"/>
              <w:rPr>
                <w:sz w:val="24"/>
                <w:szCs w:val="24"/>
              </w:rPr>
            </w:pPr>
            <w:r w:rsidRPr="00EB740A">
              <w:rPr>
                <w:rFonts w:ascii="Calibri" w:hAnsi="Calibri" w:cs="Calibri"/>
                <w:color w:val="000000"/>
                <w:sz w:val="24"/>
                <w:szCs w:val="24"/>
              </w:rPr>
              <w:t>66.78</w:t>
            </w:r>
          </w:p>
        </w:tc>
        <w:tc>
          <w:tcPr>
            <w:tcW w:w="1803" w:type="dxa"/>
          </w:tcPr>
          <w:p w14:paraId="501075C1" w14:textId="7589C620" w:rsidR="00820D2A" w:rsidRPr="00820D2A" w:rsidRDefault="00820D2A" w:rsidP="00820D2A">
            <w:pPr>
              <w:spacing w:line="360" w:lineRule="auto"/>
              <w:rPr>
                <w:sz w:val="24"/>
                <w:szCs w:val="24"/>
              </w:rPr>
            </w:pPr>
            <w:r w:rsidRPr="00EB740A">
              <w:rPr>
                <w:sz w:val="24"/>
                <w:szCs w:val="24"/>
              </w:rPr>
              <w:t>&lt;0.001</w:t>
            </w:r>
          </w:p>
        </w:tc>
        <w:tc>
          <w:tcPr>
            <w:tcW w:w="1934" w:type="dxa"/>
          </w:tcPr>
          <w:p w14:paraId="228241C9" w14:textId="4182AE37" w:rsidR="00820D2A" w:rsidRPr="00820D2A" w:rsidRDefault="00820D2A" w:rsidP="00820D2A">
            <w:pPr>
              <w:spacing w:line="360" w:lineRule="auto"/>
              <w:rPr>
                <w:sz w:val="24"/>
                <w:szCs w:val="24"/>
              </w:rPr>
            </w:pPr>
            <w:r w:rsidRPr="00EB740A">
              <w:rPr>
                <w:sz w:val="24"/>
                <w:szCs w:val="24"/>
              </w:rPr>
              <w:t>5.82</w:t>
            </w:r>
          </w:p>
        </w:tc>
      </w:tr>
      <w:tr w:rsidR="00820D2A" w:rsidRPr="00AA122B" w14:paraId="045E6B6C" w14:textId="77777777" w:rsidTr="00EB740A">
        <w:tc>
          <w:tcPr>
            <w:tcW w:w="1803" w:type="dxa"/>
          </w:tcPr>
          <w:p w14:paraId="1791DC00" w14:textId="4D623FBC" w:rsidR="00820D2A" w:rsidRPr="00820D2A" w:rsidRDefault="00820D2A" w:rsidP="00820D2A">
            <w:pPr>
              <w:spacing w:line="360" w:lineRule="auto"/>
              <w:rPr>
                <w:sz w:val="24"/>
                <w:szCs w:val="24"/>
              </w:rPr>
            </w:pPr>
            <w:r w:rsidRPr="00EB740A">
              <w:rPr>
                <w:sz w:val="24"/>
                <w:szCs w:val="24"/>
              </w:rPr>
              <w:t>Pb</w:t>
            </w:r>
          </w:p>
        </w:tc>
        <w:tc>
          <w:tcPr>
            <w:tcW w:w="1919" w:type="dxa"/>
            <w:vAlign w:val="bottom"/>
          </w:tcPr>
          <w:p w14:paraId="51B1A060" w14:textId="4D33DB46" w:rsidR="00820D2A" w:rsidRPr="00820D2A" w:rsidRDefault="00820D2A" w:rsidP="00820D2A">
            <w:pPr>
              <w:spacing w:line="360" w:lineRule="auto"/>
              <w:rPr>
                <w:sz w:val="24"/>
                <w:szCs w:val="24"/>
              </w:rPr>
            </w:pPr>
            <w:r w:rsidRPr="00EB740A">
              <w:rPr>
                <w:rFonts w:ascii="Calibri" w:hAnsi="Calibri" w:cs="Calibri"/>
                <w:color w:val="000000"/>
                <w:sz w:val="24"/>
                <w:szCs w:val="24"/>
              </w:rPr>
              <w:t>66.60</w:t>
            </w:r>
          </w:p>
        </w:tc>
        <w:tc>
          <w:tcPr>
            <w:tcW w:w="1803" w:type="dxa"/>
          </w:tcPr>
          <w:p w14:paraId="26625B71" w14:textId="596FED50" w:rsidR="00820D2A" w:rsidRPr="00820D2A" w:rsidRDefault="00820D2A" w:rsidP="00820D2A">
            <w:pPr>
              <w:spacing w:line="360" w:lineRule="auto"/>
              <w:rPr>
                <w:sz w:val="24"/>
                <w:szCs w:val="24"/>
              </w:rPr>
            </w:pPr>
            <w:r w:rsidRPr="00EB740A">
              <w:rPr>
                <w:sz w:val="24"/>
                <w:szCs w:val="24"/>
              </w:rPr>
              <w:t>&lt;0.001</w:t>
            </w:r>
          </w:p>
        </w:tc>
        <w:tc>
          <w:tcPr>
            <w:tcW w:w="1934" w:type="dxa"/>
          </w:tcPr>
          <w:p w14:paraId="265ACC5A" w14:textId="35EFEA95" w:rsidR="00820D2A" w:rsidRPr="00820D2A" w:rsidRDefault="00820D2A" w:rsidP="00820D2A">
            <w:pPr>
              <w:spacing w:line="360" w:lineRule="auto"/>
              <w:rPr>
                <w:sz w:val="24"/>
                <w:szCs w:val="24"/>
              </w:rPr>
            </w:pPr>
            <w:r w:rsidRPr="00EB740A">
              <w:rPr>
                <w:sz w:val="24"/>
                <w:szCs w:val="24"/>
              </w:rPr>
              <w:t>5.80</w:t>
            </w:r>
          </w:p>
        </w:tc>
      </w:tr>
      <w:tr w:rsidR="00820D2A" w:rsidRPr="00AA122B" w14:paraId="0913C5BA" w14:textId="77777777" w:rsidTr="00EB740A">
        <w:tc>
          <w:tcPr>
            <w:tcW w:w="1803" w:type="dxa"/>
          </w:tcPr>
          <w:p w14:paraId="354BAFBA" w14:textId="50072BC5" w:rsidR="00820D2A" w:rsidRPr="00820D2A" w:rsidRDefault="00820D2A" w:rsidP="00820D2A">
            <w:pPr>
              <w:spacing w:line="360" w:lineRule="auto"/>
              <w:rPr>
                <w:sz w:val="24"/>
                <w:szCs w:val="24"/>
              </w:rPr>
            </w:pPr>
            <w:r w:rsidRPr="00EB740A">
              <w:rPr>
                <w:sz w:val="24"/>
                <w:szCs w:val="24"/>
              </w:rPr>
              <w:t>Zn</w:t>
            </w:r>
          </w:p>
        </w:tc>
        <w:tc>
          <w:tcPr>
            <w:tcW w:w="1919" w:type="dxa"/>
            <w:vAlign w:val="bottom"/>
          </w:tcPr>
          <w:p w14:paraId="33A153D4" w14:textId="3E271602" w:rsidR="00820D2A" w:rsidRPr="00820D2A" w:rsidRDefault="00820D2A" w:rsidP="00820D2A">
            <w:pPr>
              <w:spacing w:line="360" w:lineRule="auto"/>
              <w:rPr>
                <w:sz w:val="24"/>
                <w:szCs w:val="24"/>
              </w:rPr>
            </w:pPr>
            <w:r w:rsidRPr="00EB740A">
              <w:rPr>
                <w:rFonts w:ascii="Calibri" w:hAnsi="Calibri" w:cs="Calibri"/>
                <w:color w:val="000000"/>
                <w:sz w:val="24"/>
                <w:szCs w:val="24"/>
              </w:rPr>
              <w:t>30.30</w:t>
            </w:r>
          </w:p>
        </w:tc>
        <w:tc>
          <w:tcPr>
            <w:tcW w:w="1803" w:type="dxa"/>
          </w:tcPr>
          <w:p w14:paraId="4F19BD03" w14:textId="7C8424B6" w:rsidR="00820D2A" w:rsidRPr="00820D2A" w:rsidRDefault="00820D2A" w:rsidP="00820D2A">
            <w:pPr>
              <w:spacing w:line="360" w:lineRule="auto"/>
              <w:rPr>
                <w:sz w:val="24"/>
                <w:szCs w:val="24"/>
              </w:rPr>
            </w:pPr>
            <w:r w:rsidRPr="00EB740A">
              <w:rPr>
                <w:sz w:val="24"/>
                <w:szCs w:val="24"/>
              </w:rPr>
              <w:t>&lt;0.001</w:t>
            </w:r>
          </w:p>
        </w:tc>
        <w:tc>
          <w:tcPr>
            <w:tcW w:w="1934" w:type="dxa"/>
          </w:tcPr>
          <w:p w14:paraId="2975037E" w14:textId="74816016" w:rsidR="00820D2A" w:rsidRPr="00820D2A" w:rsidRDefault="00820D2A" w:rsidP="00820D2A">
            <w:pPr>
              <w:spacing w:line="360" w:lineRule="auto"/>
              <w:rPr>
                <w:sz w:val="24"/>
                <w:szCs w:val="24"/>
              </w:rPr>
            </w:pPr>
            <w:r w:rsidRPr="00EB740A">
              <w:rPr>
                <w:sz w:val="24"/>
                <w:szCs w:val="24"/>
              </w:rPr>
              <w:t>2.64</w:t>
            </w:r>
          </w:p>
        </w:tc>
      </w:tr>
      <w:tr w:rsidR="00820D2A" w:rsidRPr="00AA122B" w14:paraId="32624872" w14:textId="77777777" w:rsidTr="00EB740A">
        <w:tc>
          <w:tcPr>
            <w:tcW w:w="1803" w:type="dxa"/>
          </w:tcPr>
          <w:p w14:paraId="569538F3" w14:textId="22502381" w:rsidR="00820D2A" w:rsidRPr="00820D2A" w:rsidRDefault="00820D2A" w:rsidP="00820D2A">
            <w:pPr>
              <w:spacing w:line="360" w:lineRule="auto"/>
              <w:rPr>
                <w:sz w:val="24"/>
                <w:szCs w:val="24"/>
              </w:rPr>
            </w:pPr>
            <w:r w:rsidRPr="00EB740A">
              <w:rPr>
                <w:sz w:val="24"/>
                <w:szCs w:val="24"/>
              </w:rPr>
              <w:t>Fe</w:t>
            </w:r>
          </w:p>
        </w:tc>
        <w:tc>
          <w:tcPr>
            <w:tcW w:w="1919" w:type="dxa"/>
            <w:vAlign w:val="bottom"/>
          </w:tcPr>
          <w:p w14:paraId="35B6ADF3" w14:textId="776EDAE9" w:rsidR="00820D2A" w:rsidRPr="00820D2A" w:rsidRDefault="00820D2A" w:rsidP="00820D2A">
            <w:pPr>
              <w:spacing w:line="360" w:lineRule="auto"/>
              <w:rPr>
                <w:sz w:val="24"/>
                <w:szCs w:val="24"/>
              </w:rPr>
            </w:pPr>
            <w:r w:rsidRPr="00EB740A">
              <w:rPr>
                <w:rFonts w:ascii="Calibri" w:hAnsi="Calibri" w:cs="Calibri"/>
                <w:color w:val="000000"/>
                <w:sz w:val="24"/>
                <w:szCs w:val="24"/>
              </w:rPr>
              <w:t>8.23</w:t>
            </w:r>
          </w:p>
        </w:tc>
        <w:tc>
          <w:tcPr>
            <w:tcW w:w="1803" w:type="dxa"/>
          </w:tcPr>
          <w:p w14:paraId="3C3C1DCB" w14:textId="72D10EAF" w:rsidR="00820D2A" w:rsidRPr="00820D2A" w:rsidRDefault="00820D2A" w:rsidP="00820D2A">
            <w:pPr>
              <w:spacing w:line="360" w:lineRule="auto"/>
              <w:rPr>
                <w:sz w:val="24"/>
                <w:szCs w:val="24"/>
              </w:rPr>
            </w:pPr>
            <w:r w:rsidRPr="00EB740A">
              <w:rPr>
                <w:sz w:val="24"/>
                <w:szCs w:val="24"/>
              </w:rPr>
              <w:t>0.012</w:t>
            </w:r>
          </w:p>
        </w:tc>
        <w:tc>
          <w:tcPr>
            <w:tcW w:w="1934" w:type="dxa"/>
          </w:tcPr>
          <w:p w14:paraId="694FB867" w14:textId="592D3B18" w:rsidR="00820D2A" w:rsidRPr="00820D2A" w:rsidRDefault="00820D2A" w:rsidP="00820D2A">
            <w:pPr>
              <w:spacing w:line="360" w:lineRule="auto"/>
              <w:rPr>
                <w:sz w:val="24"/>
                <w:szCs w:val="24"/>
              </w:rPr>
            </w:pPr>
            <w:r w:rsidRPr="00EB740A">
              <w:rPr>
                <w:sz w:val="24"/>
                <w:szCs w:val="24"/>
              </w:rPr>
              <w:t>0.72</w:t>
            </w:r>
          </w:p>
        </w:tc>
      </w:tr>
      <w:tr w:rsidR="00820D2A" w:rsidRPr="00AA122B" w14:paraId="5867E72C" w14:textId="77777777" w:rsidTr="00EB740A">
        <w:tc>
          <w:tcPr>
            <w:tcW w:w="1803" w:type="dxa"/>
            <w:tcBorders>
              <w:bottom w:val="single" w:sz="4" w:space="0" w:color="auto"/>
            </w:tcBorders>
          </w:tcPr>
          <w:p w14:paraId="7F820F02" w14:textId="3740FABC" w:rsidR="00820D2A" w:rsidRPr="00820D2A" w:rsidRDefault="00820D2A" w:rsidP="00820D2A">
            <w:pPr>
              <w:spacing w:line="360" w:lineRule="auto"/>
              <w:rPr>
                <w:sz w:val="24"/>
                <w:szCs w:val="24"/>
              </w:rPr>
            </w:pPr>
            <w:r w:rsidRPr="00EB740A">
              <w:rPr>
                <w:sz w:val="24"/>
                <w:szCs w:val="24"/>
              </w:rPr>
              <w:t>K</w:t>
            </w:r>
          </w:p>
        </w:tc>
        <w:tc>
          <w:tcPr>
            <w:tcW w:w="1919" w:type="dxa"/>
            <w:tcBorders>
              <w:bottom w:val="single" w:sz="4" w:space="0" w:color="auto"/>
            </w:tcBorders>
            <w:vAlign w:val="bottom"/>
          </w:tcPr>
          <w:p w14:paraId="3B86B883" w14:textId="52DFD12B" w:rsidR="00820D2A" w:rsidRPr="00820D2A" w:rsidRDefault="00820D2A" w:rsidP="00820D2A">
            <w:pPr>
              <w:spacing w:line="360" w:lineRule="auto"/>
              <w:rPr>
                <w:sz w:val="24"/>
                <w:szCs w:val="24"/>
              </w:rPr>
            </w:pPr>
            <w:r w:rsidRPr="00EB740A">
              <w:rPr>
                <w:rFonts w:ascii="Calibri" w:hAnsi="Calibri" w:cs="Calibri"/>
                <w:color w:val="000000"/>
                <w:sz w:val="24"/>
                <w:szCs w:val="24"/>
              </w:rPr>
              <w:t>3.44</w:t>
            </w:r>
          </w:p>
        </w:tc>
        <w:tc>
          <w:tcPr>
            <w:tcW w:w="1803" w:type="dxa"/>
            <w:tcBorders>
              <w:bottom w:val="single" w:sz="4" w:space="0" w:color="auto"/>
            </w:tcBorders>
          </w:tcPr>
          <w:p w14:paraId="3A614BF0" w14:textId="0BAF9F87" w:rsidR="00820D2A" w:rsidRPr="00820D2A" w:rsidRDefault="00820D2A" w:rsidP="00820D2A">
            <w:pPr>
              <w:spacing w:line="360" w:lineRule="auto"/>
              <w:rPr>
                <w:sz w:val="24"/>
                <w:szCs w:val="24"/>
              </w:rPr>
            </w:pPr>
            <w:r w:rsidRPr="00EB740A">
              <w:rPr>
                <w:sz w:val="24"/>
                <w:szCs w:val="24"/>
              </w:rPr>
              <w:t>0.016</w:t>
            </w:r>
          </w:p>
        </w:tc>
        <w:tc>
          <w:tcPr>
            <w:tcW w:w="1934" w:type="dxa"/>
            <w:tcBorders>
              <w:bottom w:val="single" w:sz="4" w:space="0" w:color="auto"/>
            </w:tcBorders>
          </w:tcPr>
          <w:p w14:paraId="41AB0191" w14:textId="6B87A96D" w:rsidR="00820D2A" w:rsidRPr="00820D2A" w:rsidRDefault="00820D2A" w:rsidP="00820D2A">
            <w:pPr>
              <w:spacing w:line="360" w:lineRule="auto"/>
              <w:rPr>
                <w:sz w:val="24"/>
                <w:szCs w:val="24"/>
              </w:rPr>
            </w:pPr>
            <w:r w:rsidRPr="00EB740A">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4E7B9AF4"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2B2FA699" w:rsidR="004623A5" w:rsidRDefault="004623A5" w:rsidP="004753C2">
      <w:pPr>
        <w:spacing w:line="360" w:lineRule="auto"/>
        <w:rPr>
          <w:sz w:val="24"/>
          <w:szCs w:val="24"/>
        </w:rPr>
      </w:pPr>
      <w:r>
        <w:rPr>
          <w:sz w:val="24"/>
          <w:szCs w:val="24"/>
        </w:rPr>
        <w:br w:type="page"/>
      </w: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2BF636A9" w14:textId="3CF91DF4" w:rsidR="00CB0841" w:rsidRPr="00AA122B" w:rsidRDefault="00CB0841" w:rsidP="004753C2">
      <w:pPr>
        <w:spacing w:line="360" w:lineRule="auto"/>
        <w:rPr>
          <w:sz w:val="24"/>
          <w:szCs w:val="24"/>
        </w:rPr>
      </w:pPr>
      <w:r w:rsidRPr="00AA122B">
        <w:rPr>
          <w:b/>
          <w:bCs/>
          <w:sz w:val="24"/>
          <w:szCs w:val="24"/>
        </w:rPr>
        <w:t>Figures:</w:t>
      </w:r>
    </w:p>
    <w:p w14:paraId="628CEF04"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2CF6739C" wp14:editId="05BDE4E4">
            <wp:extent cx="3924609" cy="3035324"/>
            <wp:effectExtent l="0" t="0" r="0" b="0"/>
            <wp:docPr id="3" name="Picture 3" descr="D:\paper writing\Thesis\Figures\final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 writing\Thesis\Figures\final edit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3282" r="3909" b="6370"/>
                    <a:stretch/>
                  </pic:blipFill>
                  <pic:spPr bwMode="auto">
                    <a:xfrm>
                      <a:off x="0" y="0"/>
                      <a:ext cx="3934514" cy="3042984"/>
                    </a:xfrm>
                    <a:prstGeom prst="rect">
                      <a:avLst/>
                    </a:prstGeom>
                    <a:noFill/>
                    <a:ln>
                      <a:noFill/>
                    </a:ln>
                    <a:extLst>
                      <a:ext uri="{53640926-AAD7-44D8-BBD7-CCE9431645EC}">
                        <a14:shadowObscured xmlns:a14="http://schemas.microsoft.com/office/drawing/2010/main"/>
                      </a:ext>
                    </a:extLst>
                  </pic:spPr>
                </pic:pic>
              </a:graphicData>
            </a:graphic>
          </wp:inline>
        </w:drawing>
      </w:r>
    </w:p>
    <w:p w14:paraId="53BA4BB0" w14:textId="77777777" w:rsidR="00CB0841" w:rsidRPr="00AA122B" w:rsidRDefault="00CB0841" w:rsidP="004753C2">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C. striata</w:t>
      </w:r>
      <w:r w:rsidRPr="00AA122B">
        <w:rPr>
          <w:sz w:val="24"/>
          <w:szCs w:val="24"/>
        </w:rPr>
        <w:t xml:space="preserve"> were collected. The 3 coloured dots represent the sample locations on the 3 different rivers.</w:t>
      </w:r>
    </w:p>
    <w:p w14:paraId="173DA43C" w14:textId="6102C1AA" w:rsidR="00CB0841" w:rsidRPr="00AA122B" w:rsidRDefault="00CB0841" w:rsidP="004753C2">
      <w:pPr>
        <w:spacing w:line="360" w:lineRule="auto"/>
        <w:rPr>
          <w:sz w:val="24"/>
          <w:szCs w:val="24"/>
        </w:rPr>
      </w:pPr>
    </w:p>
    <w:p w14:paraId="41CC717F" w14:textId="5B2AEDB3" w:rsidR="00CB0841" w:rsidRPr="00AA122B" w:rsidRDefault="00CB0841" w:rsidP="004753C2">
      <w:pPr>
        <w:spacing w:line="360" w:lineRule="auto"/>
        <w:rPr>
          <w:sz w:val="24"/>
          <w:szCs w:val="24"/>
        </w:rPr>
      </w:pPr>
      <w:r w:rsidRPr="00AA122B">
        <w:rPr>
          <w:sz w:val="24"/>
          <w:szCs w:val="24"/>
        </w:rPr>
        <w:br w:type="page"/>
      </w:r>
    </w:p>
    <w:p w14:paraId="18EDE0B2" w14:textId="77777777" w:rsidR="00CB0841" w:rsidRPr="00AA122B" w:rsidRDefault="00CB0841" w:rsidP="004753C2">
      <w:pPr>
        <w:spacing w:line="360" w:lineRule="auto"/>
        <w:rPr>
          <w:sz w:val="24"/>
          <w:szCs w:val="24"/>
        </w:rPr>
      </w:pPr>
    </w:p>
    <w:p w14:paraId="61BC23D1" w14:textId="4CBBA7FB" w:rsidR="00CB0841" w:rsidRDefault="00CB0841" w:rsidP="004753C2">
      <w:pPr>
        <w:spacing w:line="360" w:lineRule="auto"/>
        <w:rPr>
          <w:sz w:val="24"/>
          <w:szCs w:val="24"/>
        </w:rPr>
      </w:pPr>
    </w:p>
    <w:p w14:paraId="1732C99C" w14:textId="268F420F" w:rsidR="000875DB" w:rsidRPr="00AA122B" w:rsidRDefault="000875DB" w:rsidP="004753C2">
      <w:pPr>
        <w:spacing w:line="360" w:lineRule="auto"/>
        <w:rPr>
          <w:sz w:val="24"/>
          <w:szCs w:val="24"/>
        </w:rPr>
      </w:pPr>
      <w:r>
        <w:rPr>
          <w:noProof/>
          <w:sz w:val="24"/>
          <w:szCs w:val="24"/>
        </w:rPr>
        <w:drawing>
          <wp:inline distT="0" distB="0" distL="0" distR="0" wp14:anchorId="1738CBFD" wp14:editId="4870B2FC">
            <wp:extent cx="5730875" cy="2275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09B6E3E4" w14:textId="5AC2AC6A" w:rsidR="00CB0841" w:rsidRPr="00AA122B" w:rsidRDefault="00CB0841" w:rsidP="004753C2">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1E86351F"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0FEE493C" w:rsidR="00CB0841" w:rsidRPr="00C17EA6" w:rsidRDefault="00CB0841" w:rsidP="004753C2">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6BBDF026" w:rsidR="00CB0841" w:rsidRPr="00AA122B" w:rsidRDefault="00CB0841" w:rsidP="004753C2">
      <w:pPr>
        <w:spacing w:line="360" w:lineRule="auto"/>
        <w:rPr>
          <w:sz w:val="24"/>
          <w:szCs w:val="24"/>
        </w:rPr>
      </w:pPr>
      <w:bookmarkStart w:id="11" w:name="_Hlk57542683"/>
      <w:r w:rsidRPr="00AA122B">
        <w:rPr>
          <w:b/>
          <w:bCs/>
          <w:sz w:val="24"/>
          <w:szCs w:val="24"/>
        </w:rPr>
        <w:t>Figure 4</w:t>
      </w:r>
      <w:r w:rsidRPr="00AA122B">
        <w:rPr>
          <w:sz w:val="24"/>
          <w:szCs w:val="24"/>
        </w:rPr>
        <w:t xml:space="preserve"> Mean otolith shape from the three sites. </w:t>
      </w:r>
      <w:r w:rsidR="00141215" w:rsidRPr="00AA122B">
        <w:rPr>
          <w:sz w:val="24"/>
          <w:szCs w:val="24"/>
        </w:rPr>
        <w:t>The solid black line represents Agra, dashed red line represents Lucknow and the dotted blue line represents Narora.</w:t>
      </w:r>
      <w:r w:rsidR="00D1422A">
        <w:rPr>
          <w:sz w:val="24"/>
          <w:szCs w:val="24"/>
        </w:rPr>
        <w:t xml:space="preserve"> The wavelet coefficients recreated over 99% of the variance in otolith shape.</w:t>
      </w:r>
    </w:p>
    <w:bookmarkEnd w:id="11"/>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7F18D2F9" w:rsidR="00EB7498" w:rsidRDefault="00EB7498" w:rsidP="00EB7498">
      <w:pPr>
        <w:spacing w:line="360" w:lineRule="auto"/>
        <w:rPr>
          <w:b/>
          <w:bCs/>
          <w:sz w:val="24"/>
          <w:szCs w:val="24"/>
        </w:rPr>
      </w:pPr>
      <w:r>
        <w:rPr>
          <w:b/>
          <w:bCs/>
          <w:noProof/>
          <w:sz w:val="24"/>
          <w:szCs w:val="24"/>
        </w:rPr>
        <w:lastRenderedPageBreak/>
        <w:drawing>
          <wp:inline distT="0" distB="0" distL="0" distR="0" wp14:anchorId="7662A3F3" wp14:editId="151120E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14:paraId="3D9DA1B6" w14:textId="3FC70563" w:rsidR="00EB7498" w:rsidRPr="00324F5A" w:rsidRDefault="00EB7498">
      <w:pPr>
        <w:spacing w:line="360" w:lineRule="auto"/>
        <w:rPr>
          <w:sz w:val="24"/>
          <w:szCs w:val="24"/>
        </w:rPr>
      </w:pPr>
      <w:r>
        <w:rPr>
          <w:b/>
          <w:bCs/>
          <w:sz w:val="24"/>
          <w:szCs w:val="24"/>
        </w:rPr>
        <w:t xml:space="preserve">Figure </w:t>
      </w:r>
      <w:r w:rsidR="001428DA">
        <w:rPr>
          <w:b/>
          <w:bCs/>
          <w:sz w:val="24"/>
          <w:szCs w:val="24"/>
        </w:rPr>
        <w:t>5</w:t>
      </w:r>
      <w:r>
        <w:rPr>
          <w:sz w:val="24"/>
          <w:szCs w:val="24"/>
        </w:rPr>
        <w:t xml:space="preserve"> Distance based </w:t>
      </w:r>
      <w:r w:rsidR="001428DA">
        <w:rPr>
          <w:sz w:val="24"/>
          <w:szCs w:val="24"/>
        </w:rPr>
        <w:t>NMDS</w:t>
      </w:r>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 xml:space="preserve">was only satisfied for b) Shape Data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459F5977"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1E5ED15E" w:rsidR="00CB0841" w:rsidRPr="00AA122B" w:rsidRDefault="00CB0841" w:rsidP="004753C2">
      <w:pPr>
        <w:spacing w:line="360" w:lineRule="auto"/>
        <w:rPr>
          <w:sz w:val="24"/>
          <w:szCs w:val="24"/>
        </w:rPr>
      </w:pPr>
      <w:r w:rsidRPr="00AA122B">
        <w:rPr>
          <w:b/>
          <w:bCs/>
          <w:sz w:val="24"/>
          <w:szCs w:val="24"/>
        </w:rPr>
        <w:t xml:space="preserve">Figure </w:t>
      </w:r>
      <w:r w:rsidR="00EB7498">
        <w:rPr>
          <w:b/>
          <w:bCs/>
          <w:sz w:val="24"/>
          <w:szCs w:val="24"/>
        </w:rPr>
        <w:t>6</w:t>
      </w:r>
      <w:r w:rsidRPr="00AA122B">
        <w:rPr>
          <w:b/>
          <w:bCs/>
          <w:sz w:val="24"/>
          <w:szCs w:val="24"/>
        </w:rPr>
        <w:t xml:space="preserve"> </w:t>
      </w:r>
      <w:r w:rsidRPr="00AA122B">
        <w:rPr>
          <w:sz w:val="24"/>
          <w:szCs w:val="24"/>
        </w:rPr>
        <w:t xml:space="preserve">Mean otolith element concentrations (mmol:mol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3692B4AD"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6E97484E" w:rsidR="00324F5A" w:rsidRDefault="00167964" w:rsidP="004753C2">
      <w:pPr>
        <w:spacing w:line="360" w:lineRule="auto"/>
        <w:rPr>
          <w:sz w:val="24"/>
          <w:szCs w:val="24"/>
        </w:rPr>
      </w:pPr>
      <w:r w:rsidRPr="00AA122B">
        <w:rPr>
          <w:b/>
          <w:bCs/>
          <w:sz w:val="24"/>
          <w:szCs w:val="24"/>
        </w:rPr>
        <w:t xml:space="preserve">Figure </w:t>
      </w:r>
      <w:r w:rsidR="00EB7498">
        <w:rPr>
          <w:b/>
          <w:bCs/>
          <w:sz w:val="24"/>
          <w:szCs w:val="24"/>
        </w:rPr>
        <w:t>7</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BC719" w14:textId="77777777" w:rsidR="00E06B7E" w:rsidRDefault="00E06B7E" w:rsidP="00B44FDE">
      <w:pPr>
        <w:spacing w:after="0" w:line="240" w:lineRule="auto"/>
      </w:pPr>
      <w:r>
        <w:separator/>
      </w:r>
    </w:p>
  </w:endnote>
  <w:endnote w:type="continuationSeparator" w:id="0">
    <w:p w14:paraId="5EB6AF9A" w14:textId="77777777" w:rsidR="00E06B7E" w:rsidRDefault="00E06B7E"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BE5A73" w:rsidRDefault="00BE5A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BE5A73" w:rsidRDefault="00BE5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7599C" w14:textId="77777777" w:rsidR="00E06B7E" w:rsidRDefault="00E06B7E" w:rsidP="00B44FDE">
      <w:pPr>
        <w:spacing w:after="0" w:line="240" w:lineRule="auto"/>
      </w:pPr>
      <w:r>
        <w:separator/>
      </w:r>
    </w:p>
  </w:footnote>
  <w:footnote w:type="continuationSeparator" w:id="0">
    <w:p w14:paraId="3EDCF41E" w14:textId="77777777" w:rsidR="00E06B7E" w:rsidRDefault="00E06B7E"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5546"/>
    <w:rsid w:val="000F22A6"/>
    <w:rsid w:val="000F5B75"/>
    <w:rsid w:val="000F6762"/>
    <w:rsid w:val="000F74F0"/>
    <w:rsid w:val="00103E83"/>
    <w:rsid w:val="00114120"/>
    <w:rsid w:val="00126D6C"/>
    <w:rsid w:val="00126FF5"/>
    <w:rsid w:val="0012765F"/>
    <w:rsid w:val="00127DD7"/>
    <w:rsid w:val="00133A4B"/>
    <w:rsid w:val="00134A17"/>
    <w:rsid w:val="00134D0E"/>
    <w:rsid w:val="00141215"/>
    <w:rsid w:val="001428DA"/>
    <w:rsid w:val="00155C64"/>
    <w:rsid w:val="001625A1"/>
    <w:rsid w:val="00167964"/>
    <w:rsid w:val="00167A46"/>
    <w:rsid w:val="00185B87"/>
    <w:rsid w:val="0019601D"/>
    <w:rsid w:val="00196D66"/>
    <w:rsid w:val="001A102A"/>
    <w:rsid w:val="001A4AE2"/>
    <w:rsid w:val="001A63EF"/>
    <w:rsid w:val="001B20ED"/>
    <w:rsid w:val="001B21E0"/>
    <w:rsid w:val="001B3A7D"/>
    <w:rsid w:val="001B7295"/>
    <w:rsid w:val="001C5D83"/>
    <w:rsid w:val="001C7117"/>
    <w:rsid w:val="001D11D6"/>
    <w:rsid w:val="001D56B1"/>
    <w:rsid w:val="001E3B9C"/>
    <w:rsid w:val="001E4E42"/>
    <w:rsid w:val="001F6893"/>
    <w:rsid w:val="002043A2"/>
    <w:rsid w:val="00222CDD"/>
    <w:rsid w:val="002238BF"/>
    <w:rsid w:val="002249B7"/>
    <w:rsid w:val="002268F5"/>
    <w:rsid w:val="00235D51"/>
    <w:rsid w:val="00243EEF"/>
    <w:rsid w:val="0024547B"/>
    <w:rsid w:val="00253E3A"/>
    <w:rsid w:val="0025499E"/>
    <w:rsid w:val="002555D1"/>
    <w:rsid w:val="00265462"/>
    <w:rsid w:val="0027405A"/>
    <w:rsid w:val="00291409"/>
    <w:rsid w:val="002A1BDD"/>
    <w:rsid w:val="002A2C0E"/>
    <w:rsid w:val="002A408F"/>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62342"/>
    <w:rsid w:val="00567A72"/>
    <w:rsid w:val="00571A4B"/>
    <w:rsid w:val="00575129"/>
    <w:rsid w:val="005B0051"/>
    <w:rsid w:val="005B3731"/>
    <w:rsid w:val="005C079A"/>
    <w:rsid w:val="005D1646"/>
    <w:rsid w:val="005D1FBA"/>
    <w:rsid w:val="005E0564"/>
    <w:rsid w:val="005E1B35"/>
    <w:rsid w:val="005E36ED"/>
    <w:rsid w:val="005E44BC"/>
    <w:rsid w:val="005F0FD3"/>
    <w:rsid w:val="005F2BBF"/>
    <w:rsid w:val="005F54B6"/>
    <w:rsid w:val="0060034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4C11"/>
    <w:rsid w:val="006D585C"/>
    <w:rsid w:val="006E1746"/>
    <w:rsid w:val="006E5829"/>
    <w:rsid w:val="006E6BB6"/>
    <w:rsid w:val="006F1C10"/>
    <w:rsid w:val="00704070"/>
    <w:rsid w:val="00711444"/>
    <w:rsid w:val="00712CD7"/>
    <w:rsid w:val="00712D6A"/>
    <w:rsid w:val="0071485A"/>
    <w:rsid w:val="007170ED"/>
    <w:rsid w:val="0072229D"/>
    <w:rsid w:val="007222B4"/>
    <w:rsid w:val="00725914"/>
    <w:rsid w:val="00730810"/>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57B1"/>
    <w:rsid w:val="007C379C"/>
    <w:rsid w:val="007C62F7"/>
    <w:rsid w:val="007D18DD"/>
    <w:rsid w:val="007E66DD"/>
    <w:rsid w:val="00805A5E"/>
    <w:rsid w:val="00812C68"/>
    <w:rsid w:val="00816946"/>
    <w:rsid w:val="00820D2A"/>
    <w:rsid w:val="00860052"/>
    <w:rsid w:val="008667D1"/>
    <w:rsid w:val="008735C6"/>
    <w:rsid w:val="00880750"/>
    <w:rsid w:val="008808EF"/>
    <w:rsid w:val="008A008F"/>
    <w:rsid w:val="008A5167"/>
    <w:rsid w:val="008B2EB0"/>
    <w:rsid w:val="008B4EB3"/>
    <w:rsid w:val="008C2620"/>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D1707"/>
    <w:rsid w:val="009D2201"/>
    <w:rsid w:val="009D7B06"/>
    <w:rsid w:val="009E453C"/>
    <w:rsid w:val="009E6978"/>
    <w:rsid w:val="009E771E"/>
    <w:rsid w:val="009F0843"/>
    <w:rsid w:val="009F268B"/>
    <w:rsid w:val="009F49EF"/>
    <w:rsid w:val="00A12EEC"/>
    <w:rsid w:val="00A234D6"/>
    <w:rsid w:val="00A36276"/>
    <w:rsid w:val="00A41B08"/>
    <w:rsid w:val="00A42C9C"/>
    <w:rsid w:val="00A465C4"/>
    <w:rsid w:val="00A53C3D"/>
    <w:rsid w:val="00A76238"/>
    <w:rsid w:val="00A81130"/>
    <w:rsid w:val="00A81E91"/>
    <w:rsid w:val="00A863AC"/>
    <w:rsid w:val="00A92B6A"/>
    <w:rsid w:val="00AA122B"/>
    <w:rsid w:val="00AA497E"/>
    <w:rsid w:val="00AB27E4"/>
    <w:rsid w:val="00AB554E"/>
    <w:rsid w:val="00AB5889"/>
    <w:rsid w:val="00AC4437"/>
    <w:rsid w:val="00AD318B"/>
    <w:rsid w:val="00AF2994"/>
    <w:rsid w:val="00AF3434"/>
    <w:rsid w:val="00AF769D"/>
    <w:rsid w:val="00B023A1"/>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5944"/>
    <w:rsid w:val="00BE5A73"/>
    <w:rsid w:val="00BE6674"/>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F42"/>
    <w:rsid w:val="00CB0841"/>
    <w:rsid w:val="00CB4C1D"/>
    <w:rsid w:val="00CB7657"/>
    <w:rsid w:val="00CC2D87"/>
    <w:rsid w:val="00CD6D75"/>
    <w:rsid w:val="00CF2BBE"/>
    <w:rsid w:val="00CF4D4A"/>
    <w:rsid w:val="00D041BA"/>
    <w:rsid w:val="00D1422A"/>
    <w:rsid w:val="00D168B3"/>
    <w:rsid w:val="00D24B42"/>
    <w:rsid w:val="00D27A98"/>
    <w:rsid w:val="00D44C4E"/>
    <w:rsid w:val="00D47475"/>
    <w:rsid w:val="00D52305"/>
    <w:rsid w:val="00D52B0E"/>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5274"/>
    <w:rsid w:val="00DF704A"/>
    <w:rsid w:val="00E0619F"/>
    <w:rsid w:val="00E06B7E"/>
    <w:rsid w:val="00E10CFB"/>
    <w:rsid w:val="00E16897"/>
    <w:rsid w:val="00E21824"/>
    <w:rsid w:val="00E245C9"/>
    <w:rsid w:val="00E3547F"/>
    <w:rsid w:val="00E37D0B"/>
    <w:rsid w:val="00E5081E"/>
    <w:rsid w:val="00E60AE0"/>
    <w:rsid w:val="00E65E88"/>
    <w:rsid w:val="00E77002"/>
    <w:rsid w:val="00E7736B"/>
    <w:rsid w:val="00E82DFC"/>
    <w:rsid w:val="00E8369A"/>
    <w:rsid w:val="00E837AA"/>
    <w:rsid w:val="00EA2343"/>
    <w:rsid w:val="00EA2EE7"/>
    <w:rsid w:val="00EB5511"/>
    <w:rsid w:val="00EB740A"/>
    <w:rsid w:val="00EB7498"/>
    <w:rsid w:val="00EB7D46"/>
    <w:rsid w:val="00EC7AC3"/>
    <w:rsid w:val="00EE2ABA"/>
    <w:rsid w:val="00EF46D6"/>
    <w:rsid w:val="00EF77F7"/>
    <w:rsid w:val="00F011E0"/>
    <w:rsid w:val="00F211C3"/>
    <w:rsid w:val="00F21B15"/>
    <w:rsid w:val="00F26C1E"/>
    <w:rsid w:val="00F36436"/>
    <w:rsid w:val="00F435FD"/>
    <w:rsid w:val="00F45D88"/>
    <w:rsid w:val="00F47DFF"/>
    <w:rsid w:val="00F64411"/>
    <w:rsid w:val="00F66FFF"/>
    <w:rsid w:val="00F7039E"/>
    <w:rsid w:val="00F73B8C"/>
    <w:rsid w:val="00F80827"/>
    <w:rsid w:val="00F83659"/>
    <w:rsid w:val="00F87238"/>
    <w:rsid w:val="00F95DF1"/>
    <w:rsid w:val="00FA7714"/>
    <w:rsid w:val="00FB5641"/>
    <w:rsid w:val="00FB7469"/>
    <w:rsid w:val="00FD32FF"/>
    <w:rsid w:val="00FE4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3354/meps0865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9374</Words>
  <Characters>53435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cp:revision>
  <cp:lastPrinted>2020-12-21T23:22:00Z</cp:lastPrinted>
  <dcterms:created xsi:type="dcterms:W3CDTF">2020-12-22T00:24:00Z</dcterms:created>
  <dcterms:modified xsi:type="dcterms:W3CDTF">2020-12-22T00:24:00Z</dcterms:modified>
</cp:coreProperties>
</file>