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r w:rsidRPr="00081D43">
        <w:rPr>
          <w:i/>
          <w:iCs/>
          <w:sz w:val="24"/>
          <w:szCs w:val="24"/>
        </w:rPr>
        <w:t>Channa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1C6EB03"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Pr="00AA122B">
        <w:rPr>
          <w:sz w:val="24"/>
          <w:szCs w:val="24"/>
        </w:rPr>
        <w:t xml:space="preserve"> Kaish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54DCFCA2"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Typical studies also have a large number of elemental compositions and shape measures relative 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 PERMANOVA and</w:t>
      </w:r>
      <w:r w:rsidR="00081D43">
        <w:rPr>
          <w:sz w:val="24"/>
          <w:szCs w:val="24"/>
        </w:rPr>
        <w:t xml:space="preserve"> MGLMs to a</w:t>
      </w:r>
      <w:r w:rsidR="00081D43" w:rsidRPr="00AA122B">
        <w:rPr>
          <w:sz w:val="24"/>
          <w:szCs w:val="24"/>
        </w:rPr>
        <w:t xml:space="preserve"> case study of </w:t>
      </w:r>
      <w:r w:rsidR="00081D43" w:rsidRPr="00AA122B">
        <w:rPr>
          <w:i/>
          <w:iCs/>
          <w:sz w:val="24"/>
          <w:szCs w:val="24"/>
        </w:rPr>
        <w:t xml:space="preserve">Channa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 xml:space="preserve">We also introduce the Tweedie distribution as a suitable error structure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both otolith shape, otolith chemistry and a combined otolith shape and chemistry dataset. This suggests that 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75D0EC27"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F83659">
        <w:rPr>
          <w:sz w:val="24"/>
          <w:szCs w:val="24"/>
        </w:rPr>
        <w:t xml:space="preserve"> (</w:t>
      </w:r>
      <w:r w:rsidR="00F83659">
        <w:rPr>
          <w:rFonts w:ascii="Calibri" w:eastAsia="Calibri" w:hAnsi="Calibri" w:cs="Calibri"/>
          <w:noProof/>
          <w:sz w:val="24"/>
          <w:szCs w:val="24"/>
        </w:rPr>
        <w:t xml:space="preserve">Tracey et al. 2006, </w:t>
      </w:r>
      <w:r w:rsidR="00F83659" w:rsidRPr="00F83659">
        <w:rPr>
          <w:rFonts w:ascii="Calibri" w:eastAsia="Calibri" w:hAnsi="Calibri" w:cs="Calibri"/>
          <w:noProof/>
          <w:sz w:val="24"/>
          <w:szCs w:val="24"/>
        </w:rPr>
        <w:t>Ferguson</w:t>
      </w:r>
      <w:r w:rsidR="00F83659">
        <w:rPr>
          <w:rFonts w:ascii="Calibri" w:eastAsia="Calibri" w:hAnsi="Calibri" w:cs="Calibri"/>
          <w:noProof/>
          <w:sz w:val="24"/>
          <w:szCs w:val="24"/>
        </w:rPr>
        <w:t xml:space="preserve"> et al. 2011)</w:t>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 (Campana and Casselman 1993; Begg et al. 2001</w:t>
      </w:r>
      <w:r w:rsidR="00155C64">
        <w:rPr>
          <w:sz w:val="24"/>
          <w:szCs w:val="24"/>
        </w:rPr>
        <w:t>;</w:t>
      </w:r>
      <w:r w:rsidR="00EA2343" w:rsidRPr="00AA122B">
        <w:rPr>
          <w:sz w:val="24"/>
          <w:szCs w:val="24"/>
        </w:rPr>
        <w:t xml:space="preserve"> Miyan et al. 2016</w:t>
      </w:r>
      <w:r w:rsidR="00F45D88">
        <w:rPr>
          <w:sz w:val="24"/>
          <w:szCs w:val="24"/>
        </w:rPr>
        <w:t>a</w:t>
      </w:r>
      <w:r w:rsidR="00155C64">
        <w:rPr>
          <w:sz w:val="24"/>
          <w:szCs w:val="24"/>
        </w:rPr>
        <w:t>; Nazir and Khan 2019</w:t>
      </w:r>
      <w:r w:rsidRPr="00AA122B">
        <w:rPr>
          <w:sz w:val="24"/>
          <w:szCs w:val="24"/>
        </w:rPr>
        <w:t xml:space="preserve">). </w:t>
      </w:r>
    </w:p>
    <w:p w14:paraId="447B3ABC" w14:textId="0F4C69C9"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Begg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Reddin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(Vignon and Morat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(Elsdon and Gillanders 2003; Stransky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Gramm</w:t>
      </w:r>
      <w:r w:rsidR="00712CD7">
        <w:rPr>
          <w:sz w:val="24"/>
          <w:szCs w:val="24"/>
        </w:rPr>
        <w:t>e</w:t>
      </w:r>
      <w:r w:rsidR="005F2BBF" w:rsidRPr="00AA122B">
        <w:rPr>
          <w:sz w:val="24"/>
          <w:szCs w:val="24"/>
        </w:rPr>
        <w:t xml:space="preserve">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(Elsdon and Gillanders 2004; Khan et al. 2012; M</w:t>
      </w:r>
      <w:r w:rsidR="00E7736B" w:rsidRPr="00AA122B">
        <w:rPr>
          <w:sz w:val="24"/>
          <w:szCs w:val="24"/>
        </w:rPr>
        <w:t>iyan et al., 2014; 2016a; 2016b</w:t>
      </w:r>
      <w:r w:rsidRPr="00AA122B">
        <w:rPr>
          <w:sz w:val="24"/>
          <w:szCs w:val="24"/>
        </w:rPr>
        <w:t>)</w:t>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773871" w:rsidRPr="00AA122B">
        <w:rPr>
          <w:sz w:val="24"/>
          <w:szCs w:val="24"/>
        </w:rPr>
        <w:t xml:space="preserve"> </w:t>
      </w:r>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bookmarkEnd w:id="2"/>
    </w:p>
    <w:p w14:paraId="4E8C2F13" w14:textId="5223920C"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using distance-based methods (eg. PERMANOVA; </w:t>
      </w:r>
      <w:r w:rsidR="00F45D88">
        <w:rPr>
          <w:sz w:val="24"/>
          <w:szCs w:val="24"/>
        </w:rPr>
        <w:t xml:space="preserve">Ferguson et al. 2011, </w:t>
      </w:r>
      <w:r w:rsidRPr="00EF46D6">
        <w:rPr>
          <w:sz w:val="24"/>
          <w:szCs w:val="24"/>
        </w:rPr>
        <w:t>Schilling et al. 2018</w:t>
      </w:r>
      <w:r w:rsidR="00622959">
        <w:rPr>
          <w:sz w:val="24"/>
          <w:szCs w:val="24"/>
        </w:rPr>
        <w:t>, Biol</w:t>
      </w:r>
      <w:r w:rsidR="00622959">
        <w:rPr>
          <w:rFonts w:cstheme="minorHAnsi"/>
          <w:sz w:val="24"/>
          <w:szCs w:val="24"/>
        </w:rPr>
        <w:t>é</w:t>
      </w:r>
      <w:r w:rsidR="00622959">
        <w:rPr>
          <w:sz w:val="24"/>
          <w:szCs w:val="24"/>
        </w:rPr>
        <w:t xml:space="preserve"> et al. 2019</w:t>
      </w:r>
      <w:r w:rsidRPr="00EF46D6">
        <w:rPr>
          <w:sz w:val="24"/>
          <w:szCs w:val="24"/>
        </w:rPr>
        <w:t xml:space="preserve">) or model-based methods which assume a gaussian error distribution (eg. MANOVA or LDA; Maguffee et al 2019). Ecologists typically also use these </w:t>
      </w:r>
      <w:r w:rsidR="00F45D88" w:rsidRPr="00EF46D6">
        <w:rPr>
          <w:sz w:val="24"/>
          <w:szCs w:val="24"/>
        </w:rPr>
        <w:t>distance-based</w:t>
      </w:r>
      <w:r w:rsidRPr="00EF46D6">
        <w:rPr>
          <w:sz w:val="24"/>
          <w:szCs w:val="24"/>
        </w:rPr>
        <w:t xml:space="preserve"> methods to form ordination plots to visualise the </w:t>
      </w:r>
      <w:r w:rsidRPr="00EF46D6">
        <w:rPr>
          <w:sz w:val="24"/>
          <w:szCs w:val="24"/>
        </w:rPr>
        <w:lastRenderedPageBreak/>
        <w:t>multivariate groupings in a low-dimensional plot (e.g. nMDS</w:t>
      </w:r>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analysis</w:t>
      </w:r>
      <w:r w:rsidR="00F45D88">
        <w:rPr>
          <w:sz w:val="24"/>
          <w:szCs w:val="24"/>
        </w:rPr>
        <w:t>;</w:t>
      </w:r>
      <w:r w:rsidRPr="00EF46D6">
        <w:rPr>
          <w:sz w:val="24"/>
          <w:szCs w:val="24"/>
        </w:rPr>
        <w:t xml:space="preserve"> </w:t>
      </w:r>
      <w:r w:rsidR="00F45D88">
        <w:rPr>
          <w:sz w:val="24"/>
          <w:szCs w:val="24"/>
        </w:rPr>
        <w:t>Tanner et al. 2012, Andrade et al. 2020</w:t>
      </w:r>
      <w:r w:rsidRPr="00EF46D6">
        <w:rPr>
          <w:sz w:val="24"/>
          <w:szCs w:val="24"/>
        </w:rPr>
        <w:t xml:space="preserve">). The issue however with taking these approaches is that they assume homogeneity, with no mean-variance relationship being taken into account in both the hypothesis testing or visualisation techniques. This is concerning for the otolith shape and chemistry data which have strong mean variance relationships, where the variance increases with the mean concentration and shape parameter value (e.g. Figure 2). The otolith data has a natural boundary at zero which creates a mean-variance relationship as 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Warton et al. 2018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383D48E9"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parameters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F45D88">
        <w:rPr>
          <w:sz w:val="24"/>
          <w:szCs w:val="24"/>
        </w:rPr>
        <w:t>detection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mean variance relationship similar to the shape data (e.g. Figure 2),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Warton et al. 2018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takes into </w:t>
      </w:r>
      <w:r w:rsidRPr="00EF46D6">
        <w:rPr>
          <w:sz w:val="24"/>
          <w:szCs w:val="24"/>
        </w:rPr>
        <w:lastRenderedPageBreak/>
        <w:t>account both the large number of null observations as well as the mean variance relationship exhibited in the present observations.</w:t>
      </w:r>
    </w:p>
    <w:p w14:paraId="15F2AE28" w14:textId="6C88B268"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a large number of null observations where the species was not found to be present and a distribution of positive continuous weight samples for the species that are found to be present. The solution to modelling the Biomass data and consequently the otolith Chemistry data is the Tweedie Distribution. The Tweedie distributions suitability to biomass data is explained in detail in Foster et. al 2013, however is largely due it’s equivalence to summing a Poisson 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 (Taylor 1961), which has been shown to arise under a variety of ecological processes (Kendal</w:t>
      </w:r>
      <w:r w:rsidR="00712CD7">
        <w:rPr>
          <w:sz w:val="24"/>
          <w:szCs w:val="24"/>
        </w:rPr>
        <w:t xml:space="preserve"> et al.</w:t>
      </w:r>
      <w:r w:rsidRPr="00EF46D6">
        <w:rPr>
          <w:sz w:val="24"/>
          <w:szCs w:val="24"/>
        </w:rPr>
        <w:t xml:space="preserve"> 2004). The use of the Tweedie distribution in an MGLM setting is also discussed in detail in Niku et. al. 2017. </w:t>
      </w:r>
    </w:p>
    <w:p w14:paraId="1A0FE89C" w14:textId="58661068" w:rsidR="00EF46D6" w:rsidRPr="00EF46D6" w:rsidRDefault="00EF46D6" w:rsidP="00EF46D6">
      <w:pPr>
        <w:spacing w:line="360" w:lineRule="auto"/>
        <w:ind w:firstLine="720"/>
        <w:rPr>
          <w:sz w:val="24"/>
          <w:szCs w:val="24"/>
        </w:rPr>
      </w:pPr>
      <w:bookmarkStart w:id="3"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 xml:space="preserve">compared to distance-based methods </w:t>
      </w:r>
      <w:bookmarkEnd w:id="3"/>
      <w:r w:rsidRPr="00EF46D6">
        <w:rPr>
          <w:sz w:val="24"/>
          <w:szCs w:val="24"/>
        </w:rPr>
        <w:t>(Warton et al 2015). While MGLMs are now common for abundance data (Wang et al 2012), they are rarely used for other datasets despite the flexibility of the method which allows users to specify model parameters to fit a dataset. Otolith Chemistry data and Shape data can be easily applied in an MGLM setting (Nik</w:t>
      </w:r>
      <w:r w:rsidR="00F45D88">
        <w:rPr>
          <w:sz w:val="24"/>
          <w:szCs w:val="24"/>
        </w:rPr>
        <w:t>u</w:t>
      </w:r>
      <w:r w:rsidRPr="00EF46D6">
        <w:rPr>
          <w:sz w:val="24"/>
          <w:szCs w:val="24"/>
        </w:rPr>
        <w:t xml:space="preserve"> et. al. 2017, Wang et al. 2012) for instance by specifying appropriate mean-variance relationships and error distributions for the data (Wang et al. 2012). Appropriately modelling the mean-variance relationship of data avoids misleading results that can that arise in the traditional approaches when their homogeneity assumptions are not met (Warton et al. 2012). Assumptions for these models can also be readily checked by plotting Dunn-Smyth residuals (Dunn and Smyth 1996) which are randomised quantile residuals that have been shown to </w:t>
      </w:r>
      <w:r w:rsidRPr="00EF46D6">
        <w:rPr>
          <w:sz w:val="24"/>
          <w:szCs w:val="24"/>
        </w:rPr>
        <w:lastRenderedPageBreak/>
        <w:t>be effective at detecting many forms of model misspecification for generalised linear models (Dunn and Smyth 20</w:t>
      </w:r>
      <w:r w:rsidR="00712CD7">
        <w:rPr>
          <w:sz w:val="24"/>
          <w:szCs w:val="24"/>
        </w:rPr>
        <w:t>18</w:t>
      </w:r>
      <w:r w:rsidRPr="00EF46D6">
        <w:rPr>
          <w:sz w:val="24"/>
          <w:szCs w:val="24"/>
        </w:rPr>
        <w:t>). MGLM’s have also been found to have higher power then distance-based methods such as PERMANOVA (Wart</w:t>
      </w:r>
      <w:r>
        <w:rPr>
          <w:sz w:val="24"/>
          <w:szCs w:val="24"/>
        </w:rPr>
        <w:t>o</w:t>
      </w:r>
      <w:r w:rsidRPr="00EF46D6">
        <w:rPr>
          <w:sz w:val="24"/>
          <w:szCs w:val="24"/>
        </w:rPr>
        <w:t>n et al. 2012). Visualisations can also be performed in an MGLM setting using a latent variable factor analysis (Hui 2016) or by taking a copula approach (Popovic et al. 2019) that do not mislead users into mistaking differences in variance with differences in the mean.</w:t>
      </w:r>
    </w:p>
    <w:p w14:paraId="6F5B655C" w14:textId="77777777" w:rsidR="00EF46D6" w:rsidRPr="00EF46D6" w:rsidRDefault="00EF46D6" w:rsidP="00EF46D6">
      <w:pPr>
        <w:spacing w:line="360" w:lineRule="auto"/>
        <w:ind w:firstLine="720"/>
        <w:rPr>
          <w:sz w:val="24"/>
          <w:szCs w:val="24"/>
        </w:rPr>
      </w:pPr>
      <w:r w:rsidRPr="00EF46D6">
        <w:rPr>
          <w:sz w:val="24"/>
          <w:szCs w:val="24"/>
        </w:rPr>
        <w:t xml:space="preserve">Another recent technique used to analyse otolith data are machine learning classification methods, that have become prominent as they are robust to many assumptions that are often hard for traditional methods to satisfy (Jones et al., 2017). These methods allow the data to be grouped into different classes, which users can align as their ‘population’ markers. This method however fails to provide a means for hypothesis testing nor to easily visualise the differences among the groups. </w:t>
      </w:r>
    </w:p>
    <w:p w14:paraId="65F3951F" w14:textId="6630648D" w:rsidR="002C7DE3" w:rsidRDefault="005C079A" w:rsidP="004753C2">
      <w:pPr>
        <w:spacing w:line="360" w:lineRule="auto"/>
        <w:ind w:firstLine="720"/>
        <w:rPr>
          <w:sz w:val="24"/>
          <w:szCs w:val="24"/>
        </w:rPr>
      </w:pPr>
      <w:r w:rsidRPr="00AA122B">
        <w:rPr>
          <w:i/>
          <w:iCs/>
          <w:sz w:val="24"/>
          <w:szCs w:val="24"/>
        </w:rPr>
        <w:t>Channa striata</w:t>
      </w:r>
      <w:r w:rsidRPr="00AA122B">
        <w:rPr>
          <w:sz w:val="24"/>
          <w:szCs w:val="24"/>
        </w:rPr>
        <w:t>, locally known</w:t>
      </w:r>
      <w:r w:rsidR="00134D0E" w:rsidRPr="00AA122B">
        <w:rPr>
          <w:sz w:val="24"/>
          <w:szCs w:val="24"/>
        </w:rPr>
        <w:t xml:space="preserve"> in India</w:t>
      </w:r>
      <w:r w:rsidRPr="00AA122B">
        <w:rPr>
          <w:sz w:val="24"/>
          <w:szCs w:val="24"/>
        </w:rPr>
        <w:t xml:space="preserve"> as “Dharidar-Sol”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Channidae.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 (Khan et al 2019). </w:t>
      </w:r>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r w:rsidRPr="00AA122B">
        <w:rPr>
          <w:i/>
          <w:iCs/>
          <w:sz w:val="24"/>
          <w:szCs w:val="24"/>
        </w:rPr>
        <w:t>Channa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r w:rsidR="00155C64" w:rsidRPr="00AA122B">
        <w:rPr>
          <w:sz w:val="24"/>
          <w:szCs w:val="24"/>
        </w:rPr>
        <w:t xml:space="preserve">Borneo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 (Phen et al., 2004; War et al., 2011).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 (Cagauan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Narora (27° 30' N; 78° 25' E) on the river Ganga, Agra (27.1767° N; 78.0081°E) on the river Yamuna and Lucknow (26° 55' N; 80° 59' E) on the river Gomti (Figure 1). Identification of the fish was based on the descriptions of Jayaram (1999); Talwar and Jhingaran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toliths were extracted using forceps, cleaned in fresh water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326795E7"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‘shape</w:t>
      </w:r>
      <w:r w:rsidR="001C7117">
        <w:rPr>
          <w:i/>
          <w:iCs/>
          <w:sz w:val="24"/>
          <w:szCs w:val="24"/>
        </w:rPr>
        <w:t>R</w:t>
      </w:r>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bookmarkStart w:id="4"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r w:rsidR="00372C33">
        <w:rPr>
          <w:i/>
          <w:iCs/>
          <w:sz w:val="24"/>
          <w:szCs w:val="24"/>
        </w:rPr>
        <w:t xml:space="preserve">smoothout()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 (Graps 1995).</w:t>
      </w:r>
      <w:r w:rsidR="00E0619F" w:rsidRPr="00880750">
        <w:rPr>
          <w:sz w:val="24"/>
          <w:szCs w:val="24"/>
        </w:rPr>
        <w:t xml:space="preserve"> </w:t>
      </w:r>
      <w:bookmarkEnd w:id="4"/>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bookmarkStart w:id="5"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5"/>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43B416C0"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(Turan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Elemental composition of whole otoliths were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w:t>
      </w:r>
      <w:r w:rsidR="00657EB2" w:rsidRPr="00AA122B">
        <w:rPr>
          <w:rFonts w:cstheme="minorHAnsi"/>
          <w:sz w:val="24"/>
          <w:szCs w:val="24"/>
        </w:rPr>
        <w:lastRenderedPageBreak/>
        <w:t>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Indium (In) and Gallium (Ga) were added in samples and blanks, which were used to correct for the remaining matrix effect and to compensate for instrument drift. Multi elemental standards were prepared with high purity ICP multi-element standard solution IV certiPUR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(Turan, 2006; Miyan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element:Calcium (mmol:mol)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6ED995DE" w:rsidR="00EF46D6" w:rsidRDefault="00AB27E4">
      <w:pPr>
        <w:spacing w:line="360" w:lineRule="auto"/>
        <w:ind w:firstLine="720"/>
        <w:rPr>
          <w:sz w:val="24"/>
          <w:szCs w:val="24"/>
        </w:rPr>
      </w:pPr>
      <w:r>
        <w:rPr>
          <w:sz w:val="24"/>
          <w:szCs w:val="24"/>
        </w:rPr>
        <w:t xml:space="preserve">All analysis was performed in </w:t>
      </w:r>
      <w:r w:rsidRPr="00AA122B">
        <w:rPr>
          <w:sz w:val="24"/>
          <w:szCs w:val="24"/>
        </w:rPr>
        <w:t>R v3.6.</w:t>
      </w:r>
      <w:r w:rsidR="00794B37">
        <w:rPr>
          <w:sz w:val="24"/>
          <w:szCs w:val="24"/>
        </w:rPr>
        <w:t>0</w:t>
      </w:r>
      <w:r w:rsidRPr="00AA122B">
        <w:rPr>
          <w:sz w:val="24"/>
          <w:szCs w:val="24"/>
        </w:rPr>
        <w:t xml:space="preserve">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r w:rsidR="00092AA9">
        <w:rPr>
          <w:sz w:val="24"/>
          <w:szCs w:val="24"/>
        </w:rPr>
        <w:t>As the initial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nMDS ordination plot to visualise the differences. Using the vegan R package, we created a dissimilarity matrix using Euclidean distances as is common for otolith datasets using the ‘</w:t>
      </w:r>
      <w:r w:rsidR="00092AA9" w:rsidRPr="007B4926">
        <w:rPr>
          <w:i/>
          <w:iCs/>
          <w:sz w:val="24"/>
          <w:szCs w:val="24"/>
        </w:rPr>
        <w:t>vegdist()</w:t>
      </w:r>
      <w:r w:rsidR="00092AA9">
        <w:rPr>
          <w:sz w:val="24"/>
          <w:szCs w:val="24"/>
        </w:rPr>
        <w:t>’ function (</w:t>
      </w:r>
      <w:r w:rsidR="00794B37">
        <w:rPr>
          <w:sz w:val="24"/>
          <w:szCs w:val="24"/>
        </w:rPr>
        <w:t>Schilling et al. 2018</w:t>
      </w:r>
      <w:r w:rsidR="00092AA9">
        <w:rPr>
          <w:sz w:val="24"/>
          <w:szCs w:val="24"/>
        </w:rPr>
        <w:t xml:space="preserve">). Distance based analyses such as PERMANOVA have an often untested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In fact, a google scholar search of “otolith PERMANOVA” for 2018 and 2019 revealed less than 10% of papers check this assumption.</w:t>
      </w:r>
      <w:r w:rsidR="00EF46D6" w:rsidRPr="00EF46D6">
        <w:rPr>
          <w:sz w:val="24"/>
          <w:szCs w:val="24"/>
        </w:rPr>
        <w:t xml:space="preserve"> </w:t>
      </w:r>
    </w:p>
    <w:p w14:paraId="11E478BC" w14:textId="41CCB5D7"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r w:rsidRPr="00EF46D6">
        <w:rPr>
          <w:i/>
          <w:iCs/>
          <w:sz w:val="24"/>
          <w:szCs w:val="24"/>
        </w:rPr>
        <w:t>betadisper()</w:t>
      </w:r>
      <w:r w:rsidRPr="00EF46D6">
        <w:rPr>
          <w:sz w:val="24"/>
          <w:szCs w:val="24"/>
        </w:rPr>
        <w:t xml:space="preserve">’ function where a significant result (P &lt; 0.05) indicates an unequal variance between groups and therefore a violation of the assumptions of PERMANOVA. If </w:t>
      </w:r>
      <w:r w:rsidRPr="00EF46D6">
        <w:rPr>
          <w:sz w:val="24"/>
          <w:szCs w:val="24"/>
        </w:rPr>
        <w:lastRenderedPageBreak/>
        <w:t>this assumption is satisfied, the typical approach will be to proceed with the PERMANOVA for multivariate differences between our three sites using the ‘</w:t>
      </w:r>
      <w:r w:rsidRPr="007B4926">
        <w:rPr>
          <w:i/>
          <w:iCs/>
          <w:sz w:val="24"/>
          <w:szCs w:val="24"/>
        </w:rPr>
        <w:t>adonis</w:t>
      </w:r>
      <w:r w:rsidR="00794B37" w:rsidRPr="007B4926">
        <w:rPr>
          <w:i/>
          <w:iCs/>
          <w:sz w:val="24"/>
          <w:szCs w:val="24"/>
        </w:rPr>
        <w:t>()</w:t>
      </w:r>
      <w:r w:rsidRPr="00EF46D6">
        <w:rPr>
          <w:sz w:val="24"/>
          <w:szCs w:val="24"/>
        </w:rPr>
        <w:t>’ function. We can then also create an nMDS ordination plot using the ’</w:t>
      </w:r>
      <w:r w:rsidRPr="007B4926">
        <w:rPr>
          <w:i/>
          <w:iCs/>
          <w:sz w:val="24"/>
          <w:szCs w:val="24"/>
        </w:rPr>
        <w:t>isoMDS</w:t>
      </w:r>
      <w:r w:rsidR="00794B37" w:rsidRPr="007B4926">
        <w:rPr>
          <w:i/>
          <w:iCs/>
          <w:sz w:val="24"/>
          <w:szCs w:val="24"/>
        </w:rPr>
        <w:t>()</w:t>
      </w:r>
      <w:r w:rsidRPr="00EF46D6">
        <w:rPr>
          <w:sz w:val="24"/>
          <w:szCs w:val="24"/>
        </w:rPr>
        <w:t>’ function from the MASS R package</w:t>
      </w:r>
      <w:r w:rsidR="00794B37">
        <w:rPr>
          <w:sz w:val="24"/>
          <w:szCs w:val="24"/>
        </w:rPr>
        <w:t>(</w:t>
      </w:r>
      <w:r w:rsidR="00794B37" w:rsidRPr="00794B37">
        <w:rPr>
          <w:sz w:val="24"/>
          <w:szCs w:val="24"/>
        </w:rPr>
        <w:t>Venables</w:t>
      </w:r>
      <w:r w:rsidR="00794B37">
        <w:rPr>
          <w:sz w:val="24"/>
          <w:szCs w:val="24"/>
        </w:rPr>
        <w:t xml:space="preserve"> &amp; Ripley 2002)</w:t>
      </w:r>
      <w:r w:rsidRPr="00EF46D6">
        <w:rPr>
          <w:sz w:val="24"/>
          <w:szCs w:val="24"/>
        </w:rPr>
        <w:t xml:space="preserve"> based upon the earlier created distance matrix.  </w:t>
      </w:r>
      <w:r w:rsidR="00BE5A73">
        <w:rPr>
          <w:sz w:val="24"/>
          <w:szCs w:val="24"/>
        </w:rPr>
        <w:t>However, i</w:t>
      </w:r>
      <w:r w:rsidRPr="00EF46D6">
        <w:rPr>
          <w:sz w:val="24"/>
          <w:szCs w:val="24"/>
        </w:rPr>
        <w:t>f however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69CF4F86"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 </w:instrText>
      </w:r>
      <w:r w:rsidR="00AB27E4">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EN.CITE.DATA </w:instrText>
      </w:r>
      <w:r w:rsidR="00AB27E4">
        <w:rPr>
          <w:sz w:val="24"/>
          <w:szCs w:val="24"/>
        </w:rPr>
      </w:r>
      <w:r w:rsidR="00AB27E4">
        <w:rPr>
          <w:sz w:val="24"/>
          <w:szCs w:val="24"/>
        </w:rPr>
        <w:fldChar w:fldCharType="end"/>
      </w:r>
      <w:r w:rsidR="00D936AC" w:rsidRPr="00AA122B">
        <w:rPr>
          <w:sz w:val="24"/>
          <w:szCs w:val="24"/>
        </w:rPr>
      </w:r>
      <w:r w:rsidR="00D936AC" w:rsidRPr="00AA122B">
        <w:rPr>
          <w:sz w:val="24"/>
          <w:szCs w:val="24"/>
        </w:rPr>
        <w:fldChar w:fldCharType="separate"/>
      </w:r>
      <w:r w:rsidR="00AB27E4">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 xml:space="preserve">variance plots which show how the variance changes with the mean of each variable. The mean variance plots identified that for both chemistry and shape data, as the mean increased, the </w:t>
      </w:r>
      <w:r w:rsidR="00673FFE" w:rsidRPr="00AA122B">
        <w:rPr>
          <w:sz w:val="24"/>
          <w:szCs w:val="24"/>
        </w:rPr>
        <w:lastRenderedPageBreak/>
        <w:t>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t>
      </w:r>
      <w:r w:rsidR="00673FFE" w:rsidRPr="00AA122B">
        <w:rPr>
          <w:sz w:val="24"/>
          <w:szCs w:val="24"/>
        </w:rPr>
        <w:t>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w:t>
      </w:r>
      <w:r w:rsidR="00EF46D6">
        <w:rPr>
          <w:sz w:val="24"/>
          <w:szCs w:val="24"/>
        </w:rPr>
        <w:t xml:space="preserve">Dunn-Smyth </w:t>
      </w:r>
      <w:r w:rsidR="00673FFE" w:rsidRPr="00AA122B">
        <w:rPr>
          <w:sz w:val="24"/>
          <w:szCs w:val="24"/>
        </w:rPr>
        <w:t xml:space="preserve">residual plots were inspected for each model. No </w:t>
      </w:r>
      <w:r w:rsidR="007170ED" w:rsidRPr="00AA122B">
        <w:rPr>
          <w:sz w:val="24"/>
          <w:szCs w:val="24"/>
        </w:rPr>
        <w:t xml:space="preserve">strong </w:t>
      </w:r>
      <w:r w:rsidR="00673FFE" w:rsidRPr="00AA122B">
        <w:rPr>
          <w:sz w:val="24"/>
          <w:szCs w:val="24"/>
        </w:rPr>
        <w:t>pattern w</w:t>
      </w:r>
      <w:r w:rsidR="00532B50">
        <w:rPr>
          <w:sz w:val="24"/>
          <w:szCs w:val="24"/>
        </w:rPr>
        <w:t>ere</w:t>
      </w:r>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‘manyany</w:t>
      </w:r>
      <w:r w:rsidR="00BE5A73">
        <w:rPr>
          <w:i/>
          <w:iCs/>
          <w:sz w:val="24"/>
          <w:szCs w:val="24"/>
        </w:rPr>
        <w:t>()</w:t>
      </w:r>
      <w:r w:rsidR="00673FFE" w:rsidRPr="00AA122B">
        <w:rPr>
          <w:i/>
          <w:iCs/>
          <w:sz w:val="24"/>
          <w:szCs w:val="24"/>
        </w:rPr>
        <w:t>’</w:t>
      </w:r>
      <w:r w:rsidR="00673FFE" w:rsidRPr="00AA122B">
        <w:rPr>
          <w:sz w:val="24"/>
          <w:szCs w:val="24"/>
        </w:rPr>
        <w:t xml:space="preserve"> function in the </w:t>
      </w:r>
      <w:r w:rsidR="00673FFE" w:rsidRPr="007B4926">
        <w:rPr>
          <w:sz w:val="24"/>
          <w:szCs w:val="24"/>
        </w:rPr>
        <w:t>mvabund</w:t>
      </w:r>
      <w:r w:rsidR="00673FFE" w:rsidRPr="00AA122B">
        <w:rPr>
          <w:sz w:val="24"/>
          <w:szCs w:val="24"/>
        </w:rPr>
        <w:t xml:space="preserve"> R package </w:t>
      </w:r>
      <w:r w:rsidR="00673FFE" w:rsidRPr="00AA122B">
        <w:rPr>
          <w:sz w:val="24"/>
          <w:szCs w:val="24"/>
        </w:rPr>
        <w:fldChar w:fldCharType="begin"/>
      </w:r>
      <w:r w:rsidR="00AB27E4">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sidR="00AB27E4">
        <w:rPr>
          <w:noProof/>
          <w:sz w:val="24"/>
          <w:szCs w:val="24"/>
        </w:rPr>
        <w:t>(Wang et al., 2012)</w:t>
      </w:r>
      <w:r w:rsidR="00673FFE" w:rsidRPr="00AA122B">
        <w:rPr>
          <w:sz w:val="24"/>
          <w:szCs w:val="24"/>
        </w:rPr>
        <w:fldChar w:fldCharType="end"/>
      </w:r>
      <w:r w:rsidR="00673FFE" w:rsidRPr="00AA122B">
        <w:rPr>
          <w:sz w:val="24"/>
          <w:szCs w:val="24"/>
        </w:rPr>
        <w:t>.</w:t>
      </w:r>
    </w:p>
    <w:p w14:paraId="37A1F3D1" w14:textId="0617D5C8" w:rsidR="00134D0E" w:rsidRPr="00AA122B" w:rsidRDefault="00575129" w:rsidP="007B4926">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r w:rsidR="007A4985" w:rsidRPr="00AA122B">
        <w:rPr>
          <w:i/>
          <w:sz w:val="24"/>
          <w:szCs w:val="24"/>
        </w:rPr>
        <w:t>manyany</w:t>
      </w:r>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r w:rsidR="006344FF" w:rsidRPr="00AA122B">
        <w:rPr>
          <w:sz w:val="24"/>
          <w:szCs w:val="24"/>
        </w:rPr>
        <w:t xml:space="preserve">Posthoc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‘manyany</w:t>
      </w:r>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r w:rsidR="00D936AC" w:rsidRPr="00AA122B">
        <w:rPr>
          <w:i/>
          <w:iCs/>
          <w:sz w:val="24"/>
          <w:szCs w:val="24"/>
        </w:rPr>
        <w:t>padjust</w:t>
      </w:r>
      <w:r w:rsidR="00860052">
        <w:rPr>
          <w:i/>
          <w:iCs/>
          <w:sz w:val="24"/>
          <w:szCs w:val="24"/>
        </w:rPr>
        <w:t>()</w:t>
      </w:r>
      <w:r w:rsidR="00D936AC" w:rsidRPr="00AA122B">
        <w:rPr>
          <w:sz w:val="24"/>
          <w:szCs w:val="24"/>
        </w:rPr>
        <w:t>’ funtion</w:t>
      </w:r>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 (Hui et al. 2015)</w:t>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 (Hui 2016). By using generalised linear models, this approach can align the visualisation model with the testing model, check </w:t>
      </w:r>
      <w:r w:rsidR="00EF46D6" w:rsidRPr="00EF46D6">
        <w:rPr>
          <w:sz w:val="24"/>
          <w:szCs w:val="24"/>
        </w:rPr>
        <w:lastRenderedPageBreak/>
        <w:t>assumptions and specify mean-variance relationships.</w:t>
      </w:r>
      <w:r w:rsidR="00860052">
        <w:rPr>
          <w:sz w:val="24"/>
          <w:szCs w:val="24"/>
        </w:rPr>
        <w:t xml:space="preserve"> </w:t>
      </w:r>
      <w:r w:rsidR="004650C2" w:rsidRPr="00AA122B">
        <w:rPr>
          <w:sz w:val="24"/>
          <w:szCs w:val="24"/>
        </w:rPr>
        <w:t xml:space="preserve">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7B4926" w:rsidRDefault="00235D51" w:rsidP="007B4926">
      <w:pPr>
        <w:spacing w:line="360" w:lineRule="auto"/>
        <w:ind w:left="360"/>
        <w:rPr>
          <w:i/>
          <w:iCs/>
          <w:sz w:val="24"/>
          <w:szCs w:val="24"/>
        </w:rPr>
      </w:pPr>
      <w:r w:rsidRPr="007B4926">
        <w:rPr>
          <w:i/>
          <w:iCs/>
          <w:sz w:val="24"/>
          <w:szCs w:val="24"/>
        </w:rPr>
        <w:t>3.1  Distance-based Assumptions and Analysis</w:t>
      </w:r>
    </w:p>
    <w:p w14:paraId="65B89E96" w14:textId="029EEADD" w:rsidR="00235D51" w:rsidRPr="007B4926" w:rsidRDefault="00235D51" w:rsidP="007B4926">
      <w:pPr>
        <w:spacing w:line="360" w:lineRule="auto"/>
        <w:ind w:firstLine="360"/>
        <w:rPr>
          <w:sz w:val="24"/>
          <w:szCs w:val="24"/>
        </w:rPr>
      </w:pPr>
      <w:r w:rsidRPr="007B4926">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7B4926">
        <w:rPr>
          <w:sz w:val="24"/>
          <w:szCs w:val="24"/>
        </w:rPr>
        <w:t xml:space="preserve"> data (</w:t>
      </w:r>
      <w:r w:rsidRPr="007B4926">
        <w:rPr>
          <w:i/>
          <w:iCs/>
          <w:sz w:val="24"/>
          <w:szCs w:val="24"/>
        </w:rPr>
        <w:t>F</w:t>
      </w:r>
      <w:r w:rsidRPr="007B4926">
        <w:rPr>
          <w:sz w:val="24"/>
          <w:szCs w:val="24"/>
          <w:vertAlign w:val="subscript"/>
        </w:rPr>
        <w:t>2,51</w:t>
      </w:r>
      <w:r w:rsidRPr="007B4926">
        <w:rPr>
          <w:sz w:val="24"/>
          <w:szCs w:val="24"/>
        </w:rPr>
        <w:t xml:space="preserve"> = 9.409, P &lt; 0.001) and the combined </w:t>
      </w:r>
      <w:r w:rsidR="001428DA">
        <w:rPr>
          <w:sz w:val="24"/>
          <w:szCs w:val="24"/>
        </w:rPr>
        <w:t>chemistry</w:t>
      </w:r>
      <w:r w:rsidRPr="007B4926">
        <w:rPr>
          <w:sz w:val="24"/>
          <w:szCs w:val="24"/>
        </w:rPr>
        <w:t xml:space="preserve"> and shape data (</w:t>
      </w:r>
      <w:r w:rsidRPr="007B4926">
        <w:rPr>
          <w:i/>
          <w:iCs/>
          <w:sz w:val="24"/>
          <w:szCs w:val="24"/>
        </w:rPr>
        <w:t>F</w:t>
      </w:r>
      <w:r w:rsidRPr="007B4926">
        <w:rPr>
          <w:sz w:val="24"/>
          <w:szCs w:val="24"/>
          <w:vertAlign w:val="subscript"/>
        </w:rPr>
        <w:t>2,51</w:t>
      </w:r>
      <w:r w:rsidRPr="007B4926">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7B4926">
        <w:rPr>
          <w:sz w:val="24"/>
          <w:szCs w:val="24"/>
        </w:rPr>
        <w:t xml:space="preserve"> satisfied for the shape only dataset (</w:t>
      </w:r>
      <w:r w:rsidRPr="007B4926">
        <w:rPr>
          <w:i/>
          <w:iCs/>
          <w:sz w:val="24"/>
          <w:szCs w:val="24"/>
        </w:rPr>
        <w:t>F</w:t>
      </w:r>
      <w:r w:rsidRPr="007B4926">
        <w:rPr>
          <w:sz w:val="24"/>
          <w:szCs w:val="24"/>
          <w:vertAlign w:val="subscript"/>
        </w:rPr>
        <w:t>2,51</w:t>
      </w:r>
      <w:r w:rsidRPr="007B4926">
        <w:rPr>
          <w:sz w:val="24"/>
          <w:szCs w:val="24"/>
        </w:rPr>
        <w:t xml:space="preserve"> = 0.420, P = 0.659). </w:t>
      </w:r>
    </w:p>
    <w:p w14:paraId="76A8D899" w14:textId="77777777" w:rsidR="00235D51" w:rsidRPr="007B4926" w:rsidRDefault="00235D51" w:rsidP="007B4926">
      <w:pPr>
        <w:spacing w:line="360" w:lineRule="auto"/>
        <w:ind w:firstLine="360"/>
        <w:rPr>
          <w:sz w:val="24"/>
          <w:szCs w:val="24"/>
        </w:rPr>
      </w:pPr>
      <w:r w:rsidRPr="007B4926">
        <w:rPr>
          <w:sz w:val="24"/>
          <w:szCs w:val="24"/>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6FC71580"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Figure 4</w:t>
      </w:r>
      <w:r w:rsidRPr="00692A4F">
        <w:rPr>
          <w:sz w:val="24"/>
          <w:szCs w:val="24"/>
        </w:rPr>
        <w:t xml:space="preserve">). Visualising the multivariate differences in the NMDS ordination reveals some separation between sites, driven by the Narora site while the Agra and Lucknow samples have considerable overlap (Figure </w:t>
      </w:r>
      <w:r>
        <w:rPr>
          <w:sz w:val="24"/>
          <w:szCs w:val="24"/>
        </w:rPr>
        <w:t>5</w:t>
      </w:r>
      <w:r w:rsidRPr="00692A4F">
        <w:rPr>
          <w:sz w:val="24"/>
          <w:szCs w:val="24"/>
        </w:rPr>
        <w:t>, stress = 0.12).</w:t>
      </w:r>
    </w:p>
    <w:p w14:paraId="468A6C4E" w14:textId="1F5B412A" w:rsidR="00235D51" w:rsidRPr="007B4926" w:rsidRDefault="00235D51" w:rsidP="007B4926">
      <w:pPr>
        <w:spacing w:line="360" w:lineRule="auto"/>
        <w:ind w:firstLine="360"/>
        <w:rPr>
          <w:sz w:val="24"/>
          <w:szCs w:val="24"/>
        </w:rPr>
      </w:pPr>
      <w:r w:rsidRPr="007B4926">
        <w:rPr>
          <w:sz w:val="24"/>
          <w:szCs w:val="24"/>
        </w:rPr>
        <w:t>Using the otolith chemistry data, PERMANOVA showed strong differences between sites (</w:t>
      </w:r>
      <w:r w:rsidRPr="007B4926">
        <w:rPr>
          <w:i/>
          <w:iCs/>
          <w:sz w:val="24"/>
          <w:szCs w:val="24"/>
        </w:rPr>
        <w:t>F</w:t>
      </w:r>
      <w:r w:rsidRPr="007B4926">
        <w:rPr>
          <w:sz w:val="24"/>
          <w:szCs w:val="24"/>
          <w:vertAlign w:val="subscript"/>
        </w:rPr>
        <w:t>2,53</w:t>
      </w:r>
      <w:r w:rsidRPr="007B4926">
        <w:rPr>
          <w:sz w:val="24"/>
          <w:szCs w:val="24"/>
        </w:rPr>
        <w:t xml:space="preserve"> = 513.15, P &lt; 0.001</w:t>
      </w:r>
      <w:r w:rsidR="00E837AA">
        <w:rPr>
          <w:sz w:val="24"/>
          <w:szCs w:val="24"/>
        </w:rPr>
        <w:t>, Figure 6</w:t>
      </w:r>
      <w:r w:rsidRPr="007B4926">
        <w:rPr>
          <w:sz w:val="24"/>
          <w:szCs w:val="24"/>
        </w:rPr>
        <w:t xml:space="preserve">). Visualisation using the NMDS ordination showed large separation between the Agra site and the other sites along the NMDS 1 axis (Figure </w:t>
      </w:r>
      <w:r w:rsidR="00E837AA">
        <w:rPr>
          <w:sz w:val="24"/>
          <w:szCs w:val="24"/>
        </w:rPr>
        <w:t>5</w:t>
      </w:r>
      <w:r w:rsidRPr="007B4926">
        <w:rPr>
          <w:sz w:val="24"/>
          <w:szCs w:val="24"/>
        </w:rPr>
        <w:t>, stress = 0.01). The Narora site was heavily dispersed along the NMDS 2 axis with some samples overlapping the Lucknow site.</w:t>
      </w:r>
    </w:p>
    <w:p w14:paraId="3D8E98EB" w14:textId="1AC813EB" w:rsidR="00235D51" w:rsidRPr="007B4926" w:rsidRDefault="00235D51" w:rsidP="007B4926">
      <w:pPr>
        <w:spacing w:line="360" w:lineRule="auto"/>
        <w:ind w:firstLine="360"/>
        <w:rPr>
          <w:sz w:val="24"/>
          <w:szCs w:val="24"/>
        </w:rPr>
      </w:pPr>
      <w:r w:rsidRPr="007B4926">
        <w:rPr>
          <w:sz w:val="24"/>
          <w:szCs w:val="24"/>
        </w:rPr>
        <w:t>When combined, the PERMANOVA again showed clear differences between sites (</w:t>
      </w:r>
      <w:r w:rsidRPr="007B4926">
        <w:rPr>
          <w:i/>
          <w:iCs/>
          <w:sz w:val="24"/>
          <w:szCs w:val="24"/>
        </w:rPr>
        <w:t>F</w:t>
      </w:r>
      <w:r w:rsidRPr="007B4926">
        <w:rPr>
          <w:sz w:val="24"/>
          <w:szCs w:val="24"/>
          <w:vertAlign w:val="subscript"/>
        </w:rPr>
        <w:t>2,53</w:t>
      </w:r>
      <w:r w:rsidRPr="007B4926">
        <w:rPr>
          <w:sz w:val="24"/>
          <w:szCs w:val="24"/>
        </w:rPr>
        <w:t xml:space="preserve"> = 511.76, P &lt; 0.001). The separation in the NMDS ordinations was clearly driven by the differences in otolith chemistry with an almost identical pattern observed (Figure </w:t>
      </w:r>
      <w:r w:rsidR="00E837AA">
        <w:rPr>
          <w:sz w:val="24"/>
          <w:szCs w:val="24"/>
        </w:rPr>
        <w:t>5</w:t>
      </w:r>
      <w:r w:rsidRPr="007B4926">
        <w:rPr>
          <w:sz w:val="24"/>
          <w:szCs w:val="24"/>
        </w:rPr>
        <w:t>, stress = 0.01).</w:t>
      </w:r>
    </w:p>
    <w:p w14:paraId="1F2079A5" w14:textId="45C5C272" w:rsidR="00235D51" w:rsidRPr="007B4926" w:rsidRDefault="00EF46D6" w:rsidP="007B4926">
      <w:pPr>
        <w:spacing w:line="360" w:lineRule="auto"/>
        <w:ind w:firstLine="360"/>
        <w:rPr>
          <w:sz w:val="24"/>
          <w:szCs w:val="24"/>
        </w:rPr>
      </w:pPr>
      <w:bookmarkStart w:id="6" w:name="_Hlk59445274"/>
      <w:r w:rsidRPr="00EF46D6">
        <w:rPr>
          <w:sz w:val="24"/>
          <w:szCs w:val="24"/>
        </w:rPr>
        <w:t xml:space="preserve">An important point to note in the NMDS plots for the Chemistry only and combined visualisations (Figure 5)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easier to distinguish if they didn’t overlap with more variable samples from Norora. This observation however is incredibly misleading and is a prime example of the dangers in ordination techniques that do not take into account mean-variance relationships (being explained in detail in Warton et. al. (2012)). Samples from Lucknow had the lowest mean concentrations of all chemicals besides Magnesium (Figure 6). This difference in ‘variance’ we are seeing in the NMDS plots for the Lucknow samples is in reality just a difference in mean concentration, with the difference in variance arising from the mean-variance relationship this data has (where the variance increases with the mean). Without properly accounting for this relationship users can inflate differences in mean concentrations for differences in concentration variability (confounding location and dispersion effects). Conversely, if we look at the model based latent variable ordinations (Figure 7) that do take into account a mean-variance relationship we not only get ‘greater power’ to pick apart the different populations, but we also have samples from the Lucknow site no longer being depicted with small variability, instead being similar in variability to samples from Norora, removing this previously misleading result.</w:t>
      </w:r>
      <w:bookmarkEnd w:id="6"/>
    </w:p>
    <w:p w14:paraId="29908E73" w14:textId="2F0BEB0B"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2AB57F23"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Figure 4</w:t>
      </w:r>
      <w:r w:rsidR="00740C18" w:rsidRPr="00AA122B">
        <w:rPr>
          <w:sz w:val="24"/>
          <w:szCs w:val="24"/>
        </w:rPr>
        <w:t>).</w:t>
      </w:r>
      <w:r w:rsidR="006E6BB6" w:rsidRPr="00AA122B">
        <w:rPr>
          <w:sz w:val="24"/>
          <w:szCs w:val="24"/>
        </w:rPr>
        <w:t xml:space="preserve"> </w:t>
      </w:r>
    </w:p>
    <w:p w14:paraId="208A8AE9" w14:textId="69A7D64C"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1428DA">
        <w:rPr>
          <w:sz w:val="24"/>
          <w:szCs w:val="24"/>
        </w:rPr>
        <w:t>6</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1428DA">
        <w:rPr>
          <w:sz w:val="24"/>
          <w:szCs w:val="24"/>
        </w:rPr>
        <w:t>6</w:t>
      </w:r>
      <w:r w:rsidR="00FB5641">
        <w:rPr>
          <w:sz w:val="24"/>
          <w:szCs w:val="24"/>
        </w:rPr>
        <w:t>). The Na</w:t>
      </w:r>
      <w:r w:rsidR="00E3547F">
        <w:rPr>
          <w:sz w:val="24"/>
          <w:szCs w:val="24"/>
        </w:rPr>
        <w:t>r</w:t>
      </w:r>
      <w:r w:rsidR="00FB5641">
        <w:rPr>
          <w:sz w:val="24"/>
          <w:szCs w:val="24"/>
        </w:rPr>
        <w:t>ora site</w:t>
      </w:r>
      <w:r w:rsidR="00E3547F">
        <w:rPr>
          <w:sz w:val="24"/>
          <w:szCs w:val="24"/>
        </w:rPr>
        <w:t xml:space="preserve"> had</w:t>
      </w:r>
      <w:r w:rsidR="00FB5641">
        <w:rPr>
          <w:sz w:val="24"/>
          <w:szCs w:val="24"/>
        </w:rPr>
        <w:t xml:space="preserve"> the highest concentrations of the other two elements (Zinc &amp; Magnesium; Figure </w:t>
      </w:r>
      <w:r w:rsidR="001428DA">
        <w:rPr>
          <w:sz w:val="24"/>
          <w:szCs w:val="24"/>
        </w:rPr>
        <w:t>6</w:t>
      </w:r>
      <w:r w:rsidR="00FB5641">
        <w:rPr>
          <w:sz w:val="24"/>
          <w:szCs w:val="24"/>
        </w:rPr>
        <w:t xml:space="preserve">). The Lucknow site showed the lowest concentrations of all elements (Figure </w:t>
      </w:r>
      <w:r w:rsidR="001428DA">
        <w:rPr>
          <w:sz w:val="24"/>
          <w:szCs w:val="24"/>
        </w:rPr>
        <w:t>6</w:t>
      </w:r>
      <w:r w:rsidR="00FB5641">
        <w:rPr>
          <w:sz w:val="24"/>
          <w:szCs w:val="24"/>
        </w:rPr>
        <w:t>).</w:t>
      </w:r>
    </w:p>
    <w:p w14:paraId="29890C59" w14:textId="7C713AAA"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25EFEF3C"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1428DA">
        <w:rPr>
          <w:sz w:val="24"/>
          <w:szCs w:val="24"/>
        </w:rPr>
        <w:t>7</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w:t>
      </w:r>
      <w:r w:rsidR="00750F7C" w:rsidRPr="00AA122B">
        <w:rPr>
          <w:sz w:val="24"/>
          <w:szCs w:val="24"/>
        </w:rPr>
        <w:lastRenderedPageBreak/>
        <w:t xml:space="preserve">multivariate generalised linear models with larger differences evident in the otolith chemistry data (Figure </w:t>
      </w:r>
      <w:r w:rsidR="001428DA">
        <w:rPr>
          <w:sz w:val="24"/>
          <w:szCs w:val="24"/>
        </w:rPr>
        <w:t>7</w:t>
      </w:r>
      <w:r w:rsidR="00750F7C" w:rsidRPr="00AA122B">
        <w:rPr>
          <w:sz w:val="24"/>
          <w:szCs w:val="24"/>
        </w:rPr>
        <w:t xml:space="preserve">a) than the otolith shape data (Figure </w:t>
      </w:r>
      <w:r w:rsidR="001428DA">
        <w:rPr>
          <w:sz w:val="24"/>
          <w:szCs w:val="24"/>
        </w:rPr>
        <w:t>7</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1428DA">
        <w:rPr>
          <w:sz w:val="24"/>
          <w:szCs w:val="24"/>
        </w:rPr>
        <w:t>7</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02B9B049"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7AEB3AF2"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7"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mean variance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r w:rsidR="0041004D" w:rsidRPr="00AA122B">
        <w:rPr>
          <w:bCs/>
          <w:i/>
          <w:sz w:val="24"/>
          <w:szCs w:val="24"/>
        </w:rPr>
        <w:t>Channa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7"/>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7D044628"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257FB6C6" w:rsidR="00EF46D6" w:rsidRPr="00EF46D6" w:rsidRDefault="00EF46D6" w:rsidP="00EF46D6">
      <w:pPr>
        <w:spacing w:line="360" w:lineRule="auto"/>
        <w:ind w:firstLine="720"/>
        <w:rPr>
          <w:sz w:val="24"/>
          <w:szCs w:val="24"/>
        </w:rPr>
      </w:pPr>
      <w:bookmarkStart w:id="8" w:name="_Hlk59445328"/>
      <w:r w:rsidRPr="00EF46D6">
        <w:rPr>
          <w:sz w:val="24"/>
          <w:szCs w:val="24"/>
        </w:rPr>
        <w:t xml:space="preserve">A major advantage of this method is that MGLMs are flexible, being able to specify mean variance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2 &amp; 3). Not only do MGLM’s help to avoid misleading results but they have also been shown to have greater power at detecting effects when compared to traditional distance based approaches (</w:t>
      </w:r>
      <w:r w:rsidRPr="00EF46D6">
        <w:rPr>
          <w:sz w:val="24"/>
          <w:szCs w:val="24"/>
        </w:rPr>
        <w:fldChar w:fldCharType="begin"/>
      </w:r>
      <w:r w:rsidRPr="00EF46D6">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Pr="00EF46D6">
        <w:rPr>
          <w:sz w:val="24"/>
          <w:szCs w:val="24"/>
        </w:rPr>
        <w:fldChar w:fldCharType="separate"/>
      </w:r>
      <w:r w:rsidRPr="00EF46D6">
        <w:rPr>
          <w:sz w:val="24"/>
          <w:szCs w:val="24"/>
        </w:rPr>
        <w:t>Warton et al. 2012)</w:t>
      </w:r>
      <w:r w:rsidRPr="00EF46D6">
        <w:rPr>
          <w:sz w:val="24"/>
          <w:szCs w:val="24"/>
        </w:rPr>
        <w:fldChar w:fldCharType="end"/>
      </w:r>
      <w:r w:rsidRPr="00EF46D6">
        <w:rPr>
          <w:sz w:val="24"/>
          <w:szCs w:val="24"/>
        </w:rPr>
        <w:t>. Warton et al. 2012 also found that mean-variance misspecification can lead to the confounding of dispersion and location effects in ordination plots (which we have verified in this study), misleading results when attempting to identify which response the effect is expressed in and a failure to detect multivariate effects unless it expressed in a high variance response.</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8"/>
    <w:p w14:paraId="28E800C2" w14:textId="6EDE1D8E"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a</w:t>
      </w:r>
      <w:r w:rsidRPr="00AA122B">
        <w:rPr>
          <w:sz w:val="24"/>
          <w:szCs w:val="24"/>
        </w:rPr>
        <w:t xml:space="preserve"> large number of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this is not a concern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gb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3251086B"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but the overall separation improving when shape data was combined with the elemental data. While the current study used a Bayesian model based latent variable method (Hui et al. 2015), an alternative ordination method directly based upon the MGLM model could be produced using Gaussian copula graphical models which can be run using the ‘ecoCopula’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w:t>
      </w:r>
      <w:r w:rsidR="00EF46D6" w:rsidRPr="00EF46D6">
        <w:rPr>
          <w:sz w:val="24"/>
          <w:szCs w:val="24"/>
        </w:rPr>
        <w:lastRenderedPageBreak/>
        <w:t>Both these ordination methods provide an alternative to traditional based distance-based ordination methods which we have shown to be misleading by failing to account for mean-variance relations.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786AA29F"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9"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9E771E" w:rsidRPr="00AA122B">
        <w:rPr>
          <w:bCs/>
          <w:sz w:val="24"/>
          <w:szCs w:val="24"/>
        </w:rPr>
        <w:t xml:space="preserve"> </w:t>
      </w:r>
      <w:r w:rsidR="002D3BE2" w:rsidRPr="00AA122B">
        <w:rPr>
          <w:bCs/>
          <w:sz w:val="24"/>
          <w:szCs w:val="24"/>
        </w:rPr>
        <w:t>(</w:t>
      </w:r>
      <w:r w:rsidR="009E771E" w:rsidRPr="00AA122B">
        <w:rPr>
          <w:bCs/>
          <w:sz w:val="24"/>
          <w:szCs w:val="24"/>
        </w:rPr>
        <w:t>Khan et al. 2019).</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712CD7">
        <w:rPr>
          <w:bCs/>
          <w:sz w:val="24"/>
          <w:szCs w:val="24"/>
        </w:rPr>
        <w:t xml:space="preserve"> (Begg et al. 1999)</w:t>
      </w:r>
      <w:r w:rsidR="00001F05">
        <w:rPr>
          <w:bCs/>
          <w:sz w:val="24"/>
          <w:szCs w:val="24"/>
        </w:rPr>
        <w:t xml:space="preserve">. </w:t>
      </w:r>
      <w:bookmarkEnd w:id="9"/>
    </w:p>
    <w:p w14:paraId="73C12709" w14:textId="2F3B6822" w:rsidR="0019601D" w:rsidRPr="00AA122B" w:rsidRDefault="0019601D" w:rsidP="004753C2">
      <w:pPr>
        <w:spacing w:line="360" w:lineRule="auto"/>
        <w:ind w:firstLine="720"/>
        <w:rPr>
          <w:b/>
          <w:bCs/>
          <w:sz w:val="24"/>
          <w:szCs w:val="24"/>
        </w:rPr>
      </w:pPr>
      <w:bookmarkStart w:id="10"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0"/>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2BAD15D"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 xml:space="preserve">further research into potential demographic differences in now necessary which 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13FEB8CD"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2E04460C"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2C794AF4" w14:textId="1A143DC5" w:rsidR="00F45D88" w:rsidRDefault="00F45D88" w:rsidP="004753C2">
      <w:pPr>
        <w:spacing w:line="360" w:lineRule="auto"/>
        <w:ind w:left="720" w:hanging="720"/>
        <w:rPr>
          <w:rFonts w:ascii="Calibri" w:eastAsia="Calibri" w:hAnsi="Calibri" w:cs="Calibri"/>
          <w:noProof/>
          <w:sz w:val="24"/>
          <w:szCs w:val="24"/>
          <w:lang w:val="en-US"/>
        </w:rPr>
      </w:pPr>
      <w:r w:rsidRPr="00F45D88">
        <w:rPr>
          <w:rFonts w:ascii="Calibri" w:eastAsia="Calibri" w:hAnsi="Calibri" w:cs="Calibri"/>
          <w:noProof/>
          <w:sz w:val="24"/>
          <w:szCs w:val="24"/>
        </w:rPr>
        <w:t>Andrade, H., van der Sleen, P., Black, B. A., Godiksen, J. A., Locke, W. L., Carroll, M. L., ... &amp; Geffen, A. (2020). Ontogenetic movements of cod in Arctic fjords and the Barents Sea as revealed by otolith microchemistry. </w:t>
      </w:r>
      <w:r w:rsidRPr="00F45D88">
        <w:rPr>
          <w:rFonts w:ascii="Calibri" w:eastAsia="Calibri" w:hAnsi="Calibri" w:cs="Calibri"/>
          <w:i/>
          <w:iCs/>
          <w:noProof/>
          <w:sz w:val="24"/>
          <w:szCs w:val="24"/>
        </w:rPr>
        <w:t>Polar Biology</w:t>
      </w:r>
      <w:r w:rsidRPr="00F45D88">
        <w:rPr>
          <w:rFonts w:ascii="Calibri" w:eastAsia="Calibri" w:hAnsi="Calibri" w:cs="Calibri"/>
          <w:noProof/>
          <w:sz w:val="24"/>
          <w:szCs w:val="24"/>
        </w:rPr>
        <w:t>, </w:t>
      </w:r>
      <w:r w:rsidRPr="00F45D88">
        <w:rPr>
          <w:rFonts w:ascii="Calibri" w:eastAsia="Calibri" w:hAnsi="Calibri" w:cs="Calibri"/>
          <w:i/>
          <w:iCs/>
          <w:noProof/>
          <w:sz w:val="24"/>
          <w:szCs w:val="24"/>
        </w:rPr>
        <w:t>43</w:t>
      </w:r>
      <w:r w:rsidRPr="00F45D88">
        <w:rPr>
          <w:rFonts w:ascii="Calibri" w:eastAsia="Calibri" w:hAnsi="Calibri" w:cs="Calibri"/>
          <w:noProof/>
          <w:sz w:val="24"/>
          <w:szCs w:val="24"/>
        </w:rPr>
        <w:t>(5), 409-421.</w:t>
      </w:r>
    </w:p>
    <w:p w14:paraId="6DCE98D2" w14:textId="1621DF1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Begg, G.A., Friedland, K.D., Pearce, J.B., 1999. Stock identification and its role in stock assessment and fisheries management: an overview, </w:t>
      </w:r>
      <w:r w:rsidRPr="007B4926">
        <w:rPr>
          <w:rFonts w:ascii="Calibri" w:eastAsia="Calibri" w:hAnsi="Calibri" w:cs="Calibri"/>
          <w:i/>
          <w:iCs/>
          <w:noProof/>
          <w:sz w:val="24"/>
          <w:szCs w:val="24"/>
          <w:lang w:val="en-US"/>
        </w:rPr>
        <w:t>Fish. Res.</w:t>
      </w:r>
      <w:r w:rsidRPr="00AA122B">
        <w:rPr>
          <w:rFonts w:ascii="Calibri" w:eastAsia="Calibri" w:hAnsi="Calibri" w:cs="Calibri"/>
          <w:noProof/>
          <w:sz w:val="24"/>
          <w:szCs w:val="24"/>
          <w:lang w:val="en-US"/>
        </w:rPr>
        <w:t xml:space="preserve">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xml:space="preserve">) stocks on Georges Bank. </w:t>
      </w:r>
      <w:r w:rsidRPr="007B4926">
        <w:rPr>
          <w:rFonts w:ascii="Calibri" w:eastAsia="Calibri" w:hAnsi="Calibri" w:cs="Calibri"/>
          <w:i/>
          <w:iCs/>
          <w:noProof/>
          <w:sz w:val="24"/>
          <w:szCs w:val="24"/>
          <w:lang w:val="en-US"/>
        </w:rPr>
        <w:t>Fish. Bull.</w:t>
      </w:r>
      <w:r w:rsidRPr="00AA122B">
        <w:rPr>
          <w:rFonts w:ascii="Calibri" w:eastAsia="Calibri" w:hAnsi="Calibri" w:cs="Calibri"/>
          <w:noProof/>
          <w:sz w:val="24"/>
          <w:szCs w:val="24"/>
          <w:lang w:val="en-US"/>
        </w:rPr>
        <w:t xml:space="preserve"> 99, 1–14.</w:t>
      </w:r>
    </w:p>
    <w:p w14:paraId="0AD0A431" w14:textId="06FB62F9" w:rsid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 xml:space="preserve">Water </w:t>
      </w:r>
      <w:r w:rsidR="00622959">
        <w:rPr>
          <w:rFonts w:ascii="Calibri" w:eastAsia="Calibri" w:hAnsi="Calibri" w:cs="Calibri"/>
          <w:i/>
          <w:iCs/>
          <w:noProof/>
          <w:sz w:val="24"/>
          <w:szCs w:val="24"/>
        </w:rPr>
        <w:t>S</w:t>
      </w:r>
      <w:r w:rsidRPr="00DF704A">
        <w:rPr>
          <w:rFonts w:ascii="Calibri" w:eastAsia="Calibri" w:hAnsi="Calibri" w:cs="Calibri"/>
          <w:i/>
          <w:iCs/>
          <w:noProof/>
          <w:sz w:val="24"/>
          <w:szCs w:val="24"/>
        </w:rPr>
        <w:t>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5DFAFBEC" w14:textId="3B771A11" w:rsidR="00622959" w:rsidRPr="00DF704A" w:rsidRDefault="00622959" w:rsidP="004753C2">
      <w:pPr>
        <w:spacing w:line="360" w:lineRule="auto"/>
        <w:ind w:left="720" w:hanging="720"/>
        <w:rPr>
          <w:rFonts w:ascii="Calibri" w:eastAsia="Calibri" w:hAnsi="Calibri" w:cs="Calibri"/>
          <w:noProof/>
          <w:sz w:val="24"/>
          <w:szCs w:val="24"/>
        </w:rPr>
      </w:pPr>
      <w:r w:rsidRPr="00622959">
        <w:rPr>
          <w:rFonts w:ascii="Calibri" w:eastAsia="Calibri" w:hAnsi="Calibri" w:cs="Calibri"/>
          <w:noProof/>
          <w:sz w:val="24"/>
          <w:szCs w:val="24"/>
        </w:rPr>
        <w:t>Biolé, F. G., Thompson, G. A., Vargas, C. V., Leisen, M., Barra, F., Volpedo, A. V., &amp; Avigliano, E. (2019). Fish stocks of Urophycis brasiliensis revealed by otolith fingerprint and shape in the Southwestern Atlantic Ocean. </w:t>
      </w:r>
      <w:r w:rsidRPr="00622959">
        <w:rPr>
          <w:rFonts w:ascii="Calibri" w:eastAsia="Calibri" w:hAnsi="Calibri" w:cs="Calibri"/>
          <w:i/>
          <w:iCs/>
          <w:noProof/>
          <w:sz w:val="24"/>
          <w:szCs w:val="24"/>
        </w:rPr>
        <w:t>Estuarine, Coastal and Shelf Science</w:t>
      </w:r>
      <w:r w:rsidRPr="00622959">
        <w:rPr>
          <w:rFonts w:ascii="Calibri" w:eastAsia="Calibri" w:hAnsi="Calibri" w:cs="Calibri"/>
          <w:noProof/>
          <w:sz w:val="24"/>
          <w:szCs w:val="24"/>
        </w:rPr>
        <w:t>, </w:t>
      </w:r>
      <w:r w:rsidRPr="00622959">
        <w:rPr>
          <w:rFonts w:ascii="Calibri" w:eastAsia="Calibri" w:hAnsi="Calibri" w:cs="Calibri"/>
          <w:i/>
          <w:iCs/>
          <w:noProof/>
          <w:sz w:val="24"/>
          <w:szCs w:val="24"/>
        </w:rPr>
        <w:t>229</w:t>
      </w:r>
      <w:r w:rsidRPr="00622959">
        <w:rPr>
          <w:rFonts w:ascii="Calibri" w:eastAsia="Calibri" w:hAnsi="Calibri" w:cs="Calibri"/>
          <w:noProof/>
          <w:sz w:val="24"/>
          <w:szCs w:val="24"/>
        </w:rPr>
        <w:t>, 106406.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Bird, J. L.; Eppler, D. T.; and Checkley, D. M., Jr., 1986: Comparisons of herring otoliths using Fourier series shape analysis. </w:t>
      </w:r>
      <w:r w:rsidRPr="007B4926">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Cagauan, A. 2007. Exotic aquatic species introduction in the Philippines for aquaculture- A threat to biodiversity or a boon to the economy?. </w:t>
      </w:r>
      <w:r w:rsidRPr="007B4926">
        <w:rPr>
          <w:rFonts w:ascii="Calibri" w:eastAsia="Calibri" w:hAnsi="Calibri" w:cs="Calibri"/>
          <w:i/>
          <w:iCs/>
          <w:noProof/>
          <w:sz w:val="24"/>
          <w:szCs w:val="24"/>
          <w:lang w:val="en-US"/>
        </w:rPr>
        <w:t>Journal of Environmental Science and Management</w:t>
      </w:r>
      <w:r w:rsidRPr="00AA122B">
        <w:rPr>
          <w:rFonts w:ascii="Calibri" w:eastAsia="Calibri" w:hAnsi="Calibri" w:cs="Calibri"/>
          <w:noProof/>
          <w:sz w:val="24"/>
          <w:szCs w:val="24"/>
          <w:lang w:val="en-US"/>
        </w:rPr>
        <w:t>, 10/1: 48-62.</w:t>
      </w:r>
    </w:p>
    <w:p w14:paraId="667BD740" w14:textId="527332F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w:t>
      </w:r>
      <w:r w:rsidRPr="007B4926">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50, 1062-1083.</w:t>
      </w:r>
    </w:p>
    <w:p w14:paraId="28769D06" w14:textId="3FCBD786" w:rsidR="00712CD7" w:rsidRPr="00AA122B" w:rsidRDefault="00712CD7" w:rsidP="004753C2">
      <w:pPr>
        <w:spacing w:line="360" w:lineRule="auto"/>
        <w:ind w:left="720" w:hanging="720"/>
        <w:rPr>
          <w:rFonts w:ascii="Calibri" w:eastAsia="Calibri" w:hAnsi="Calibri" w:cs="Calibri"/>
          <w:noProof/>
          <w:sz w:val="24"/>
          <w:szCs w:val="24"/>
          <w:lang w:val="en-US"/>
        </w:rPr>
      </w:pPr>
      <w:r w:rsidRPr="00712CD7">
        <w:rPr>
          <w:rFonts w:ascii="Calibri" w:eastAsia="Calibri" w:hAnsi="Calibri" w:cs="Calibri"/>
          <w:noProof/>
          <w:sz w:val="24"/>
          <w:szCs w:val="24"/>
        </w:rPr>
        <w:t>Campana, S. E., Chouinard, G. A., Hanson, J. M., Frechet, A., &amp; Brattey, J. (2000). Otolith elemental fingerprints as biological tracers of fish stocks. </w:t>
      </w:r>
      <w:r w:rsidRPr="00712CD7">
        <w:rPr>
          <w:rFonts w:ascii="Calibri" w:eastAsia="Calibri" w:hAnsi="Calibri" w:cs="Calibri"/>
          <w:i/>
          <w:iCs/>
          <w:noProof/>
          <w:sz w:val="24"/>
          <w:szCs w:val="24"/>
        </w:rPr>
        <w:t>Fisheries Research</w:t>
      </w:r>
      <w:r w:rsidRPr="00712CD7">
        <w:rPr>
          <w:rFonts w:ascii="Calibri" w:eastAsia="Calibri" w:hAnsi="Calibri" w:cs="Calibri"/>
          <w:noProof/>
          <w:sz w:val="24"/>
          <w:szCs w:val="24"/>
        </w:rPr>
        <w:t>, </w:t>
      </w:r>
      <w:r w:rsidRPr="00712CD7">
        <w:rPr>
          <w:rFonts w:ascii="Calibri" w:eastAsia="Calibri" w:hAnsi="Calibri" w:cs="Calibri"/>
          <w:i/>
          <w:iCs/>
          <w:noProof/>
          <w:sz w:val="24"/>
          <w:szCs w:val="24"/>
        </w:rPr>
        <w:t>46</w:t>
      </w:r>
      <w:r w:rsidRPr="00712CD7">
        <w:rPr>
          <w:rFonts w:ascii="Calibri" w:eastAsia="Calibri" w:hAnsi="Calibri" w:cs="Calibri"/>
          <w:noProof/>
          <w:sz w:val="24"/>
          <w:szCs w:val="24"/>
        </w:rPr>
        <w:t>(1-3), 343-357.</w:t>
      </w:r>
    </w:p>
    <w:p w14:paraId="37FD92E9" w14:textId="7116751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Castonguay, M., Simard, P., Gagnon, P., 1991. Usefulness of Fourier analysis of otolith shape for Atlantic mackerel (</w:t>
      </w:r>
      <w:r w:rsidRPr="007B4926">
        <w:rPr>
          <w:rFonts w:ascii="Calibri" w:eastAsia="Calibri" w:hAnsi="Calibri" w:cs="Calibri"/>
          <w:i/>
          <w:iCs/>
          <w:noProof/>
          <w:sz w:val="24"/>
          <w:szCs w:val="24"/>
          <w:lang w:val="en-US"/>
        </w:rPr>
        <w:t>Scomber scombrus</w:t>
      </w:r>
      <w:r w:rsidRPr="00AA122B">
        <w:rPr>
          <w:rFonts w:ascii="Calibri" w:eastAsia="Calibri" w:hAnsi="Calibri" w:cs="Calibri"/>
          <w:noProof/>
          <w:sz w:val="24"/>
          <w:szCs w:val="24"/>
          <w:lang w:val="en-US"/>
        </w:rPr>
        <w:t xml:space="preserve">) stock discrimination. </w:t>
      </w:r>
      <w:r w:rsidRPr="007B4926">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48, 296–302.</w:t>
      </w:r>
    </w:p>
    <w:p w14:paraId="27424BAF" w14:textId="77777777" w:rsidR="00622959" w:rsidRPr="000571E1" w:rsidRDefault="00622959" w:rsidP="007B4926">
      <w:pPr>
        <w:spacing w:line="360" w:lineRule="auto"/>
        <w:ind w:left="709" w:hanging="709"/>
        <w:rPr>
          <w:rFonts w:eastAsia="Times New Roman" w:cstheme="minorHAnsi"/>
        </w:rPr>
      </w:pPr>
      <w:r w:rsidRPr="000571E1">
        <w:rPr>
          <w:rFonts w:cstheme="minorHAnsi"/>
          <w:color w:val="222222"/>
          <w:sz w:val="24"/>
          <w:szCs w:val="24"/>
          <w:shd w:val="clear" w:color="auto" w:fill="FFFFFF"/>
        </w:rPr>
        <w:t>Dunn, P. K., &amp; Smyth, G. K. 1996. Randomized quantile residuals. </w:t>
      </w:r>
      <w:r w:rsidRPr="000571E1">
        <w:rPr>
          <w:rFonts w:cstheme="minorHAnsi"/>
          <w:i/>
          <w:iCs/>
          <w:color w:val="222222"/>
          <w:sz w:val="24"/>
          <w:szCs w:val="24"/>
          <w:shd w:val="clear" w:color="auto" w:fill="FFFFFF"/>
        </w:rPr>
        <w:t>Journal of Computational and Graphical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5</w:t>
      </w:r>
      <w:r w:rsidRPr="000571E1">
        <w:rPr>
          <w:rFonts w:cstheme="minorHAnsi"/>
          <w:color w:val="222222"/>
          <w:sz w:val="24"/>
          <w:szCs w:val="24"/>
          <w:shd w:val="clear" w:color="auto" w:fill="FFFFFF"/>
        </w:rPr>
        <w:t>(3), 236-244.</w:t>
      </w:r>
    </w:p>
    <w:p w14:paraId="355E521D" w14:textId="77777777" w:rsidR="00622959" w:rsidRPr="000571E1" w:rsidRDefault="00622959" w:rsidP="007B4926">
      <w:pPr>
        <w:spacing w:line="360" w:lineRule="auto"/>
        <w:ind w:left="709" w:hanging="709"/>
        <w:rPr>
          <w:rFonts w:eastAsia="Times New Roman" w:cstheme="minorHAnsi"/>
        </w:rPr>
      </w:pPr>
      <w:r w:rsidRPr="000571E1">
        <w:rPr>
          <w:rFonts w:cstheme="minorHAnsi"/>
          <w:color w:val="222222"/>
          <w:sz w:val="24"/>
          <w:szCs w:val="24"/>
          <w:shd w:val="clear" w:color="auto" w:fill="FFFFFF"/>
        </w:rPr>
        <w:t>Dunn, P. K., &amp; Smyth, G. K. 2018. Generalized Linear Models: Diagnostics. In </w:t>
      </w:r>
      <w:r w:rsidRPr="000571E1">
        <w:rPr>
          <w:rFonts w:cstheme="minorHAnsi"/>
          <w:i/>
          <w:iCs/>
          <w:color w:val="222222"/>
          <w:sz w:val="24"/>
          <w:szCs w:val="24"/>
          <w:shd w:val="clear" w:color="auto" w:fill="FFFFFF"/>
        </w:rPr>
        <w:t>Generalized Linear Models With Examples in R</w:t>
      </w:r>
      <w:r w:rsidRPr="000571E1">
        <w:rPr>
          <w:rFonts w:cstheme="minorHAnsi"/>
          <w:color w:val="222222"/>
          <w:sz w:val="24"/>
          <w:szCs w:val="24"/>
          <w:shd w:val="clear" w:color="auto" w:fill="FFFFFF"/>
        </w:rPr>
        <w:t> (pp. 297-331). Springer, New York, NY.</w:t>
      </w:r>
    </w:p>
    <w:p w14:paraId="613602C7" w14:textId="77777777" w:rsidR="00712CD7" w:rsidRDefault="00712CD7" w:rsidP="00712CD7">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Elsdon, T. S., and B. M. Gillanders. 2003. Reconstructing migratory patterns of fish based on environmental influences on otolith chemistry. </w:t>
      </w:r>
      <w:r w:rsidRPr="007B4926">
        <w:rPr>
          <w:rFonts w:ascii="Calibri" w:eastAsia="Calibri" w:hAnsi="Calibri" w:cs="Calibri"/>
          <w:i/>
          <w:iCs/>
          <w:noProof/>
          <w:sz w:val="24"/>
          <w:szCs w:val="24"/>
          <w:lang w:val="en-US"/>
        </w:rPr>
        <w:t>Rev. Fish Biol. Fish.</w:t>
      </w:r>
      <w:r w:rsidRPr="00AA122B">
        <w:rPr>
          <w:rFonts w:ascii="Calibri" w:eastAsia="Calibri" w:hAnsi="Calibri" w:cs="Calibri"/>
          <w:noProof/>
          <w:sz w:val="24"/>
          <w:szCs w:val="24"/>
          <w:lang w:val="en-US"/>
        </w:rPr>
        <w:t xml:space="preserve"> 13: 219– 235. doi:10.1023/B:RFBF.0000033071.73952.40</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w:t>
      </w:r>
      <w:r w:rsidRPr="007B4926">
        <w:rPr>
          <w:rFonts w:ascii="Calibri" w:eastAsia="Calibri" w:hAnsi="Calibri" w:cs="Calibri"/>
          <w:i/>
          <w:iCs/>
          <w:noProof/>
          <w:sz w:val="24"/>
          <w:szCs w:val="24"/>
          <w:lang w:val="en-US"/>
        </w:rPr>
        <w:t>J Exp Mar Biol Ecol</w:t>
      </w:r>
      <w:r w:rsidRPr="00AA122B">
        <w:rPr>
          <w:rFonts w:ascii="Calibri" w:eastAsia="Calibri" w:hAnsi="Calibri" w:cs="Calibri"/>
          <w:noProof/>
          <w:sz w:val="24"/>
          <w:szCs w:val="24"/>
          <w:lang w:val="en-US"/>
        </w:rPr>
        <w:t xml:space="preserve"> 313:269–284</w:t>
      </w:r>
    </w:p>
    <w:p w14:paraId="60DE42E8" w14:textId="62A0FB49" w:rsidR="00622959" w:rsidRPr="000571E1" w:rsidRDefault="00622959" w:rsidP="007B4926">
      <w:pPr>
        <w:spacing w:line="360" w:lineRule="auto"/>
        <w:ind w:left="709" w:hanging="709"/>
        <w:rPr>
          <w:rFonts w:cstheme="minorHAnsi"/>
        </w:rPr>
      </w:pPr>
      <w:r w:rsidRPr="000571E1">
        <w:rPr>
          <w:rFonts w:cstheme="minorHAnsi"/>
          <w:color w:val="222222"/>
          <w:sz w:val="24"/>
          <w:szCs w:val="24"/>
          <w:shd w:val="clear" w:color="auto" w:fill="FFFFFF"/>
        </w:rPr>
        <w:t>Foster, S.D. and Bravington, M.V., 2013. A Poisson–Gamma model for analysis of ecological non-negative continuous data. </w:t>
      </w:r>
      <w:r w:rsidRPr="000571E1">
        <w:rPr>
          <w:rFonts w:cstheme="minorHAnsi"/>
          <w:i/>
          <w:iCs/>
          <w:color w:val="222222"/>
          <w:sz w:val="24"/>
          <w:szCs w:val="24"/>
          <w:shd w:val="clear" w:color="auto" w:fill="FFFFFF"/>
        </w:rPr>
        <w:t>Environmental and ecological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20</w:t>
      </w:r>
      <w:r w:rsidRPr="000571E1">
        <w:rPr>
          <w:rFonts w:cstheme="minorHAnsi"/>
          <w:color w:val="222222"/>
          <w:sz w:val="24"/>
          <w:szCs w:val="24"/>
          <w:shd w:val="clear" w:color="auto" w:fill="FFFFFF"/>
        </w:rPr>
        <w:t>(4), pp.533-552.</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Fowler, A. M., P. I. Macreadie, D. P. Bishop, and D. J. Booth. 2015. Using otolith microchemistry and shape to assess the habitat value of oil structures for reef fish. </w:t>
      </w:r>
      <w:r w:rsidRPr="007B4926">
        <w:rPr>
          <w:rFonts w:ascii="Calibri" w:eastAsia="Calibri" w:hAnsi="Calibri" w:cs="Calibri"/>
          <w:i/>
          <w:iCs/>
          <w:noProof/>
          <w:sz w:val="24"/>
          <w:szCs w:val="24"/>
          <w:lang w:val="en-US"/>
        </w:rPr>
        <w:t>Marine Environmental Research</w:t>
      </w:r>
      <w:r w:rsidRPr="00AA122B">
        <w:rPr>
          <w:rFonts w:ascii="Calibri" w:eastAsia="Calibri" w:hAnsi="Calibri" w:cs="Calibri"/>
          <w:noProof/>
          <w:sz w:val="24"/>
          <w:szCs w:val="24"/>
          <w:lang w:val="en-US"/>
        </w:rPr>
        <w:t xml:space="preserve"> </w:t>
      </w:r>
      <w:r w:rsidRPr="007B4926">
        <w:rPr>
          <w:rFonts w:ascii="Calibri" w:eastAsia="Calibri" w:hAnsi="Calibri" w:cs="Calibri"/>
          <w:bCs/>
          <w:noProof/>
          <w:sz w:val="24"/>
          <w:szCs w:val="24"/>
          <w:lang w:val="en-US"/>
        </w:rPr>
        <w:t>106</w:t>
      </w:r>
      <w:r w:rsidRPr="00AA122B">
        <w:rPr>
          <w:rFonts w:ascii="Calibri" w:eastAsia="Calibri" w:hAnsi="Calibri" w:cs="Calibri"/>
          <w:noProof/>
          <w:sz w:val="24"/>
          <w:szCs w:val="24"/>
          <w:lang w:val="en-US"/>
        </w:rPr>
        <w:t>:103-113.</w:t>
      </w:r>
    </w:p>
    <w:p w14:paraId="6B3D7D0D" w14:textId="400A8AF1"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w:t>
      </w:r>
      <w:r w:rsidRPr="007B4926">
        <w:rPr>
          <w:rFonts w:ascii="Calibri" w:eastAsia="Calibri" w:hAnsi="Calibri" w:cs="Calibri"/>
          <w:i/>
          <w:iCs/>
          <w:noProof/>
          <w:sz w:val="24"/>
          <w:szCs w:val="24"/>
          <w:lang w:val="en-US"/>
        </w:rPr>
        <w:t>Salmo salar</w:t>
      </w:r>
      <w:r w:rsidRPr="00AA122B">
        <w:rPr>
          <w:rFonts w:ascii="Calibri" w:eastAsia="Calibri" w:hAnsi="Calibri" w:cs="Calibri"/>
          <w:noProof/>
          <w:sz w:val="24"/>
          <w:szCs w:val="24"/>
          <w:lang w:val="en-US"/>
        </w:rPr>
        <w:t xml:space="preserve">). </w:t>
      </w:r>
      <w:r w:rsidRPr="007B4926">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51:91–98.</w:t>
      </w:r>
    </w:p>
    <w:p w14:paraId="6F8122D4" w14:textId="7155098B" w:rsidR="00F83659" w:rsidRPr="00AA122B" w:rsidRDefault="00F83659" w:rsidP="004753C2">
      <w:pPr>
        <w:spacing w:line="360" w:lineRule="auto"/>
        <w:ind w:left="720" w:hanging="720"/>
        <w:rPr>
          <w:rFonts w:ascii="Calibri" w:eastAsia="Calibri" w:hAnsi="Calibri" w:cs="Calibri"/>
          <w:noProof/>
          <w:sz w:val="24"/>
          <w:szCs w:val="24"/>
          <w:lang w:val="en-US"/>
        </w:rPr>
      </w:pPr>
      <w:r w:rsidRPr="00F83659">
        <w:rPr>
          <w:rFonts w:ascii="Calibri" w:eastAsia="Calibri" w:hAnsi="Calibri" w:cs="Calibri"/>
          <w:noProof/>
          <w:sz w:val="24"/>
          <w:szCs w:val="24"/>
        </w:rPr>
        <w:t>Ferguson, G. J., Ward, T. M., &amp; Gillanders, B. M. (2011). Otolith shape and elemental composition: Complementary tools for stock discrimination of mulloway (</w:t>
      </w:r>
      <w:r w:rsidRPr="007B4926">
        <w:rPr>
          <w:rFonts w:ascii="Calibri" w:eastAsia="Calibri" w:hAnsi="Calibri" w:cs="Calibri"/>
          <w:i/>
          <w:iCs/>
          <w:noProof/>
          <w:sz w:val="24"/>
          <w:szCs w:val="24"/>
        </w:rPr>
        <w:t>Argyrosomus japonicus</w:t>
      </w:r>
      <w:r w:rsidRPr="00F83659">
        <w:rPr>
          <w:rFonts w:ascii="Calibri" w:eastAsia="Calibri" w:hAnsi="Calibri" w:cs="Calibri"/>
          <w:noProof/>
          <w:sz w:val="24"/>
          <w:szCs w:val="24"/>
        </w:rPr>
        <w:t>) in southern Australia. </w:t>
      </w:r>
      <w:r w:rsidRPr="00F83659">
        <w:rPr>
          <w:rFonts w:ascii="Calibri" w:eastAsia="Calibri" w:hAnsi="Calibri" w:cs="Calibri"/>
          <w:i/>
          <w:iCs/>
          <w:noProof/>
          <w:sz w:val="24"/>
          <w:szCs w:val="24"/>
        </w:rPr>
        <w:t>Fisheries Research</w:t>
      </w:r>
      <w:r w:rsidRPr="00F83659">
        <w:rPr>
          <w:rFonts w:ascii="Calibri" w:eastAsia="Calibri" w:hAnsi="Calibri" w:cs="Calibri"/>
          <w:noProof/>
          <w:sz w:val="24"/>
          <w:szCs w:val="24"/>
        </w:rPr>
        <w:t>, </w:t>
      </w:r>
      <w:r w:rsidRPr="00F83659">
        <w:rPr>
          <w:rFonts w:ascii="Calibri" w:eastAsia="Calibri" w:hAnsi="Calibri" w:cs="Calibri"/>
          <w:i/>
          <w:iCs/>
          <w:noProof/>
          <w:sz w:val="24"/>
          <w:szCs w:val="24"/>
        </w:rPr>
        <w:t>110</w:t>
      </w:r>
      <w:r w:rsidRPr="00F83659">
        <w:rPr>
          <w:rFonts w:ascii="Calibri" w:eastAsia="Calibri" w:hAnsi="Calibri" w:cs="Calibri"/>
          <w:noProof/>
          <w:sz w:val="24"/>
          <w:szCs w:val="24"/>
        </w:rPr>
        <w:t>(1), 75-83.</w:t>
      </w:r>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Grammer, G. L., J. R. Morrongiello, C. Izzo, P. J. Hawthorne, J. F. Middleton, and B. M. Gillanders. 2017. Coupling biogeochemical tracers with fish growth reveals physiological and environmental controls on otolith chemistry. </w:t>
      </w:r>
      <w:r w:rsidRPr="007B4926">
        <w:rPr>
          <w:rFonts w:ascii="Calibri" w:eastAsia="Calibri" w:hAnsi="Calibri" w:cs="Calibri"/>
          <w:i/>
          <w:iCs/>
          <w:noProof/>
          <w:sz w:val="24"/>
          <w:szCs w:val="24"/>
          <w:lang w:val="en-US"/>
        </w:rPr>
        <w:t>Ecological Monographs</w:t>
      </w:r>
      <w:r w:rsidRPr="00AA122B">
        <w:rPr>
          <w:rFonts w:ascii="Calibri" w:eastAsia="Calibri" w:hAnsi="Calibri" w:cs="Calibri"/>
          <w:noProof/>
          <w:sz w:val="24"/>
          <w:szCs w:val="24"/>
          <w:lang w:val="en-US"/>
        </w:rPr>
        <w:t xml:space="preserve">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lastRenderedPageBreak/>
        <w:t xml:space="preserve">Graps, A. 1995. An introduction to wavelets. </w:t>
      </w:r>
      <w:r w:rsidRPr="007B4926">
        <w:rPr>
          <w:rFonts w:ascii="Calibri" w:eastAsia="Calibri" w:hAnsi="Calibri" w:cs="Calibri"/>
          <w:i/>
          <w:iCs/>
          <w:noProof/>
          <w:sz w:val="24"/>
          <w:szCs w:val="24"/>
          <w:lang w:val="en-US"/>
        </w:rPr>
        <w:t>IEEE computational science and engineering</w:t>
      </w:r>
      <w:r w:rsidRPr="00522A93">
        <w:rPr>
          <w:rFonts w:ascii="Calibri" w:eastAsia="Calibri" w:hAnsi="Calibri" w:cs="Calibri"/>
          <w:noProof/>
          <w:sz w:val="24"/>
          <w:szCs w:val="24"/>
          <w:lang w:val="en-US"/>
        </w:rPr>
        <w:t>,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Hui, F. K. C. 2016. boral – Bayesian Ordination and Regression Analysis of Multivariate Abundance Data in r. </w:t>
      </w:r>
      <w:r w:rsidRPr="007B4926">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Hui, F. K. C., S. Taskinen, S. Pledger, S. D. Foster, and D. I. Warton. 2015. Model-based approaches to unconstrained ordination. </w:t>
      </w:r>
      <w:r w:rsidRPr="007B4926">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Izzo, C., Reis-Santos, P., and Gillanders, B. M. 2018. Otolith chemistry does not just reflect environmental conditions: a meta-analytic evaluation. </w:t>
      </w:r>
      <w:r w:rsidRPr="007B4926">
        <w:rPr>
          <w:rFonts w:ascii="Calibri" w:eastAsia="Calibri" w:hAnsi="Calibri" w:cs="Calibri"/>
          <w:i/>
          <w:iCs/>
          <w:noProof/>
          <w:sz w:val="24"/>
          <w:szCs w:val="24"/>
          <w:lang w:val="en-US"/>
        </w:rPr>
        <w:t>Fish and Fisheries</w:t>
      </w:r>
      <w:r w:rsidRPr="00AA122B">
        <w:rPr>
          <w:rFonts w:ascii="Calibri" w:eastAsia="Calibri" w:hAnsi="Calibri" w:cs="Calibri"/>
          <w:noProof/>
          <w:sz w:val="24"/>
          <w:szCs w:val="24"/>
          <w:lang w:val="en-US"/>
        </w:rPr>
        <w:t xml:space="preserve">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33A4D254" w:rsid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5525A24D" w14:textId="5AE1CCDD" w:rsidR="00622959" w:rsidRPr="007B4926" w:rsidRDefault="00622959" w:rsidP="007B4926">
      <w:pPr>
        <w:spacing w:line="360" w:lineRule="auto"/>
        <w:ind w:left="709" w:hanging="709"/>
        <w:rPr>
          <w:rFonts w:eastAsia="Times New Roman" w:cstheme="minorHAnsi"/>
        </w:rPr>
      </w:pPr>
      <w:r w:rsidRPr="000571E1">
        <w:rPr>
          <w:rFonts w:cstheme="minorHAnsi"/>
          <w:color w:val="222222"/>
          <w:sz w:val="24"/>
          <w:szCs w:val="24"/>
          <w:shd w:val="clear" w:color="auto" w:fill="FFFFFF"/>
        </w:rPr>
        <w:t>Kendal, R. L., Coolen, I., &amp; Laland, K. N. (2004). The role of conformity in foraging when personal and social information conflict. </w:t>
      </w:r>
      <w:r w:rsidRPr="000571E1">
        <w:rPr>
          <w:rFonts w:cstheme="minorHAnsi"/>
          <w:i/>
          <w:iCs/>
          <w:color w:val="222222"/>
          <w:sz w:val="24"/>
          <w:szCs w:val="24"/>
          <w:shd w:val="clear" w:color="auto" w:fill="FFFFFF"/>
        </w:rPr>
        <w:t>Behavioral Ecology</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15</w:t>
      </w:r>
      <w:r w:rsidRPr="000571E1">
        <w:rPr>
          <w:rFonts w:cstheme="minorHAnsi"/>
          <w:color w:val="222222"/>
          <w:sz w:val="24"/>
          <w:szCs w:val="24"/>
          <w:shd w:val="clear" w:color="auto" w:fill="FFFFFF"/>
        </w:rPr>
        <w:t>(2), 269-277.</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w:t>
      </w:r>
      <w:r w:rsidRPr="007B4926">
        <w:rPr>
          <w:rFonts w:ascii="Calibri" w:eastAsia="Calibri" w:hAnsi="Calibri" w:cs="Calibri"/>
          <w:i/>
          <w:iCs/>
          <w:noProof/>
          <w:sz w:val="24"/>
          <w:szCs w:val="24"/>
          <w:lang w:val="en-US"/>
        </w:rPr>
        <w:t>Zool. Stud.</w:t>
      </w:r>
      <w:r w:rsidRPr="00AA122B">
        <w:rPr>
          <w:rFonts w:ascii="Calibri" w:eastAsia="Calibri" w:hAnsi="Calibri" w:cs="Calibri"/>
          <w:noProof/>
          <w:sz w:val="24"/>
          <w:szCs w:val="24"/>
          <w:lang w:val="en-US"/>
        </w:rPr>
        <w:t xml:space="preserve">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w:t>
      </w:r>
      <w:r w:rsidRPr="007B4926">
        <w:rPr>
          <w:rFonts w:ascii="Calibri" w:eastAsia="Calibri" w:hAnsi="Calibri" w:cs="Calibri"/>
          <w:i/>
          <w:iCs/>
          <w:noProof/>
          <w:sz w:val="24"/>
          <w:szCs w:val="24"/>
          <w:lang w:val="en-US"/>
        </w:rPr>
        <w:t>Russ. J. Ecol.</w:t>
      </w:r>
      <w:r w:rsidRPr="00AA122B">
        <w:rPr>
          <w:rFonts w:ascii="Calibri" w:eastAsia="Calibri" w:hAnsi="Calibri" w:cs="Calibri"/>
          <w:noProof/>
          <w:sz w:val="24"/>
          <w:szCs w:val="24"/>
          <w:lang w:val="en-US"/>
        </w:rPr>
        <w:t xml:space="preserve"> 50, 391–396.</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w:t>
      </w:r>
      <w:r w:rsidRPr="007B4926">
        <w:rPr>
          <w:rFonts w:ascii="Calibri" w:eastAsia="Calibri" w:hAnsi="Calibri" w:cs="Calibri"/>
          <w:i/>
          <w:iCs/>
          <w:noProof/>
          <w:sz w:val="24"/>
          <w:szCs w:val="24"/>
          <w:lang w:val="en-US"/>
        </w:rPr>
        <w:t>PLOS ONE</w:t>
      </w:r>
      <w:r w:rsidRPr="00AA122B">
        <w:rPr>
          <w:rFonts w:ascii="Calibri" w:eastAsia="Calibri" w:hAnsi="Calibri" w:cs="Calibri"/>
          <w:noProof/>
          <w:sz w:val="24"/>
          <w:szCs w:val="24"/>
          <w:lang w:val="en-US"/>
        </w:rPr>
        <w:t xml:space="preserve"> </w:t>
      </w:r>
      <w:r w:rsidRPr="007B4926">
        <w:rPr>
          <w:rFonts w:ascii="Calibri" w:eastAsia="Calibri" w:hAnsi="Calibri" w:cs="Calibri"/>
          <w:bCs/>
          <w:noProof/>
          <w:sz w:val="24"/>
          <w:szCs w:val="24"/>
          <w:lang w:val="en-US"/>
        </w:rPr>
        <w:t>10</w:t>
      </w:r>
      <w:r w:rsidRPr="0070534D">
        <w:rPr>
          <w:rFonts w:ascii="Calibri" w:eastAsia="Calibri" w:hAnsi="Calibri" w:cs="Calibri"/>
          <w:bCs/>
          <w:noProof/>
          <w:sz w:val="24"/>
          <w:szCs w:val="24"/>
          <w:lang w:val="en-US"/>
        </w:rPr>
        <w:t>:</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w:t>
      </w:r>
      <w:r w:rsidRPr="007B4926">
        <w:rPr>
          <w:rFonts w:ascii="Calibri" w:eastAsia="Calibri" w:hAnsi="Calibri" w:cs="Calibri"/>
          <w:i/>
          <w:iCs/>
          <w:noProof/>
          <w:sz w:val="24"/>
          <w:szCs w:val="24"/>
        </w:rPr>
        <w:t>Canadian Journal of Fisheries and Aquatic Sciences</w:t>
      </w:r>
      <w:r w:rsidRPr="00A53C3D">
        <w:rPr>
          <w:rFonts w:ascii="Calibri" w:eastAsia="Calibri" w:hAnsi="Calibri" w:cs="Calibri"/>
          <w:noProof/>
          <w:sz w:val="24"/>
          <w:szCs w:val="24"/>
        </w:rPr>
        <w:t xml:space="preserve">,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w:t>
      </w:r>
      <w:r w:rsidRPr="007B4926">
        <w:rPr>
          <w:rFonts w:ascii="Calibri" w:eastAsia="Calibri" w:hAnsi="Calibri" w:cs="Calibri"/>
          <w:i/>
          <w:iCs/>
          <w:noProof/>
          <w:sz w:val="24"/>
          <w:szCs w:val="24"/>
          <w:lang w:val="en-US"/>
        </w:rPr>
        <w:t>J. Appl. Ichthyol.</w:t>
      </w:r>
      <w:r w:rsidRPr="00AA122B">
        <w:rPr>
          <w:rFonts w:ascii="Calibri" w:eastAsia="Calibri" w:hAnsi="Calibri" w:cs="Calibri"/>
          <w:noProof/>
          <w:sz w:val="24"/>
          <w:szCs w:val="24"/>
          <w:lang w:val="en-US"/>
        </w:rPr>
        <w:t xml:space="preserve">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w:t>
      </w:r>
      <w:r w:rsidRPr="007B4926">
        <w:rPr>
          <w:rFonts w:ascii="Calibri" w:eastAsia="Calibri" w:hAnsi="Calibri" w:cs="Calibri"/>
          <w:i/>
          <w:iCs/>
          <w:noProof/>
          <w:sz w:val="24"/>
          <w:szCs w:val="24"/>
          <w:lang w:val="en-US"/>
        </w:rPr>
        <w:t>. Fish. Res.</w:t>
      </w:r>
      <w:r w:rsidRPr="00AA122B">
        <w:rPr>
          <w:rFonts w:ascii="Calibri" w:eastAsia="Calibri" w:hAnsi="Calibri" w:cs="Calibri"/>
          <w:noProof/>
          <w:sz w:val="24"/>
          <w:szCs w:val="24"/>
          <w:lang w:val="en-US"/>
        </w:rPr>
        <w:t xml:space="preserve">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w:t>
      </w:r>
      <w:r w:rsidRPr="007B4926">
        <w:rPr>
          <w:rFonts w:ascii="Calibri" w:eastAsia="Calibri" w:hAnsi="Calibri" w:cs="Calibri"/>
          <w:i/>
          <w:iCs/>
          <w:noProof/>
          <w:sz w:val="24"/>
          <w:szCs w:val="24"/>
          <w:lang w:val="en-US"/>
        </w:rPr>
        <w:t>Ichthyol. Res.</w:t>
      </w:r>
      <w:r w:rsidRPr="00AA122B">
        <w:rPr>
          <w:rFonts w:ascii="Calibri" w:eastAsia="Calibri" w:hAnsi="Calibri" w:cs="Calibri"/>
          <w:noProof/>
          <w:sz w:val="24"/>
          <w:szCs w:val="24"/>
          <w:lang w:val="en-US"/>
        </w:rPr>
        <w:t xml:space="preserve"> 63, 294‒301.</w:t>
      </w:r>
    </w:p>
    <w:p w14:paraId="7E31DE1F" w14:textId="611AE281"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 xml:space="preserve">Nazir, A., Khan, M.A., 2019. Spatial and temporal variation in otolith chemistry and its relationship with water chemistry: Stock discrimination of </w:t>
      </w:r>
      <w:r w:rsidRPr="007B4926">
        <w:rPr>
          <w:rFonts w:ascii="Calibri" w:eastAsia="Calibri" w:hAnsi="Calibri" w:cs="Calibri"/>
          <w:i/>
          <w:iCs/>
          <w:noProof/>
          <w:sz w:val="24"/>
          <w:szCs w:val="24"/>
          <w:lang w:val="en-US"/>
        </w:rPr>
        <w:t>Sperata aor</w:t>
      </w:r>
      <w:r w:rsidRPr="00155C64">
        <w:rPr>
          <w:rFonts w:ascii="Calibri" w:eastAsia="Calibri" w:hAnsi="Calibri" w:cs="Calibri"/>
          <w:noProof/>
          <w:sz w:val="24"/>
          <w:szCs w:val="24"/>
          <w:lang w:val="en-US"/>
        </w:rPr>
        <w:t xml:space="preserve">. </w:t>
      </w:r>
      <w:r w:rsidRPr="007B4926">
        <w:rPr>
          <w:rFonts w:ascii="Calibri" w:eastAsia="Calibri" w:hAnsi="Calibri" w:cs="Calibri"/>
          <w:i/>
          <w:iCs/>
          <w:noProof/>
          <w:sz w:val="24"/>
          <w:szCs w:val="24"/>
          <w:lang w:val="en-US"/>
        </w:rPr>
        <w:t>Ecol. Freshw. Fish.</w:t>
      </w:r>
      <w:r w:rsidRPr="00155C64">
        <w:rPr>
          <w:rFonts w:ascii="Calibri" w:eastAsia="Calibri" w:hAnsi="Calibri" w:cs="Calibri"/>
          <w:noProof/>
          <w:sz w:val="24"/>
          <w:szCs w:val="24"/>
          <w:lang w:val="en-US"/>
        </w:rPr>
        <w:t xml:space="preserve"> 28, 499–511.</w:t>
      </w:r>
    </w:p>
    <w:p w14:paraId="5F7053CA" w14:textId="1D23D71E" w:rsidR="00622959" w:rsidRPr="007B4926" w:rsidRDefault="00622959" w:rsidP="007B4926">
      <w:pPr>
        <w:spacing w:line="360" w:lineRule="auto"/>
        <w:ind w:left="709" w:hanging="709"/>
        <w:rPr>
          <w:rFonts w:eastAsia="Times New Roman" w:cstheme="minorHAnsi"/>
        </w:rPr>
      </w:pPr>
      <w:r w:rsidRPr="000571E1">
        <w:rPr>
          <w:rFonts w:cstheme="minorHAnsi"/>
          <w:color w:val="222222"/>
          <w:sz w:val="24"/>
          <w:szCs w:val="24"/>
          <w:shd w:val="clear" w:color="auto" w:fill="FFFFFF"/>
        </w:rPr>
        <w:t>Niku, J., Warton, D.I., Hui, F.K. and Taskinen, S., 2017. Generalized linear latent variable models for multivariate count and biomass data in ecology.</w:t>
      </w:r>
      <w:r w:rsidRPr="007B4926">
        <w:rPr>
          <w:rFonts w:cstheme="minorHAnsi"/>
          <w:i/>
          <w:iCs/>
          <w:color w:val="222222"/>
          <w:sz w:val="24"/>
          <w:szCs w:val="24"/>
          <w:shd w:val="clear" w:color="auto" w:fill="FFFFFF"/>
        </w:rPr>
        <w:t> </w:t>
      </w:r>
      <w:r w:rsidRPr="0070534D">
        <w:rPr>
          <w:rFonts w:cstheme="minorHAnsi"/>
          <w:i/>
          <w:iCs/>
          <w:color w:val="222222"/>
          <w:sz w:val="24"/>
          <w:szCs w:val="24"/>
          <w:shd w:val="clear" w:color="auto" w:fill="FFFFFF"/>
        </w:rPr>
        <w:t xml:space="preserve">Journal of </w:t>
      </w:r>
      <w:r w:rsidRPr="007B4926">
        <w:rPr>
          <w:rFonts w:cstheme="minorHAnsi"/>
          <w:i/>
          <w:iCs/>
          <w:color w:val="222222"/>
          <w:sz w:val="24"/>
          <w:szCs w:val="24"/>
          <w:shd w:val="clear" w:color="auto" w:fill="FFFFFF"/>
        </w:rPr>
        <w:t>Agricultural, Biological and Environmental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22</w:t>
      </w:r>
      <w:r w:rsidRPr="000571E1">
        <w:rPr>
          <w:rFonts w:cstheme="minorHAnsi"/>
          <w:color w:val="222222"/>
          <w:sz w:val="24"/>
          <w:szCs w:val="24"/>
          <w:shd w:val="clear" w:color="auto" w:fill="FFFFFF"/>
        </w:rPr>
        <w:t>(4), pp.498-522.</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Popovic, G. C., D. I. Warton, F. J. Thomson, F. K. C. Hui, and A. T. Moles. 2019. Untangling direct species associations from indirect mediator species effects with graphical models. </w:t>
      </w:r>
      <w:r w:rsidRPr="007B4926">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w:t>
      </w:r>
      <w:r w:rsidRPr="007B4926">
        <w:rPr>
          <w:rFonts w:ascii="Calibri" w:eastAsia="Calibri" w:hAnsi="Calibri" w:cs="Calibri"/>
          <w:bCs/>
          <w:noProof/>
          <w:sz w:val="24"/>
          <w:szCs w:val="24"/>
          <w:lang w:val="en-US"/>
        </w:rPr>
        <w:t>10</w:t>
      </w:r>
      <w:r w:rsidRPr="0070534D">
        <w:rPr>
          <w:rFonts w:ascii="Calibri" w:eastAsia="Calibri" w:hAnsi="Calibri" w:cs="Calibri"/>
          <w:bCs/>
          <w:noProof/>
          <w:sz w:val="24"/>
          <w:szCs w:val="24"/>
          <w:lang w:val="en-US"/>
        </w:rPr>
        <w:t>:</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Rahman, M.A., Awal, S., 2016. Development of Captive Breeding, Seed Production and Culture Techniques of Snakehead Fish for Species Conservation and Sustainable Aquaculture. </w:t>
      </w:r>
      <w:r w:rsidRPr="007B4926">
        <w:rPr>
          <w:rFonts w:ascii="Calibri" w:eastAsia="Calibri" w:hAnsi="Calibri" w:cs="Calibri"/>
          <w:i/>
          <w:iCs/>
          <w:noProof/>
          <w:sz w:val="24"/>
          <w:szCs w:val="24"/>
          <w:lang w:val="en-US"/>
        </w:rPr>
        <w:t>Int. J. Adv. Agric. Environ. Eng</w:t>
      </w:r>
      <w:r w:rsidRPr="00AA122B">
        <w:rPr>
          <w:rFonts w:ascii="Calibri" w:eastAsia="Calibri" w:hAnsi="Calibri" w:cs="Calibri"/>
          <w:noProof/>
          <w:sz w:val="24"/>
          <w:szCs w:val="24"/>
          <w:lang w:val="en-US"/>
        </w:rPr>
        <w:t>. 3, 117-120.</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w:t>
      </w:r>
      <w:r w:rsidRPr="007B4926">
        <w:rPr>
          <w:rFonts w:ascii="Calibri" w:eastAsia="Calibri" w:hAnsi="Calibri" w:cs="Calibri"/>
          <w:i/>
          <w:iCs/>
          <w:noProof/>
          <w:sz w:val="24"/>
          <w:szCs w:val="24"/>
          <w:lang w:val="en-US"/>
        </w:rPr>
        <w:t>Marine Ecology Progress Series</w:t>
      </w:r>
      <w:r w:rsidRPr="00AA122B">
        <w:rPr>
          <w:rFonts w:ascii="Calibri" w:eastAsia="Calibri" w:hAnsi="Calibri" w:cs="Calibri"/>
          <w:noProof/>
          <w:sz w:val="24"/>
          <w:szCs w:val="24"/>
          <w:lang w:val="en-US"/>
        </w:rPr>
        <w:t xml:space="preserve"> </w:t>
      </w:r>
      <w:r w:rsidRPr="007B4926">
        <w:rPr>
          <w:rFonts w:ascii="Calibri" w:eastAsia="Calibri" w:hAnsi="Calibri" w:cs="Calibri"/>
          <w:bCs/>
          <w:noProof/>
          <w:sz w:val="24"/>
          <w:szCs w:val="24"/>
          <w:lang w:val="en-US"/>
        </w:rPr>
        <w:t>598</w:t>
      </w:r>
      <w:r w:rsidRPr="0070534D">
        <w:rPr>
          <w:rFonts w:ascii="Calibri" w:eastAsia="Calibri" w:hAnsi="Calibri" w:cs="Calibri"/>
          <w:bCs/>
          <w:noProof/>
          <w:sz w:val="24"/>
          <w:szCs w:val="24"/>
          <w:lang w:val="en-US"/>
        </w:rPr>
        <w:t>:</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Stransky, C., 2005. Geographic variation of golden redfish (Sebastes marinus) and  deep-sea redfish (S. mentella) in the North Atlantic based on otolith shape analysis.  </w:t>
      </w:r>
      <w:r w:rsidRPr="007B4926">
        <w:rPr>
          <w:rFonts w:ascii="Calibri" w:eastAsia="Calibri" w:hAnsi="Calibri" w:cs="Calibri"/>
          <w:i/>
          <w:iCs/>
          <w:noProof/>
          <w:sz w:val="24"/>
          <w:szCs w:val="24"/>
          <w:lang w:val="en-US"/>
        </w:rPr>
        <w:t>ICES J. Mar. Sci.</w:t>
      </w:r>
      <w:r w:rsidRPr="00AA122B">
        <w:rPr>
          <w:rFonts w:ascii="Calibri" w:eastAsia="Calibri" w:hAnsi="Calibri" w:cs="Calibri"/>
          <w:noProof/>
          <w:sz w:val="24"/>
          <w:szCs w:val="24"/>
          <w:lang w:val="en-US"/>
        </w:rPr>
        <w:t xml:space="preserve"> 62, 1691–1698.</w:t>
      </w:r>
    </w:p>
    <w:p w14:paraId="0ECBEC64" w14:textId="69222F4F"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5F7DEACD" w14:textId="3D1AA80D" w:rsidR="00F45D88" w:rsidRDefault="00F45D88" w:rsidP="004753C2">
      <w:pPr>
        <w:spacing w:line="360" w:lineRule="auto"/>
        <w:ind w:left="720" w:hanging="720"/>
        <w:rPr>
          <w:rFonts w:ascii="Calibri" w:eastAsia="Calibri" w:hAnsi="Calibri" w:cs="Calibri"/>
          <w:noProof/>
          <w:sz w:val="24"/>
          <w:szCs w:val="24"/>
          <w:lang w:val="en-US"/>
        </w:rPr>
      </w:pPr>
      <w:r w:rsidRPr="00F45D88">
        <w:rPr>
          <w:rFonts w:ascii="Calibri" w:eastAsia="Calibri" w:hAnsi="Calibri" w:cs="Calibri"/>
          <w:noProof/>
          <w:sz w:val="24"/>
          <w:szCs w:val="24"/>
        </w:rPr>
        <w:t>Tanner, S. E., Vasconcelos, R. P., Cabral, H. N., &amp; Thorrold, S. R. (2012). Testing an otolith geochemistry approach to determine population structure and movements of European hake in the northeast Atlantic Ocean and Mediterranean Sea. </w:t>
      </w:r>
      <w:r w:rsidRPr="00F45D88">
        <w:rPr>
          <w:rFonts w:ascii="Calibri" w:eastAsia="Calibri" w:hAnsi="Calibri" w:cs="Calibri"/>
          <w:i/>
          <w:iCs/>
          <w:noProof/>
          <w:sz w:val="24"/>
          <w:szCs w:val="24"/>
        </w:rPr>
        <w:t>Fisheries Research</w:t>
      </w:r>
      <w:r w:rsidRPr="00F45D88">
        <w:rPr>
          <w:rFonts w:ascii="Calibri" w:eastAsia="Calibri" w:hAnsi="Calibri" w:cs="Calibri"/>
          <w:noProof/>
          <w:sz w:val="24"/>
          <w:szCs w:val="24"/>
        </w:rPr>
        <w:t>, </w:t>
      </w:r>
      <w:r w:rsidRPr="00F45D88">
        <w:rPr>
          <w:rFonts w:ascii="Calibri" w:eastAsia="Calibri" w:hAnsi="Calibri" w:cs="Calibri"/>
          <w:i/>
          <w:iCs/>
          <w:noProof/>
          <w:sz w:val="24"/>
          <w:szCs w:val="24"/>
        </w:rPr>
        <w:t>125</w:t>
      </w:r>
      <w:r w:rsidRPr="00F45D88">
        <w:rPr>
          <w:rFonts w:ascii="Calibri" w:eastAsia="Calibri" w:hAnsi="Calibri" w:cs="Calibri"/>
          <w:noProof/>
          <w:sz w:val="24"/>
          <w:szCs w:val="24"/>
        </w:rPr>
        <w:t>, 198-205.</w:t>
      </w:r>
    </w:p>
    <w:p w14:paraId="7DA98EE8" w14:textId="278B61FA" w:rsidR="00622959" w:rsidRPr="007B4926" w:rsidRDefault="00622959" w:rsidP="007B4926">
      <w:pPr>
        <w:spacing w:line="360" w:lineRule="auto"/>
        <w:rPr>
          <w:rFonts w:eastAsia="Times New Roman" w:cstheme="minorHAnsi"/>
        </w:rPr>
      </w:pPr>
      <w:r w:rsidRPr="000571E1">
        <w:rPr>
          <w:rFonts w:cstheme="minorHAnsi"/>
          <w:color w:val="222222"/>
          <w:sz w:val="24"/>
          <w:szCs w:val="24"/>
          <w:shd w:val="clear" w:color="auto" w:fill="FFFFFF"/>
        </w:rPr>
        <w:t>Taylor, L. R. (1961). Aggregation, variance and the mean. </w:t>
      </w:r>
      <w:r w:rsidRPr="000571E1">
        <w:rPr>
          <w:rFonts w:cstheme="minorHAnsi"/>
          <w:i/>
          <w:iCs/>
          <w:color w:val="222222"/>
          <w:sz w:val="24"/>
          <w:szCs w:val="24"/>
          <w:shd w:val="clear" w:color="auto" w:fill="FFFFFF"/>
        </w:rPr>
        <w:t>Nature</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189</w:t>
      </w:r>
      <w:r w:rsidRPr="000571E1">
        <w:rPr>
          <w:rFonts w:cstheme="minorHAnsi"/>
          <w:color w:val="222222"/>
          <w:sz w:val="24"/>
          <w:szCs w:val="24"/>
          <w:shd w:val="clear" w:color="auto" w:fill="FFFFFF"/>
        </w:rPr>
        <w:t>(4766), 732-735.</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Turner, S. M., Manderson, J. P., Richardson, D. E., Hoey, J. J., and Hare, J. A. 2015. Using habitat association models to predict Alewife and Blueback Herring marine distributions and overlap with Atlantic Herring and Atlantic Mackerel: can incidental catches be avoided? </w:t>
      </w:r>
      <w:r w:rsidRPr="007B4926">
        <w:rPr>
          <w:rFonts w:ascii="Calibri" w:eastAsia="Calibri" w:hAnsi="Calibri" w:cs="Calibri"/>
          <w:i/>
          <w:iCs/>
          <w:noProof/>
          <w:sz w:val="24"/>
          <w:szCs w:val="24"/>
          <w:lang w:val="en-US"/>
        </w:rPr>
        <w:t>ICES J. Mar. Sci.</w:t>
      </w:r>
      <w:r w:rsidRPr="00AA122B">
        <w:rPr>
          <w:rFonts w:ascii="Calibri" w:eastAsia="Calibri" w:hAnsi="Calibri" w:cs="Calibri"/>
          <w:noProof/>
          <w:sz w:val="24"/>
          <w:szCs w:val="24"/>
          <w:lang w:val="en-US"/>
        </w:rPr>
        <w:t xml:space="preserve"> 73, 1912–1924. doi: 10.1093/icesjms/fsv166</w:t>
      </w:r>
    </w:p>
    <w:p w14:paraId="73E2A158" w14:textId="1BD7D4A7" w:rsidR="00794B37" w:rsidRDefault="00794B37" w:rsidP="00794B37">
      <w:pPr>
        <w:spacing w:line="360" w:lineRule="auto"/>
        <w:ind w:left="720" w:hanging="720"/>
        <w:rPr>
          <w:rFonts w:ascii="Calibri" w:eastAsia="Calibri" w:hAnsi="Calibri" w:cs="Calibri"/>
          <w:noProof/>
          <w:sz w:val="24"/>
          <w:szCs w:val="24"/>
        </w:rPr>
      </w:pPr>
      <w:r w:rsidRPr="00794B37">
        <w:rPr>
          <w:rFonts w:ascii="Calibri" w:eastAsia="Calibri" w:hAnsi="Calibri" w:cs="Calibri"/>
          <w:noProof/>
          <w:sz w:val="24"/>
          <w:szCs w:val="24"/>
        </w:rPr>
        <w:t>Venables, W. N. &amp; Ripley, B. D. (2002) Modern Applied Statistics with S. Fourth Edition. Springer, New York.  ISBN 0-387-95457-0</w:t>
      </w:r>
    </w:p>
    <w:p w14:paraId="7652F286" w14:textId="0B4BBEC7"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lastRenderedPageBreak/>
        <w:t xml:space="preserve">Vignon M, Morat F (2010) Environmental and genetic determinant of otolith shape revealed by a non-indigenous tropical fish. </w:t>
      </w:r>
      <w:r w:rsidRPr="007B4926">
        <w:rPr>
          <w:rFonts w:ascii="Calibri" w:eastAsia="Calibri" w:hAnsi="Calibri" w:cs="Calibri"/>
          <w:i/>
          <w:iCs/>
          <w:noProof/>
          <w:sz w:val="24"/>
          <w:szCs w:val="24"/>
        </w:rPr>
        <w:t>Mar Ecol Prog Ser</w:t>
      </w:r>
      <w:r w:rsidRPr="001C7117">
        <w:rPr>
          <w:rFonts w:ascii="Calibri" w:eastAsia="Calibri" w:hAnsi="Calibri" w:cs="Calibri"/>
          <w:noProof/>
          <w:sz w:val="24"/>
          <w:szCs w:val="24"/>
        </w:rPr>
        <w:t xml:space="preserve">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w:t>
      </w:r>
      <w:r w:rsidRPr="007B4926">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w:t>
      </w:r>
      <w:r w:rsidRPr="007B4926">
        <w:rPr>
          <w:rFonts w:ascii="Calibri" w:eastAsia="Calibri" w:hAnsi="Calibri" w:cs="Calibri"/>
          <w:bCs/>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 M., K. Altaff, M. Haniffa. 2011. Growth and survival of larval snakehead Channa striates (Bloch, 1793) fed different live feed organisms. </w:t>
      </w:r>
      <w:r w:rsidRPr="007B4926">
        <w:rPr>
          <w:rFonts w:ascii="Calibri" w:eastAsia="Calibri" w:hAnsi="Calibri" w:cs="Calibri"/>
          <w:i/>
          <w:iCs/>
          <w:noProof/>
          <w:sz w:val="24"/>
          <w:szCs w:val="24"/>
          <w:lang w:val="en-US"/>
        </w:rPr>
        <w:t>Turkish Journal of Fisheries and Aquatic Sciences</w:t>
      </w:r>
      <w:r w:rsidRPr="00AA122B">
        <w:rPr>
          <w:rFonts w:ascii="Calibri" w:eastAsia="Calibri" w:hAnsi="Calibri" w:cs="Calibri"/>
          <w:noProof/>
          <w:sz w:val="24"/>
          <w:szCs w:val="24"/>
          <w:lang w:val="en-US"/>
        </w:rPr>
        <w:t>, 11: 523-528.</w:t>
      </w:r>
    </w:p>
    <w:p w14:paraId="7DB5DE9F" w14:textId="77777777" w:rsidR="00AA122B" w:rsidRPr="0070534D"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w:t>
      </w:r>
      <w:r w:rsidRPr="007B4926">
        <w:rPr>
          <w:rFonts w:ascii="Calibri" w:eastAsia="Calibri" w:hAnsi="Calibri" w:cs="Calibri"/>
          <w:i/>
          <w:iCs/>
          <w:noProof/>
          <w:sz w:val="24"/>
          <w:szCs w:val="24"/>
          <w:lang w:val="en-US"/>
        </w:rPr>
        <w:t>Austral Ecology</w:t>
      </w:r>
      <w:r w:rsidRPr="0070534D">
        <w:rPr>
          <w:rFonts w:ascii="Calibri" w:eastAsia="Calibri" w:hAnsi="Calibri" w:cs="Calibri"/>
          <w:noProof/>
          <w:sz w:val="24"/>
          <w:szCs w:val="24"/>
          <w:lang w:val="en-US"/>
        </w:rPr>
        <w:t xml:space="preserve"> </w:t>
      </w:r>
      <w:r w:rsidRPr="007B4926">
        <w:rPr>
          <w:rFonts w:ascii="Calibri" w:eastAsia="Calibri" w:hAnsi="Calibri" w:cs="Calibri"/>
          <w:noProof/>
          <w:sz w:val="24"/>
          <w:szCs w:val="24"/>
          <w:lang w:val="en-US"/>
        </w:rPr>
        <w:t>33</w:t>
      </w:r>
      <w:r w:rsidRPr="0070534D">
        <w:rPr>
          <w:rFonts w:ascii="Calibri" w:eastAsia="Calibri" w:hAnsi="Calibri" w:cs="Calibri"/>
          <w:noProof/>
          <w:sz w:val="24"/>
          <w:szCs w:val="24"/>
          <w:lang w:val="en-US"/>
        </w:rPr>
        <w:t>: 290-300.</w:t>
      </w:r>
    </w:p>
    <w:p w14:paraId="452A87C0" w14:textId="77777777" w:rsidR="00AA122B" w:rsidRPr="0070534D" w:rsidRDefault="00AA122B" w:rsidP="004753C2">
      <w:pPr>
        <w:spacing w:after="0" w:line="360" w:lineRule="auto"/>
        <w:ind w:left="720" w:hanging="720"/>
        <w:rPr>
          <w:rFonts w:ascii="Calibri" w:eastAsia="Calibri" w:hAnsi="Calibri" w:cs="Calibri"/>
          <w:noProof/>
          <w:sz w:val="24"/>
          <w:szCs w:val="24"/>
          <w:lang w:val="en-US"/>
        </w:rPr>
      </w:pPr>
      <w:r w:rsidRPr="007B4926">
        <w:rPr>
          <w:rFonts w:ascii="Calibri" w:eastAsia="Calibri" w:hAnsi="Calibri" w:cs="Calibri"/>
          <w:noProof/>
          <w:sz w:val="24"/>
          <w:szCs w:val="24"/>
          <w:lang w:val="en-US"/>
        </w:rPr>
        <w:t xml:space="preserve">Warton, D. I., S. D. Foster, G. De’ath, J. Stoklosa, and P. K. Dunstan. 2015. Model-based thinking for community ecology. </w:t>
      </w:r>
      <w:r w:rsidRPr="007B4926">
        <w:rPr>
          <w:rFonts w:ascii="Calibri" w:eastAsia="Calibri" w:hAnsi="Calibri" w:cs="Calibri"/>
          <w:i/>
          <w:iCs/>
          <w:noProof/>
          <w:sz w:val="24"/>
          <w:szCs w:val="24"/>
          <w:lang w:val="en-US"/>
        </w:rPr>
        <w:t>Plant Ecology</w:t>
      </w:r>
      <w:r w:rsidRPr="0070534D">
        <w:rPr>
          <w:rFonts w:ascii="Calibri" w:eastAsia="Calibri" w:hAnsi="Calibri" w:cs="Calibri"/>
          <w:noProof/>
          <w:sz w:val="24"/>
          <w:szCs w:val="24"/>
          <w:lang w:val="en-US"/>
        </w:rPr>
        <w:t xml:space="preserve"> </w:t>
      </w:r>
      <w:r w:rsidRPr="007B4926">
        <w:rPr>
          <w:rFonts w:ascii="Calibri" w:eastAsia="Calibri" w:hAnsi="Calibri" w:cs="Calibri"/>
          <w:noProof/>
          <w:sz w:val="24"/>
          <w:szCs w:val="24"/>
          <w:lang w:val="en-US"/>
        </w:rPr>
        <w:t>216</w:t>
      </w:r>
      <w:r w:rsidRPr="0070534D">
        <w:rPr>
          <w:rFonts w:ascii="Calibri" w:eastAsia="Calibri" w:hAnsi="Calibri" w:cs="Calibri"/>
          <w:noProof/>
          <w:sz w:val="24"/>
          <w:szCs w:val="24"/>
          <w:lang w:val="en-US"/>
        </w:rPr>
        <w:t>:669-682.</w:t>
      </w:r>
    </w:p>
    <w:p w14:paraId="0BA6B2AF" w14:textId="64BCEB62" w:rsidR="00AA122B" w:rsidRDefault="00AA122B" w:rsidP="004753C2">
      <w:pPr>
        <w:spacing w:line="360" w:lineRule="auto"/>
        <w:ind w:left="720" w:hanging="720"/>
        <w:rPr>
          <w:rFonts w:ascii="Calibri" w:eastAsia="Calibri" w:hAnsi="Calibri" w:cs="Calibri"/>
          <w:noProof/>
          <w:sz w:val="24"/>
          <w:szCs w:val="24"/>
          <w:lang w:val="en-US"/>
        </w:rPr>
      </w:pPr>
      <w:r w:rsidRPr="007B4926">
        <w:rPr>
          <w:rFonts w:ascii="Calibri" w:eastAsia="Calibri" w:hAnsi="Calibri" w:cs="Calibri"/>
          <w:noProof/>
          <w:sz w:val="24"/>
          <w:szCs w:val="24"/>
          <w:lang w:val="en-US"/>
        </w:rPr>
        <w:t xml:space="preserve">Warton, D. I., S. T. Wright, and Y. Wang. 2012. Distance-based multivariate analyses confound location and dispersion effects. </w:t>
      </w:r>
      <w:r w:rsidRPr="007B4926">
        <w:rPr>
          <w:rFonts w:ascii="Calibri" w:eastAsia="Calibri" w:hAnsi="Calibri" w:cs="Calibri"/>
          <w:i/>
          <w:iCs/>
          <w:noProof/>
          <w:sz w:val="24"/>
          <w:szCs w:val="24"/>
          <w:lang w:val="en-US"/>
        </w:rPr>
        <w:t>Methods in Ecology and Evolution</w:t>
      </w:r>
      <w:r w:rsidRPr="0070534D">
        <w:rPr>
          <w:rFonts w:ascii="Calibri" w:eastAsia="Calibri" w:hAnsi="Calibri" w:cs="Calibri"/>
          <w:noProof/>
          <w:sz w:val="24"/>
          <w:szCs w:val="24"/>
          <w:lang w:val="en-US"/>
        </w:rPr>
        <w:t xml:space="preserve"> </w:t>
      </w:r>
      <w:r w:rsidRPr="007B4926">
        <w:rPr>
          <w:rFonts w:ascii="Calibri" w:eastAsia="Calibri" w:hAnsi="Calibri" w:cs="Calibri"/>
          <w:noProof/>
          <w:sz w:val="24"/>
          <w:szCs w:val="24"/>
          <w:lang w:val="en-US"/>
        </w:rPr>
        <w:t>3</w:t>
      </w:r>
      <w:r w:rsidRPr="00AA122B">
        <w:rPr>
          <w:rFonts w:ascii="Calibri" w:eastAsia="Calibri" w:hAnsi="Calibri" w:cs="Calibri"/>
          <w:noProof/>
          <w:sz w:val="24"/>
          <w:szCs w:val="24"/>
          <w:lang w:val="en-US"/>
        </w:rPr>
        <w:t>:89-101.</w:t>
      </w:r>
    </w:p>
    <w:p w14:paraId="3E9EF4CE" w14:textId="27F626D0" w:rsidR="00AF769D" w:rsidRPr="00AA122B" w:rsidRDefault="00AF769D" w:rsidP="004753C2">
      <w:pPr>
        <w:spacing w:line="360" w:lineRule="auto"/>
        <w:ind w:left="720" w:hanging="720"/>
        <w:rPr>
          <w:rFonts w:ascii="Calibri" w:eastAsia="Calibri" w:hAnsi="Calibri" w:cs="Calibri"/>
          <w:noProof/>
          <w:sz w:val="24"/>
          <w:szCs w:val="24"/>
          <w:lang w:val="en-US"/>
        </w:rPr>
      </w:pPr>
      <w:r w:rsidRPr="00AF769D">
        <w:rPr>
          <w:rFonts w:ascii="Calibri" w:eastAsia="Calibri" w:hAnsi="Calibri" w:cs="Calibri"/>
          <w:noProof/>
          <w:sz w:val="24"/>
          <w:szCs w:val="24"/>
          <w:lang w:val="en-US"/>
        </w:rPr>
        <w:t xml:space="preserve">Warton, D. I. (2018). Why you cannot transform your way out of trouble for small counts. </w:t>
      </w:r>
      <w:r w:rsidRPr="007B4926">
        <w:rPr>
          <w:rFonts w:ascii="Calibri" w:eastAsia="Calibri" w:hAnsi="Calibri" w:cs="Calibri"/>
          <w:i/>
          <w:iCs/>
          <w:noProof/>
          <w:sz w:val="24"/>
          <w:szCs w:val="24"/>
          <w:lang w:val="en-US"/>
        </w:rPr>
        <w:t>Biometrics</w:t>
      </w:r>
      <w:r w:rsidRPr="00AF769D">
        <w:rPr>
          <w:rFonts w:ascii="Calibri" w:eastAsia="Calibri" w:hAnsi="Calibri" w:cs="Calibri"/>
          <w:noProof/>
          <w:sz w:val="24"/>
          <w:szCs w:val="24"/>
          <w:lang w:val="en-US"/>
        </w:rPr>
        <w:t>, 74(1), 362-368.</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Univariate GLM results for the otolith chemistry analysis. For each element, the Likelihood Ratio test statistic (LR; 2 dp) and</w:t>
      </w:r>
      <w:r w:rsidR="00F7039E">
        <w:rPr>
          <w:sz w:val="24"/>
          <w:szCs w:val="24"/>
        </w:rPr>
        <w:t xml:space="preserve"> </w:t>
      </w:r>
      <w:r w:rsidRPr="00AA122B">
        <w:rPr>
          <w:i/>
          <w:iCs/>
          <w:sz w:val="24"/>
          <w:szCs w:val="24"/>
        </w:rPr>
        <w:t>P</w:t>
      </w:r>
      <w:r w:rsidRPr="00AA122B">
        <w:rPr>
          <w:sz w:val="24"/>
          <w:szCs w:val="24"/>
        </w:rPr>
        <w:t>-value (3 dp) are shown as well as the % contribution to the multivariate differences (2 dp).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7B4926">
        <w:tc>
          <w:tcPr>
            <w:tcW w:w="1803" w:type="dxa"/>
            <w:tcBorders>
              <w:top w:val="single" w:sz="4" w:space="0" w:color="auto"/>
            </w:tcBorders>
          </w:tcPr>
          <w:p w14:paraId="7827ACFD" w14:textId="79916AFD" w:rsidR="00820D2A" w:rsidRPr="00820D2A" w:rsidRDefault="00820D2A" w:rsidP="00820D2A">
            <w:pPr>
              <w:spacing w:line="360" w:lineRule="auto"/>
              <w:rPr>
                <w:sz w:val="24"/>
                <w:szCs w:val="24"/>
              </w:rPr>
            </w:pPr>
            <w:r w:rsidRPr="007B4926">
              <w:rPr>
                <w:sz w:val="24"/>
                <w:szCs w:val="24"/>
              </w:rPr>
              <w:t>Na</w:t>
            </w:r>
          </w:p>
        </w:tc>
        <w:tc>
          <w:tcPr>
            <w:tcW w:w="1919" w:type="dxa"/>
            <w:tcBorders>
              <w:top w:val="single" w:sz="4" w:space="0" w:color="auto"/>
            </w:tcBorders>
            <w:vAlign w:val="bottom"/>
          </w:tcPr>
          <w:p w14:paraId="25245315" w14:textId="5AC26212" w:rsidR="00820D2A" w:rsidRPr="00820D2A" w:rsidRDefault="00820D2A" w:rsidP="00820D2A">
            <w:pPr>
              <w:spacing w:line="360" w:lineRule="auto"/>
              <w:rPr>
                <w:sz w:val="24"/>
                <w:szCs w:val="24"/>
              </w:rPr>
            </w:pPr>
            <w:r w:rsidRPr="007B4926">
              <w:rPr>
                <w:rFonts w:ascii="Calibri" w:hAnsi="Calibri" w:cs="Calibri"/>
                <w:color w:val="000000"/>
                <w:sz w:val="24"/>
                <w:szCs w:val="24"/>
              </w:rPr>
              <w:t>296.57</w:t>
            </w:r>
          </w:p>
        </w:tc>
        <w:tc>
          <w:tcPr>
            <w:tcW w:w="1803" w:type="dxa"/>
            <w:tcBorders>
              <w:top w:val="single" w:sz="4" w:space="0" w:color="auto"/>
            </w:tcBorders>
          </w:tcPr>
          <w:p w14:paraId="7D941921" w14:textId="6E39379C" w:rsidR="00820D2A" w:rsidRPr="00820D2A" w:rsidRDefault="00820D2A" w:rsidP="00820D2A">
            <w:pPr>
              <w:spacing w:line="360" w:lineRule="auto"/>
              <w:rPr>
                <w:sz w:val="24"/>
                <w:szCs w:val="24"/>
              </w:rPr>
            </w:pPr>
            <w:r w:rsidRPr="007B4926">
              <w:rPr>
                <w:sz w:val="24"/>
                <w:szCs w:val="24"/>
              </w:rPr>
              <w:t>&lt;0.001</w:t>
            </w:r>
          </w:p>
        </w:tc>
        <w:tc>
          <w:tcPr>
            <w:tcW w:w="1934" w:type="dxa"/>
            <w:tcBorders>
              <w:top w:val="single" w:sz="4" w:space="0" w:color="auto"/>
            </w:tcBorders>
          </w:tcPr>
          <w:p w14:paraId="3594F249" w14:textId="24174B2B" w:rsidR="00820D2A" w:rsidRPr="00820D2A" w:rsidRDefault="00820D2A" w:rsidP="00820D2A">
            <w:pPr>
              <w:spacing w:line="360" w:lineRule="auto"/>
              <w:rPr>
                <w:sz w:val="24"/>
                <w:szCs w:val="24"/>
              </w:rPr>
            </w:pPr>
            <w:r w:rsidRPr="007B4926">
              <w:rPr>
                <w:sz w:val="24"/>
                <w:szCs w:val="24"/>
              </w:rPr>
              <w:t>25.84</w:t>
            </w:r>
          </w:p>
        </w:tc>
      </w:tr>
      <w:tr w:rsidR="00820D2A" w:rsidRPr="00AA122B" w14:paraId="221020F0" w14:textId="77777777" w:rsidTr="007B4926">
        <w:tc>
          <w:tcPr>
            <w:tcW w:w="1803" w:type="dxa"/>
          </w:tcPr>
          <w:p w14:paraId="11F7F7DB" w14:textId="2CAB6EE3" w:rsidR="00820D2A" w:rsidRPr="00820D2A" w:rsidRDefault="00820D2A" w:rsidP="00820D2A">
            <w:pPr>
              <w:spacing w:line="360" w:lineRule="auto"/>
              <w:rPr>
                <w:sz w:val="24"/>
                <w:szCs w:val="24"/>
              </w:rPr>
            </w:pPr>
            <w:r w:rsidRPr="007B4926">
              <w:rPr>
                <w:sz w:val="24"/>
                <w:szCs w:val="24"/>
              </w:rPr>
              <w:t>Sr</w:t>
            </w:r>
          </w:p>
        </w:tc>
        <w:tc>
          <w:tcPr>
            <w:tcW w:w="1919" w:type="dxa"/>
            <w:vAlign w:val="bottom"/>
          </w:tcPr>
          <w:p w14:paraId="70EC3EFC" w14:textId="47C9D221" w:rsidR="00820D2A" w:rsidRPr="00820D2A" w:rsidRDefault="00820D2A" w:rsidP="00820D2A">
            <w:pPr>
              <w:spacing w:line="360" w:lineRule="auto"/>
              <w:rPr>
                <w:sz w:val="24"/>
                <w:szCs w:val="24"/>
              </w:rPr>
            </w:pPr>
            <w:r w:rsidRPr="007B4926">
              <w:rPr>
                <w:rFonts w:ascii="Calibri" w:hAnsi="Calibri" w:cs="Calibri"/>
                <w:color w:val="000000"/>
                <w:sz w:val="24"/>
                <w:szCs w:val="24"/>
              </w:rPr>
              <w:t>216.61</w:t>
            </w:r>
          </w:p>
        </w:tc>
        <w:tc>
          <w:tcPr>
            <w:tcW w:w="1803" w:type="dxa"/>
          </w:tcPr>
          <w:p w14:paraId="32392CC1" w14:textId="248F29C3" w:rsidR="00820D2A" w:rsidRPr="00820D2A" w:rsidRDefault="00820D2A" w:rsidP="00820D2A">
            <w:pPr>
              <w:spacing w:line="360" w:lineRule="auto"/>
              <w:rPr>
                <w:sz w:val="24"/>
                <w:szCs w:val="24"/>
              </w:rPr>
            </w:pPr>
            <w:r w:rsidRPr="007B4926">
              <w:rPr>
                <w:sz w:val="24"/>
                <w:szCs w:val="24"/>
              </w:rPr>
              <w:t>&lt;0.001</w:t>
            </w:r>
          </w:p>
        </w:tc>
        <w:tc>
          <w:tcPr>
            <w:tcW w:w="1934" w:type="dxa"/>
          </w:tcPr>
          <w:p w14:paraId="5676AE78" w14:textId="2341D54A" w:rsidR="00820D2A" w:rsidRPr="00820D2A" w:rsidRDefault="00820D2A" w:rsidP="00820D2A">
            <w:pPr>
              <w:spacing w:line="360" w:lineRule="auto"/>
              <w:rPr>
                <w:sz w:val="24"/>
                <w:szCs w:val="24"/>
              </w:rPr>
            </w:pPr>
            <w:r w:rsidRPr="007B4926">
              <w:rPr>
                <w:sz w:val="24"/>
                <w:szCs w:val="24"/>
              </w:rPr>
              <w:t>18.87</w:t>
            </w:r>
          </w:p>
        </w:tc>
      </w:tr>
      <w:tr w:rsidR="00820D2A" w:rsidRPr="00AA122B" w14:paraId="4DB310EA" w14:textId="77777777" w:rsidTr="007B4926">
        <w:tc>
          <w:tcPr>
            <w:tcW w:w="1803" w:type="dxa"/>
          </w:tcPr>
          <w:p w14:paraId="5FCC6DE1" w14:textId="2FA03B3F" w:rsidR="00820D2A" w:rsidRPr="00820D2A" w:rsidRDefault="00820D2A" w:rsidP="00820D2A">
            <w:pPr>
              <w:spacing w:line="360" w:lineRule="auto"/>
              <w:rPr>
                <w:sz w:val="24"/>
                <w:szCs w:val="24"/>
              </w:rPr>
            </w:pPr>
            <w:r w:rsidRPr="007B4926">
              <w:rPr>
                <w:sz w:val="24"/>
                <w:szCs w:val="24"/>
              </w:rPr>
              <w:t>Mg</w:t>
            </w:r>
          </w:p>
        </w:tc>
        <w:tc>
          <w:tcPr>
            <w:tcW w:w="1919" w:type="dxa"/>
            <w:vAlign w:val="bottom"/>
          </w:tcPr>
          <w:p w14:paraId="40A030A6" w14:textId="310D9EAE" w:rsidR="00820D2A" w:rsidRPr="00820D2A" w:rsidRDefault="00820D2A" w:rsidP="00820D2A">
            <w:pPr>
              <w:spacing w:line="360" w:lineRule="auto"/>
              <w:rPr>
                <w:sz w:val="24"/>
                <w:szCs w:val="24"/>
              </w:rPr>
            </w:pPr>
            <w:r w:rsidRPr="007B4926">
              <w:rPr>
                <w:rFonts w:ascii="Calibri" w:hAnsi="Calibri" w:cs="Calibri"/>
                <w:color w:val="000000"/>
                <w:sz w:val="24"/>
                <w:szCs w:val="24"/>
              </w:rPr>
              <w:t>113.60</w:t>
            </w:r>
          </w:p>
        </w:tc>
        <w:tc>
          <w:tcPr>
            <w:tcW w:w="1803" w:type="dxa"/>
          </w:tcPr>
          <w:p w14:paraId="5C7716F6" w14:textId="728D34ED" w:rsidR="00820D2A" w:rsidRPr="00820D2A" w:rsidRDefault="00820D2A" w:rsidP="00820D2A">
            <w:pPr>
              <w:spacing w:line="360" w:lineRule="auto"/>
              <w:rPr>
                <w:sz w:val="24"/>
                <w:szCs w:val="24"/>
              </w:rPr>
            </w:pPr>
            <w:r w:rsidRPr="007B4926">
              <w:rPr>
                <w:sz w:val="24"/>
                <w:szCs w:val="24"/>
              </w:rPr>
              <w:t>&lt;0.001</w:t>
            </w:r>
          </w:p>
        </w:tc>
        <w:tc>
          <w:tcPr>
            <w:tcW w:w="1934" w:type="dxa"/>
          </w:tcPr>
          <w:p w14:paraId="5FB8C038" w14:textId="2E345F63" w:rsidR="00820D2A" w:rsidRPr="00820D2A" w:rsidRDefault="00820D2A" w:rsidP="00820D2A">
            <w:pPr>
              <w:spacing w:line="360" w:lineRule="auto"/>
              <w:rPr>
                <w:sz w:val="24"/>
                <w:szCs w:val="24"/>
              </w:rPr>
            </w:pPr>
            <w:r w:rsidRPr="007B4926">
              <w:rPr>
                <w:sz w:val="24"/>
                <w:szCs w:val="24"/>
              </w:rPr>
              <w:t>9.90</w:t>
            </w:r>
          </w:p>
        </w:tc>
      </w:tr>
      <w:tr w:rsidR="00820D2A" w:rsidRPr="00AA122B" w14:paraId="258B2121" w14:textId="77777777" w:rsidTr="007B4926">
        <w:tc>
          <w:tcPr>
            <w:tcW w:w="1803" w:type="dxa"/>
          </w:tcPr>
          <w:p w14:paraId="699CC26A" w14:textId="2A3C1309" w:rsidR="00820D2A" w:rsidRPr="00820D2A" w:rsidRDefault="00820D2A" w:rsidP="00820D2A">
            <w:pPr>
              <w:spacing w:line="360" w:lineRule="auto"/>
              <w:rPr>
                <w:sz w:val="24"/>
                <w:szCs w:val="24"/>
              </w:rPr>
            </w:pPr>
            <w:r w:rsidRPr="007B4926">
              <w:rPr>
                <w:sz w:val="24"/>
                <w:szCs w:val="24"/>
              </w:rPr>
              <w:t>Ni</w:t>
            </w:r>
          </w:p>
        </w:tc>
        <w:tc>
          <w:tcPr>
            <w:tcW w:w="1919" w:type="dxa"/>
            <w:vAlign w:val="bottom"/>
          </w:tcPr>
          <w:p w14:paraId="3DDB3B71" w14:textId="5DB31157" w:rsidR="00820D2A" w:rsidRPr="00820D2A" w:rsidRDefault="00820D2A" w:rsidP="00820D2A">
            <w:pPr>
              <w:spacing w:line="360" w:lineRule="auto"/>
              <w:rPr>
                <w:sz w:val="24"/>
                <w:szCs w:val="24"/>
              </w:rPr>
            </w:pPr>
            <w:r w:rsidRPr="007B4926">
              <w:rPr>
                <w:rFonts w:ascii="Calibri" w:hAnsi="Calibri" w:cs="Calibri"/>
                <w:color w:val="000000"/>
                <w:sz w:val="24"/>
                <w:szCs w:val="24"/>
              </w:rPr>
              <w:t>91.59</w:t>
            </w:r>
          </w:p>
        </w:tc>
        <w:tc>
          <w:tcPr>
            <w:tcW w:w="1803" w:type="dxa"/>
          </w:tcPr>
          <w:p w14:paraId="1E843D36" w14:textId="39AD24FA" w:rsidR="00820D2A" w:rsidRPr="00820D2A" w:rsidRDefault="00820D2A" w:rsidP="00820D2A">
            <w:pPr>
              <w:spacing w:line="360" w:lineRule="auto"/>
              <w:rPr>
                <w:sz w:val="24"/>
                <w:szCs w:val="24"/>
              </w:rPr>
            </w:pPr>
            <w:r w:rsidRPr="007B4926">
              <w:rPr>
                <w:sz w:val="24"/>
                <w:szCs w:val="24"/>
              </w:rPr>
              <w:t>&lt;0.001</w:t>
            </w:r>
          </w:p>
        </w:tc>
        <w:tc>
          <w:tcPr>
            <w:tcW w:w="1934" w:type="dxa"/>
          </w:tcPr>
          <w:p w14:paraId="522D0E51" w14:textId="427053A7" w:rsidR="00820D2A" w:rsidRPr="00820D2A" w:rsidRDefault="00820D2A" w:rsidP="00820D2A">
            <w:pPr>
              <w:spacing w:line="360" w:lineRule="auto"/>
              <w:rPr>
                <w:sz w:val="24"/>
                <w:szCs w:val="24"/>
              </w:rPr>
            </w:pPr>
            <w:r w:rsidRPr="007B4926">
              <w:rPr>
                <w:sz w:val="24"/>
                <w:szCs w:val="24"/>
              </w:rPr>
              <w:t>7.98</w:t>
            </w:r>
          </w:p>
        </w:tc>
      </w:tr>
      <w:tr w:rsidR="00820D2A" w:rsidRPr="00AA122B" w14:paraId="6F6114A6" w14:textId="77777777" w:rsidTr="007B4926">
        <w:tc>
          <w:tcPr>
            <w:tcW w:w="1803" w:type="dxa"/>
          </w:tcPr>
          <w:p w14:paraId="6582B173" w14:textId="6A45F66C" w:rsidR="00820D2A" w:rsidRPr="00820D2A" w:rsidRDefault="00820D2A" w:rsidP="00820D2A">
            <w:pPr>
              <w:spacing w:line="360" w:lineRule="auto"/>
              <w:rPr>
                <w:sz w:val="24"/>
                <w:szCs w:val="24"/>
              </w:rPr>
            </w:pPr>
            <w:r w:rsidRPr="007B4926">
              <w:rPr>
                <w:sz w:val="24"/>
                <w:szCs w:val="24"/>
              </w:rPr>
              <w:t>Cd</w:t>
            </w:r>
          </w:p>
        </w:tc>
        <w:tc>
          <w:tcPr>
            <w:tcW w:w="1919" w:type="dxa"/>
            <w:vAlign w:val="bottom"/>
          </w:tcPr>
          <w:p w14:paraId="61DE6709" w14:textId="190B7563" w:rsidR="00820D2A" w:rsidRPr="00820D2A" w:rsidRDefault="00820D2A" w:rsidP="00820D2A">
            <w:pPr>
              <w:spacing w:line="360" w:lineRule="auto"/>
              <w:rPr>
                <w:sz w:val="24"/>
                <w:szCs w:val="24"/>
              </w:rPr>
            </w:pPr>
            <w:r w:rsidRPr="007B4926">
              <w:rPr>
                <w:rFonts w:ascii="Calibri" w:hAnsi="Calibri" w:cs="Calibri"/>
                <w:color w:val="000000"/>
                <w:sz w:val="24"/>
                <w:szCs w:val="24"/>
              </w:rPr>
              <w:t>90.53</w:t>
            </w:r>
          </w:p>
        </w:tc>
        <w:tc>
          <w:tcPr>
            <w:tcW w:w="1803" w:type="dxa"/>
          </w:tcPr>
          <w:p w14:paraId="2C23B171" w14:textId="67A31CDF" w:rsidR="00820D2A" w:rsidRPr="00820D2A" w:rsidRDefault="00820D2A" w:rsidP="00820D2A">
            <w:pPr>
              <w:spacing w:line="360" w:lineRule="auto"/>
              <w:rPr>
                <w:sz w:val="24"/>
                <w:szCs w:val="24"/>
              </w:rPr>
            </w:pPr>
            <w:r w:rsidRPr="007B4926">
              <w:rPr>
                <w:sz w:val="24"/>
                <w:szCs w:val="24"/>
              </w:rPr>
              <w:t>&lt;0.001</w:t>
            </w:r>
          </w:p>
        </w:tc>
        <w:tc>
          <w:tcPr>
            <w:tcW w:w="1934" w:type="dxa"/>
          </w:tcPr>
          <w:p w14:paraId="705B087A" w14:textId="779782E8" w:rsidR="00820D2A" w:rsidRPr="00820D2A" w:rsidRDefault="00820D2A" w:rsidP="00820D2A">
            <w:pPr>
              <w:spacing w:line="360" w:lineRule="auto"/>
              <w:rPr>
                <w:sz w:val="24"/>
                <w:szCs w:val="24"/>
              </w:rPr>
            </w:pPr>
            <w:r w:rsidRPr="007B4926">
              <w:rPr>
                <w:sz w:val="24"/>
                <w:szCs w:val="24"/>
              </w:rPr>
              <w:t>7.89</w:t>
            </w:r>
          </w:p>
        </w:tc>
      </w:tr>
      <w:tr w:rsidR="00820D2A" w:rsidRPr="00AA122B" w14:paraId="1EA6A154" w14:textId="77777777" w:rsidTr="007B4926">
        <w:tc>
          <w:tcPr>
            <w:tcW w:w="1803" w:type="dxa"/>
          </w:tcPr>
          <w:p w14:paraId="7A620688" w14:textId="0A85EDB4" w:rsidR="00820D2A" w:rsidRPr="00820D2A" w:rsidRDefault="00820D2A" w:rsidP="00820D2A">
            <w:pPr>
              <w:spacing w:line="360" w:lineRule="auto"/>
              <w:rPr>
                <w:sz w:val="24"/>
                <w:szCs w:val="24"/>
              </w:rPr>
            </w:pPr>
            <w:r w:rsidRPr="007B4926">
              <w:rPr>
                <w:sz w:val="24"/>
                <w:szCs w:val="24"/>
              </w:rPr>
              <w:t>Ba</w:t>
            </w:r>
          </w:p>
        </w:tc>
        <w:tc>
          <w:tcPr>
            <w:tcW w:w="1919" w:type="dxa"/>
            <w:vAlign w:val="bottom"/>
          </w:tcPr>
          <w:p w14:paraId="1DA194B5" w14:textId="4EFCC9C3" w:rsidR="00820D2A" w:rsidRPr="00820D2A" w:rsidRDefault="00820D2A" w:rsidP="00820D2A">
            <w:pPr>
              <w:spacing w:line="360" w:lineRule="auto"/>
              <w:rPr>
                <w:sz w:val="24"/>
                <w:szCs w:val="24"/>
              </w:rPr>
            </w:pPr>
            <w:r w:rsidRPr="007B4926">
              <w:rPr>
                <w:rFonts w:ascii="Calibri" w:hAnsi="Calibri" w:cs="Calibri"/>
                <w:color w:val="000000"/>
                <w:sz w:val="24"/>
                <w:szCs w:val="24"/>
              </w:rPr>
              <w:t>88.85</w:t>
            </w:r>
          </w:p>
        </w:tc>
        <w:tc>
          <w:tcPr>
            <w:tcW w:w="1803" w:type="dxa"/>
          </w:tcPr>
          <w:p w14:paraId="5AD29CA0" w14:textId="52D52098" w:rsidR="00820D2A" w:rsidRPr="00820D2A" w:rsidRDefault="00820D2A" w:rsidP="00820D2A">
            <w:pPr>
              <w:spacing w:line="360" w:lineRule="auto"/>
              <w:rPr>
                <w:sz w:val="24"/>
                <w:szCs w:val="24"/>
              </w:rPr>
            </w:pPr>
            <w:r w:rsidRPr="007B4926">
              <w:rPr>
                <w:sz w:val="24"/>
                <w:szCs w:val="24"/>
              </w:rPr>
              <w:t>&lt;0.001</w:t>
            </w:r>
          </w:p>
        </w:tc>
        <w:tc>
          <w:tcPr>
            <w:tcW w:w="1934" w:type="dxa"/>
          </w:tcPr>
          <w:p w14:paraId="5CCF7ACB" w14:textId="5550507E" w:rsidR="00820D2A" w:rsidRPr="00820D2A" w:rsidRDefault="00820D2A" w:rsidP="00820D2A">
            <w:pPr>
              <w:spacing w:line="360" w:lineRule="auto"/>
              <w:rPr>
                <w:sz w:val="24"/>
                <w:szCs w:val="24"/>
              </w:rPr>
            </w:pPr>
            <w:r w:rsidRPr="007B4926">
              <w:rPr>
                <w:sz w:val="24"/>
                <w:szCs w:val="24"/>
              </w:rPr>
              <w:t>7.74</w:t>
            </w:r>
          </w:p>
        </w:tc>
      </w:tr>
      <w:tr w:rsidR="00820D2A" w:rsidRPr="00AA122B" w14:paraId="6513B678" w14:textId="77777777" w:rsidTr="007B4926">
        <w:tc>
          <w:tcPr>
            <w:tcW w:w="1803" w:type="dxa"/>
          </w:tcPr>
          <w:p w14:paraId="7987D659" w14:textId="052CD37C" w:rsidR="00820D2A" w:rsidRPr="00820D2A" w:rsidRDefault="00820D2A" w:rsidP="00820D2A">
            <w:pPr>
              <w:spacing w:line="360" w:lineRule="auto"/>
              <w:rPr>
                <w:sz w:val="24"/>
                <w:szCs w:val="24"/>
              </w:rPr>
            </w:pPr>
            <w:r w:rsidRPr="007B4926">
              <w:rPr>
                <w:sz w:val="24"/>
                <w:szCs w:val="24"/>
              </w:rPr>
              <w:t>Mn</w:t>
            </w:r>
          </w:p>
        </w:tc>
        <w:tc>
          <w:tcPr>
            <w:tcW w:w="1919" w:type="dxa"/>
            <w:vAlign w:val="bottom"/>
          </w:tcPr>
          <w:p w14:paraId="6B37156E" w14:textId="23B9EA21" w:rsidR="00820D2A" w:rsidRPr="00820D2A" w:rsidRDefault="00820D2A" w:rsidP="00820D2A">
            <w:pPr>
              <w:spacing w:line="360" w:lineRule="auto"/>
              <w:rPr>
                <w:sz w:val="24"/>
                <w:szCs w:val="24"/>
              </w:rPr>
            </w:pPr>
            <w:r w:rsidRPr="007B4926">
              <w:rPr>
                <w:rFonts w:ascii="Calibri" w:hAnsi="Calibri" w:cs="Calibri"/>
                <w:color w:val="000000"/>
                <w:sz w:val="24"/>
                <w:szCs w:val="24"/>
              </w:rPr>
              <w:t>74.82</w:t>
            </w:r>
          </w:p>
        </w:tc>
        <w:tc>
          <w:tcPr>
            <w:tcW w:w="1803" w:type="dxa"/>
          </w:tcPr>
          <w:p w14:paraId="3B3E1BF7" w14:textId="2E57C2AA" w:rsidR="00820D2A" w:rsidRPr="00820D2A" w:rsidRDefault="00820D2A" w:rsidP="00820D2A">
            <w:pPr>
              <w:spacing w:line="360" w:lineRule="auto"/>
              <w:rPr>
                <w:sz w:val="24"/>
                <w:szCs w:val="24"/>
              </w:rPr>
            </w:pPr>
            <w:r w:rsidRPr="007B4926">
              <w:rPr>
                <w:sz w:val="24"/>
                <w:szCs w:val="24"/>
              </w:rPr>
              <w:t>&lt;0.001</w:t>
            </w:r>
          </w:p>
        </w:tc>
        <w:tc>
          <w:tcPr>
            <w:tcW w:w="1934" w:type="dxa"/>
          </w:tcPr>
          <w:p w14:paraId="58C3A813" w14:textId="77D3C2F4" w:rsidR="00820D2A" w:rsidRPr="00820D2A" w:rsidRDefault="00820D2A" w:rsidP="00820D2A">
            <w:pPr>
              <w:spacing w:line="360" w:lineRule="auto"/>
              <w:rPr>
                <w:sz w:val="24"/>
                <w:szCs w:val="24"/>
              </w:rPr>
            </w:pPr>
            <w:r w:rsidRPr="007B4926">
              <w:rPr>
                <w:sz w:val="24"/>
                <w:szCs w:val="24"/>
              </w:rPr>
              <w:t>6.52</w:t>
            </w:r>
          </w:p>
        </w:tc>
      </w:tr>
      <w:tr w:rsidR="00820D2A" w:rsidRPr="00AA122B" w14:paraId="7A22793C" w14:textId="77777777" w:rsidTr="007B4926">
        <w:tc>
          <w:tcPr>
            <w:tcW w:w="1803" w:type="dxa"/>
          </w:tcPr>
          <w:p w14:paraId="404C0411" w14:textId="11EB0A9F" w:rsidR="00820D2A" w:rsidRPr="00820D2A" w:rsidRDefault="00820D2A" w:rsidP="00820D2A">
            <w:pPr>
              <w:spacing w:line="360" w:lineRule="auto"/>
              <w:rPr>
                <w:sz w:val="24"/>
                <w:szCs w:val="24"/>
              </w:rPr>
            </w:pPr>
            <w:r w:rsidRPr="007B4926">
              <w:rPr>
                <w:sz w:val="24"/>
                <w:szCs w:val="24"/>
              </w:rPr>
              <w:t>Cr</w:t>
            </w:r>
          </w:p>
        </w:tc>
        <w:tc>
          <w:tcPr>
            <w:tcW w:w="1919" w:type="dxa"/>
            <w:vAlign w:val="bottom"/>
          </w:tcPr>
          <w:p w14:paraId="3F44DE49" w14:textId="01033288" w:rsidR="00820D2A" w:rsidRPr="00820D2A" w:rsidRDefault="00820D2A" w:rsidP="00820D2A">
            <w:pPr>
              <w:spacing w:line="360" w:lineRule="auto"/>
              <w:rPr>
                <w:sz w:val="24"/>
                <w:szCs w:val="24"/>
              </w:rPr>
            </w:pPr>
            <w:r w:rsidRPr="007B4926">
              <w:rPr>
                <w:rFonts w:ascii="Calibri" w:hAnsi="Calibri" w:cs="Calibri"/>
                <w:color w:val="000000"/>
                <w:sz w:val="24"/>
                <w:szCs w:val="24"/>
              </w:rPr>
              <w:t>66.78</w:t>
            </w:r>
          </w:p>
        </w:tc>
        <w:tc>
          <w:tcPr>
            <w:tcW w:w="1803" w:type="dxa"/>
          </w:tcPr>
          <w:p w14:paraId="501075C1" w14:textId="72B64ACB" w:rsidR="00820D2A" w:rsidRPr="00820D2A" w:rsidRDefault="00820D2A" w:rsidP="00820D2A">
            <w:pPr>
              <w:spacing w:line="360" w:lineRule="auto"/>
              <w:rPr>
                <w:sz w:val="24"/>
                <w:szCs w:val="24"/>
              </w:rPr>
            </w:pPr>
            <w:r w:rsidRPr="007B4926">
              <w:rPr>
                <w:sz w:val="24"/>
                <w:szCs w:val="24"/>
              </w:rPr>
              <w:t>&lt;0.001</w:t>
            </w:r>
          </w:p>
        </w:tc>
        <w:tc>
          <w:tcPr>
            <w:tcW w:w="1934" w:type="dxa"/>
          </w:tcPr>
          <w:p w14:paraId="228241C9" w14:textId="56604136" w:rsidR="00820D2A" w:rsidRPr="00820D2A" w:rsidRDefault="00820D2A" w:rsidP="00820D2A">
            <w:pPr>
              <w:spacing w:line="360" w:lineRule="auto"/>
              <w:rPr>
                <w:sz w:val="24"/>
                <w:szCs w:val="24"/>
              </w:rPr>
            </w:pPr>
            <w:r w:rsidRPr="007B4926">
              <w:rPr>
                <w:sz w:val="24"/>
                <w:szCs w:val="24"/>
              </w:rPr>
              <w:t>5.82</w:t>
            </w:r>
          </w:p>
        </w:tc>
      </w:tr>
      <w:tr w:rsidR="00820D2A" w:rsidRPr="00AA122B" w14:paraId="045E6B6C" w14:textId="77777777" w:rsidTr="007B4926">
        <w:tc>
          <w:tcPr>
            <w:tcW w:w="1803" w:type="dxa"/>
          </w:tcPr>
          <w:p w14:paraId="1791DC00" w14:textId="45B2968C" w:rsidR="00820D2A" w:rsidRPr="00820D2A" w:rsidRDefault="00820D2A" w:rsidP="00820D2A">
            <w:pPr>
              <w:spacing w:line="360" w:lineRule="auto"/>
              <w:rPr>
                <w:sz w:val="24"/>
                <w:szCs w:val="24"/>
              </w:rPr>
            </w:pPr>
            <w:r w:rsidRPr="007B4926">
              <w:rPr>
                <w:sz w:val="24"/>
                <w:szCs w:val="24"/>
              </w:rPr>
              <w:t>Pb</w:t>
            </w:r>
          </w:p>
        </w:tc>
        <w:tc>
          <w:tcPr>
            <w:tcW w:w="1919" w:type="dxa"/>
            <w:vAlign w:val="bottom"/>
          </w:tcPr>
          <w:p w14:paraId="51B1A060" w14:textId="6F466235" w:rsidR="00820D2A" w:rsidRPr="00820D2A" w:rsidRDefault="00820D2A" w:rsidP="00820D2A">
            <w:pPr>
              <w:spacing w:line="360" w:lineRule="auto"/>
              <w:rPr>
                <w:sz w:val="24"/>
                <w:szCs w:val="24"/>
              </w:rPr>
            </w:pPr>
            <w:r w:rsidRPr="007B4926">
              <w:rPr>
                <w:rFonts w:ascii="Calibri" w:hAnsi="Calibri" w:cs="Calibri"/>
                <w:color w:val="000000"/>
                <w:sz w:val="24"/>
                <w:szCs w:val="24"/>
              </w:rPr>
              <w:t>66.60</w:t>
            </w:r>
          </w:p>
        </w:tc>
        <w:tc>
          <w:tcPr>
            <w:tcW w:w="1803" w:type="dxa"/>
          </w:tcPr>
          <w:p w14:paraId="26625B71" w14:textId="7A3273ED" w:rsidR="00820D2A" w:rsidRPr="00820D2A" w:rsidRDefault="00820D2A" w:rsidP="00820D2A">
            <w:pPr>
              <w:spacing w:line="360" w:lineRule="auto"/>
              <w:rPr>
                <w:sz w:val="24"/>
                <w:szCs w:val="24"/>
              </w:rPr>
            </w:pPr>
            <w:r w:rsidRPr="007B4926">
              <w:rPr>
                <w:sz w:val="24"/>
                <w:szCs w:val="24"/>
              </w:rPr>
              <w:t>&lt;0.001</w:t>
            </w:r>
          </w:p>
        </w:tc>
        <w:tc>
          <w:tcPr>
            <w:tcW w:w="1934" w:type="dxa"/>
          </w:tcPr>
          <w:p w14:paraId="265ACC5A" w14:textId="7C9641DB" w:rsidR="00820D2A" w:rsidRPr="00820D2A" w:rsidRDefault="00820D2A" w:rsidP="00820D2A">
            <w:pPr>
              <w:spacing w:line="360" w:lineRule="auto"/>
              <w:rPr>
                <w:sz w:val="24"/>
                <w:szCs w:val="24"/>
              </w:rPr>
            </w:pPr>
            <w:r w:rsidRPr="007B4926">
              <w:rPr>
                <w:sz w:val="24"/>
                <w:szCs w:val="24"/>
              </w:rPr>
              <w:t>5.80</w:t>
            </w:r>
          </w:p>
        </w:tc>
      </w:tr>
      <w:tr w:rsidR="00820D2A" w:rsidRPr="00AA122B" w14:paraId="0913C5BA" w14:textId="77777777" w:rsidTr="007B4926">
        <w:tc>
          <w:tcPr>
            <w:tcW w:w="1803" w:type="dxa"/>
          </w:tcPr>
          <w:p w14:paraId="354BAFBA" w14:textId="2B696B04" w:rsidR="00820D2A" w:rsidRPr="00820D2A" w:rsidRDefault="00820D2A" w:rsidP="00820D2A">
            <w:pPr>
              <w:spacing w:line="360" w:lineRule="auto"/>
              <w:rPr>
                <w:sz w:val="24"/>
                <w:szCs w:val="24"/>
              </w:rPr>
            </w:pPr>
            <w:r w:rsidRPr="007B4926">
              <w:rPr>
                <w:sz w:val="24"/>
                <w:szCs w:val="24"/>
              </w:rPr>
              <w:t>Zn</w:t>
            </w:r>
          </w:p>
        </w:tc>
        <w:tc>
          <w:tcPr>
            <w:tcW w:w="1919" w:type="dxa"/>
            <w:vAlign w:val="bottom"/>
          </w:tcPr>
          <w:p w14:paraId="33A153D4" w14:textId="063B470F" w:rsidR="00820D2A" w:rsidRPr="00820D2A" w:rsidRDefault="00820D2A" w:rsidP="00820D2A">
            <w:pPr>
              <w:spacing w:line="360" w:lineRule="auto"/>
              <w:rPr>
                <w:sz w:val="24"/>
                <w:szCs w:val="24"/>
              </w:rPr>
            </w:pPr>
            <w:r w:rsidRPr="007B4926">
              <w:rPr>
                <w:rFonts w:ascii="Calibri" w:hAnsi="Calibri" w:cs="Calibri"/>
                <w:color w:val="000000"/>
                <w:sz w:val="24"/>
                <w:szCs w:val="24"/>
              </w:rPr>
              <w:t>30.30</w:t>
            </w:r>
          </w:p>
        </w:tc>
        <w:tc>
          <w:tcPr>
            <w:tcW w:w="1803" w:type="dxa"/>
          </w:tcPr>
          <w:p w14:paraId="4F19BD03" w14:textId="2B21AC52" w:rsidR="00820D2A" w:rsidRPr="00820D2A" w:rsidRDefault="00820D2A" w:rsidP="00820D2A">
            <w:pPr>
              <w:spacing w:line="360" w:lineRule="auto"/>
              <w:rPr>
                <w:sz w:val="24"/>
                <w:szCs w:val="24"/>
              </w:rPr>
            </w:pPr>
            <w:r w:rsidRPr="007B4926">
              <w:rPr>
                <w:sz w:val="24"/>
                <w:szCs w:val="24"/>
              </w:rPr>
              <w:t>&lt;0.001</w:t>
            </w:r>
          </w:p>
        </w:tc>
        <w:tc>
          <w:tcPr>
            <w:tcW w:w="1934" w:type="dxa"/>
          </w:tcPr>
          <w:p w14:paraId="2975037E" w14:textId="45DC7D29" w:rsidR="00820D2A" w:rsidRPr="00820D2A" w:rsidRDefault="00820D2A" w:rsidP="00820D2A">
            <w:pPr>
              <w:spacing w:line="360" w:lineRule="auto"/>
              <w:rPr>
                <w:sz w:val="24"/>
                <w:szCs w:val="24"/>
              </w:rPr>
            </w:pPr>
            <w:r w:rsidRPr="007B4926">
              <w:rPr>
                <w:sz w:val="24"/>
                <w:szCs w:val="24"/>
              </w:rPr>
              <w:t>2.64</w:t>
            </w:r>
          </w:p>
        </w:tc>
      </w:tr>
      <w:tr w:rsidR="00820D2A" w:rsidRPr="00AA122B" w14:paraId="32624872" w14:textId="77777777" w:rsidTr="007B4926">
        <w:tc>
          <w:tcPr>
            <w:tcW w:w="1803" w:type="dxa"/>
          </w:tcPr>
          <w:p w14:paraId="569538F3" w14:textId="36BA70A7" w:rsidR="00820D2A" w:rsidRPr="00820D2A" w:rsidRDefault="00820D2A" w:rsidP="00820D2A">
            <w:pPr>
              <w:spacing w:line="360" w:lineRule="auto"/>
              <w:rPr>
                <w:sz w:val="24"/>
                <w:szCs w:val="24"/>
              </w:rPr>
            </w:pPr>
            <w:r w:rsidRPr="007B4926">
              <w:rPr>
                <w:sz w:val="24"/>
                <w:szCs w:val="24"/>
              </w:rPr>
              <w:t>Fe</w:t>
            </w:r>
          </w:p>
        </w:tc>
        <w:tc>
          <w:tcPr>
            <w:tcW w:w="1919" w:type="dxa"/>
            <w:vAlign w:val="bottom"/>
          </w:tcPr>
          <w:p w14:paraId="35B6ADF3" w14:textId="29807995" w:rsidR="00820D2A" w:rsidRPr="00820D2A" w:rsidRDefault="00820D2A" w:rsidP="00820D2A">
            <w:pPr>
              <w:spacing w:line="360" w:lineRule="auto"/>
              <w:rPr>
                <w:sz w:val="24"/>
                <w:szCs w:val="24"/>
              </w:rPr>
            </w:pPr>
            <w:r w:rsidRPr="007B4926">
              <w:rPr>
                <w:rFonts w:ascii="Calibri" w:hAnsi="Calibri" w:cs="Calibri"/>
                <w:color w:val="000000"/>
                <w:sz w:val="24"/>
                <w:szCs w:val="24"/>
              </w:rPr>
              <w:t>8.23</w:t>
            </w:r>
          </w:p>
        </w:tc>
        <w:tc>
          <w:tcPr>
            <w:tcW w:w="1803" w:type="dxa"/>
          </w:tcPr>
          <w:p w14:paraId="3C3C1DCB" w14:textId="40C50479" w:rsidR="00820D2A" w:rsidRPr="00820D2A" w:rsidRDefault="00820D2A" w:rsidP="00820D2A">
            <w:pPr>
              <w:spacing w:line="360" w:lineRule="auto"/>
              <w:rPr>
                <w:sz w:val="24"/>
                <w:szCs w:val="24"/>
              </w:rPr>
            </w:pPr>
            <w:r w:rsidRPr="007B4926">
              <w:rPr>
                <w:sz w:val="24"/>
                <w:szCs w:val="24"/>
              </w:rPr>
              <w:t>0.012</w:t>
            </w:r>
          </w:p>
        </w:tc>
        <w:tc>
          <w:tcPr>
            <w:tcW w:w="1934" w:type="dxa"/>
          </w:tcPr>
          <w:p w14:paraId="694FB867" w14:textId="61496A66" w:rsidR="00820D2A" w:rsidRPr="00820D2A" w:rsidRDefault="00820D2A" w:rsidP="00820D2A">
            <w:pPr>
              <w:spacing w:line="360" w:lineRule="auto"/>
              <w:rPr>
                <w:sz w:val="24"/>
                <w:szCs w:val="24"/>
              </w:rPr>
            </w:pPr>
            <w:r w:rsidRPr="007B4926">
              <w:rPr>
                <w:sz w:val="24"/>
                <w:szCs w:val="24"/>
              </w:rPr>
              <w:t>0.72</w:t>
            </w:r>
          </w:p>
        </w:tc>
      </w:tr>
      <w:tr w:rsidR="00820D2A" w:rsidRPr="00AA122B" w14:paraId="5867E72C" w14:textId="77777777" w:rsidTr="007B4926">
        <w:tc>
          <w:tcPr>
            <w:tcW w:w="1803" w:type="dxa"/>
            <w:tcBorders>
              <w:bottom w:val="single" w:sz="4" w:space="0" w:color="auto"/>
            </w:tcBorders>
          </w:tcPr>
          <w:p w14:paraId="7F820F02" w14:textId="5883C017" w:rsidR="00820D2A" w:rsidRPr="00820D2A" w:rsidRDefault="00820D2A" w:rsidP="00820D2A">
            <w:pPr>
              <w:spacing w:line="360" w:lineRule="auto"/>
              <w:rPr>
                <w:sz w:val="24"/>
                <w:szCs w:val="24"/>
              </w:rPr>
            </w:pPr>
            <w:r w:rsidRPr="007B4926">
              <w:rPr>
                <w:sz w:val="24"/>
                <w:szCs w:val="24"/>
              </w:rPr>
              <w:t>K</w:t>
            </w:r>
          </w:p>
        </w:tc>
        <w:tc>
          <w:tcPr>
            <w:tcW w:w="1919" w:type="dxa"/>
            <w:tcBorders>
              <w:bottom w:val="single" w:sz="4" w:space="0" w:color="auto"/>
            </w:tcBorders>
            <w:vAlign w:val="bottom"/>
          </w:tcPr>
          <w:p w14:paraId="3B86B883" w14:textId="516D27EB" w:rsidR="00820D2A" w:rsidRPr="00820D2A" w:rsidRDefault="00820D2A" w:rsidP="00820D2A">
            <w:pPr>
              <w:spacing w:line="360" w:lineRule="auto"/>
              <w:rPr>
                <w:sz w:val="24"/>
                <w:szCs w:val="24"/>
              </w:rPr>
            </w:pPr>
            <w:r w:rsidRPr="007B4926">
              <w:rPr>
                <w:rFonts w:ascii="Calibri" w:hAnsi="Calibri" w:cs="Calibri"/>
                <w:color w:val="000000"/>
                <w:sz w:val="24"/>
                <w:szCs w:val="24"/>
              </w:rPr>
              <w:t>3.44</w:t>
            </w:r>
          </w:p>
        </w:tc>
        <w:tc>
          <w:tcPr>
            <w:tcW w:w="1803" w:type="dxa"/>
            <w:tcBorders>
              <w:bottom w:val="single" w:sz="4" w:space="0" w:color="auto"/>
            </w:tcBorders>
          </w:tcPr>
          <w:p w14:paraId="3A614BF0" w14:textId="3B8715AD" w:rsidR="00820D2A" w:rsidRPr="00820D2A" w:rsidRDefault="00820D2A" w:rsidP="00820D2A">
            <w:pPr>
              <w:spacing w:line="360" w:lineRule="auto"/>
              <w:rPr>
                <w:sz w:val="24"/>
                <w:szCs w:val="24"/>
              </w:rPr>
            </w:pPr>
            <w:r w:rsidRPr="007B4926">
              <w:rPr>
                <w:sz w:val="24"/>
                <w:szCs w:val="24"/>
              </w:rPr>
              <w:t>0.016</w:t>
            </w:r>
          </w:p>
        </w:tc>
        <w:tc>
          <w:tcPr>
            <w:tcW w:w="1934" w:type="dxa"/>
            <w:tcBorders>
              <w:bottom w:val="single" w:sz="4" w:space="0" w:color="auto"/>
            </w:tcBorders>
          </w:tcPr>
          <w:p w14:paraId="41AB0191" w14:textId="4857739A" w:rsidR="00820D2A" w:rsidRPr="00820D2A" w:rsidRDefault="00820D2A" w:rsidP="00820D2A">
            <w:pPr>
              <w:spacing w:line="360" w:lineRule="auto"/>
              <w:rPr>
                <w:sz w:val="24"/>
                <w:szCs w:val="24"/>
              </w:rPr>
            </w:pPr>
            <w:r w:rsidRPr="007B4926">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5DFAA80C"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2BF636A9" w14:textId="3CF91DF4" w:rsidR="00CB0841" w:rsidRPr="00AA122B" w:rsidRDefault="00CB0841" w:rsidP="004753C2">
      <w:pPr>
        <w:spacing w:line="360" w:lineRule="auto"/>
        <w:rPr>
          <w:sz w:val="24"/>
          <w:szCs w:val="24"/>
        </w:rPr>
      </w:pPr>
      <w:r w:rsidRPr="00AA122B">
        <w:rPr>
          <w:b/>
          <w:bCs/>
          <w:sz w:val="24"/>
          <w:szCs w:val="24"/>
        </w:rPr>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755B4A60" w:rsidR="00CB0841" w:rsidRDefault="00CB0841" w:rsidP="004753C2">
      <w:pPr>
        <w:spacing w:line="360" w:lineRule="auto"/>
        <w:rPr>
          <w:sz w:val="24"/>
          <w:szCs w:val="24"/>
        </w:rPr>
      </w:pPr>
    </w:p>
    <w:p w14:paraId="1732C99C" w14:textId="268F420F" w:rsidR="000875DB" w:rsidRPr="00AA122B" w:rsidRDefault="000875DB" w:rsidP="004753C2">
      <w:pPr>
        <w:spacing w:line="360" w:lineRule="auto"/>
        <w:rPr>
          <w:sz w:val="24"/>
          <w:szCs w:val="24"/>
        </w:rPr>
      </w:pPr>
      <w:r>
        <w:rPr>
          <w:noProof/>
          <w:sz w:val="24"/>
          <w:szCs w:val="24"/>
        </w:rPr>
        <w:drawing>
          <wp:inline distT="0" distB="0" distL="0" distR="0" wp14:anchorId="1738CBFD" wp14:editId="4870B2FC">
            <wp:extent cx="5730875" cy="2275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0E8BE8AA"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0FEE493C" w:rsidR="00CB0841" w:rsidRPr="00C17EA6" w:rsidRDefault="00CB0841" w:rsidP="004753C2">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6BBDF026" w:rsidR="00CB0841" w:rsidRPr="00AA122B" w:rsidRDefault="00CB0841" w:rsidP="004753C2">
      <w:pPr>
        <w:spacing w:line="360" w:lineRule="auto"/>
        <w:rPr>
          <w:sz w:val="24"/>
          <w:szCs w:val="24"/>
        </w:rPr>
      </w:pPr>
      <w:bookmarkStart w:id="11" w:name="_Hlk57542683"/>
      <w:r w:rsidRPr="00AA122B">
        <w:rPr>
          <w:b/>
          <w:bCs/>
          <w:sz w:val="24"/>
          <w:szCs w:val="24"/>
        </w:rPr>
        <w:t>Figure 4</w:t>
      </w:r>
      <w:r w:rsidRPr="00AA122B">
        <w:rPr>
          <w:sz w:val="24"/>
          <w:szCs w:val="24"/>
        </w:rPr>
        <w:t xml:space="preserve"> Mean otolith shape from the three sites. </w:t>
      </w:r>
      <w:r w:rsidR="00141215" w:rsidRPr="00AA122B">
        <w:rPr>
          <w:sz w:val="24"/>
          <w:szCs w:val="24"/>
        </w:rPr>
        <w:t>The solid black line represents Agra, dashed red line represents Lucknow and the dotted blue line represents Narora.</w:t>
      </w:r>
      <w:r w:rsidR="00D1422A">
        <w:rPr>
          <w:sz w:val="24"/>
          <w:szCs w:val="24"/>
        </w:rPr>
        <w:t xml:space="preserve"> The wavelet coefficients recreated over 99% of the variance in otolith shape.</w:t>
      </w:r>
    </w:p>
    <w:bookmarkEnd w:id="11"/>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7F18D2F9" w:rsidR="00EB7498" w:rsidRDefault="00EB7498" w:rsidP="00EB7498">
      <w:pPr>
        <w:spacing w:line="360" w:lineRule="auto"/>
        <w:rPr>
          <w:b/>
          <w:bCs/>
          <w:sz w:val="24"/>
          <w:szCs w:val="24"/>
        </w:rPr>
      </w:pPr>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3D9DA1B6" w14:textId="3FC70563" w:rsidR="00EB7498" w:rsidRPr="00324F5A" w:rsidRDefault="00EB7498">
      <w:pPr>
        <w:spacing w:line="360" w:lineRule="auto"/>
        <w:rPr>
          <w:sz w:val="24"/>
          <w:szCs w:val="24"/>
        </w:rPr>
      </w:pPr>
      <w:r>
        <w:rPr>
          <w:b/>
          <w:bCs/>
          <w:sz w:val="24"/>
          <w:szCs w:val="24"/>
        </w:rPr>
        <w:t xml:space="preserve">Figure </w:t>
      </w:r>
      <w:r w:rsidR="001428DA">
        <w:rPr>
          <w:b/>
          <w:bCs/>
          <w:sz w:val="24"/>
          <w:szCs w:val="24"/>
        </w:rPr>
        <w:t>5</w:t>
      </w:r>
      <w:r>
        <w:rPr>
          <w:sz w:val="24"/>
          <w:szCs w:val="24"/>
        </w:rPr>
        <w:t xml:space="preserve"> Distance based </w:t>
      </w:r>
      <w:r w:rsidR="001428DA">
        <w:rPr>
          <w:sz w:val="24"/>
          <w:szCs w:val="24"/>
        </w:rPr>
        <w:t>NMDS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 xml:space="preserve">was only satisfied for b) Shape Data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570FD21E"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152055A6" w:rsidR="00CB0841" w:rsidRPr="00AA122B" w:rsidRDefault="00CB0841" w:rsidP="004753C2">
      <w:pPr>
        <w:spacing w:line="360" w:lineRule="auto"/>
        <w:rPr>
          <w:sz w:val="24"/>
          <w:szCs w:val="24"/>
        </w:rPr>
      </w:pPr>
      <w:r w:rsidRPr="00AA122B">
        <w:rPr>
          <w:b/>
          <w:bCs/>
          <w:sz w:val="24"/>
          <w:szCs w:val="24"/>
        </w:rPr>
        <w:t xml:space="preserve">Figure </w:t>
      </w:r>
      <w:r w:rsidR="00EB7498">
        <w:rPr>
          <w:b/>
          <w:bCs/>
          <w:sz w:val="24"/>
          <w:szCs w:val="24"/>
        </w:rPr>
        <w:t>6</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14826E6A"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214EA964" w:rsidR="00324F5A" w:rsidRDefault="00167964" w:rsidP="004753C2">
      <w:pPr>
        <w:spacing w:line="360" w:lineRule="auto"/>
        <w:rPr>
          <w:sz w:val="24"/>
          <w:szCs w:val="24"/>
        </w:rPr>
      </w:pPr>
      <w:r w:rsidRPr="00AA122B">
        <w:rPr>
          <w:b/>
          <w:bCs/>
          <w:sz w:val="24"/>
          <w:szCs w:val="24"/>
        </w:rPr>
        <w:t xml:space="preserve">Figure </w:t>
      </w:r>
      <w:r w:rsidR="00EB7498">
        <w:rPr>
          <w:b/>
          <w:bCs/>
          <w:sz w:val="24"/>
          <w:szCs w:val="24"/>
        </w:rPr>
        <w:t>7</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1CCA1" w14:textId="77777777" w:rsidR="00210311" w:rsidRDefault="00210311" w:rsidP="00B44FDE">
      <w:pPr>
        <w:spacing w:after="0" w:line="240" w:lineRule="auto"/>
      </w:pPr>
      <w:r>
        <w:separator/>
      </w:r>
    </w:p>
  </w:endnote>
  <w:endnote w:type="continuationSeparator" w:id="0">
    <w:p w14:paraId="286F0092" w14:textId="77777777" w:rsidR="00210311" w:rsidRDefault="00210311"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BE5A73" w:rsidRDefault="00BE5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BE5A73" w:rsidRDefault="00BE5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1DA74" w14:textId="77777777" w:rsidR="00210311" w:rsidRDefault="00210311" w:rsidP="00B44FDE">
      <w:pPr>
        <w:spacing w:after="0" w:line="240" w:lineRule="auto"/>
      </w:pPr>
      <w:r>
        <w:separator/>
      </w:r>
    </w:p>
  </w:footnote>
  <w:footnote w:type="continuationSeparator" w:id="0">
    <w:p w14:paraId="2BC4FA98" w14:textId="77777777" w:rsidR="00210311" w:rsidRDefault="00210311"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5546"/>
    <w:rsid w:val="000F22A6"/>
    <w:rsid w:val="000F5B75"/>
    <w:rsid w:val="000F6762"/>
    <w:rsid w:val="000F74F0"/>
    <w:rsid w:val="00103E83"/>
    <w:rsid w:val="00114120"/>
    <w:rsid w:val="00126D6C"/>
    <w:rsid w:val="00126FF5"/>
    <w:rsid w:val="0012765F"/>
    <w:rsid w:val="00127DD7"/>
    <w:rsid w:val="00133A4B"/>
    <w:rsid w:val="00134A17"/>
    <w:rsid w:val="00134D0E"/>
    <w:rsid w:val="00141215"/>
    <w:rsid w:val="001428DA"/>
    <w:rsid w:val="00155C64"/>
    <w:rsid w:val="001625A1"/>
    <w:rsid w:val="00167964"/>
    <w:rsid w:val="00167A46"/>
    <w:rsid w:val="00185B87"/>
    <w:rsid w:val="0019601D"/>
    <w:rsid w:val="00196D66"/>
    <w:rsid w:val="001A102A"/>
    <w:rsid w:val="001A4AE2"/>
    <w:rsid w:val="001A63EF"/>
    <w:rsid w:val="001B20ED"/>
    <w:rsid w:val="001B21E0"/>
    <w:rsid w:val="001B3A7D"/>
    <w:rsid w:val="001B7295"/>
    <w:rsid w:val="001C5D83"/>
    <w:rsid w:val="001C7117"/>
    <w:rsid w:val="001D11D6"/>
    <w:rsid w:val="001D56B1"/>
    <w:rsid w:val="001E3B9C"/>
    <w:rsid w:val="001E45ED"/>
    <w:rsid w:val="001E4E42"/>
    <w:rsid w:val="001F6893"/>
    <w:rsid w:val="002043A2"/>
    <w:rsid w:val="00210311"/>
    <w:rsid w:val="002131B4"/>
    <w:rsid w:val="00222CDD"/>
    <w:rsid w:val="002238BF"/>
    <w:rsid w:val="002249B7"/>
    <w:rsid w:val="002268F5"/>
    <w:rsid w:val="00235D51"/>
    <w:rsid w:val="00243EEF"/>
    <w:rsid w:val="0024547B"/>
    <w:rsid w:val="00253E3A"/>
    <w:rsid w:val="0025499E"/>
    <w:rsid w:val="002555D1"/>
    <w:rsid w:val="00265462"/>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810B5"/>
    <w:rsid w:val="005B0051"/>
    <w:rsid w:val="005B3731"/>
    <w:rsid w:val="005C079A"/>
    <w:rsid w:val="005D1646"/>
    <w:rsid w:val="005D1FBA"/>
    <w:rsid w:val="005E0564"/>
    <w:rsid w:val="005E1B35"/>
    <w:rsid w:val="005E36ED"/>
    <w:rsid w:val="005E44BC"/>
    <w:rsid w:val="005F0FD3"/>
    <w:rsid w:val="005F2BBF"/>
    <w:rsid w:val="005F54B6"/>
    <w:rsid w:val="0060034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4C11"/>
    <w:rsid w:val="006D585C"/>
    <w:rsid w:val="006E1746"/>
    <w:rsid w:val="006E5829"/>
    <w:rsid w:val="006E6BB6"/>
    <w:rsid w:val="006F1C10"/>
    <w:rsid w:val="00704070"/>
    <w:rsid w:val="0070534D"/>
    <w:rsid w:val="00711444"/>
    <w:rsid w:val="00712CD7"/>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4926"/>
    <w:rsid w:val="007B57B1"/>
    <w:rsid w:val="007C379C"/>
    <w:rsid w:val="007C62F7"/>
    <w:rsid w:val="007D18DD"/>
    <w:rsid w:val="007E66DD"/>
    <w:rsid w:val="00805A5E"/>
    <w:rsid w:val="00812C68"/>
    <w:rsid w:val="00816946"/>
    <w:rsid w:val="00820D2A"/>
    <w:rsid w:val="00860052"/>
    <w:rsid w:val="008667D1"/>
    <w:rsid w:val="008735C6"/>
    <w:rsid w:val="00880750"/>
    <w:rsid w:val="008808EF"/>
    <w:rsid w:val="008A008F"/>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D1707"/>
    <w:rsid w:val="009D2201"/>
    <w:rsid w:val="009D7B06"/>
    <w:rsid w:val="009E453C"/>
    <w:rsid w:val="009E6978"/>
    <w:rsid w:val="009E771E"/>
    <w:rsid w:val="009F0843"/>
    <w:rsid w:val="009F268B"/>
    <w:rsid w:val="009F49EF"/>
    <w:rsid w:val="00A12EEC"/>
    <w:rsid w:val="00A234D6"/>
    <w:rsid w:val="00A36276"/>
    <w:rsid w:val="00A41B08"/>
    <w:rsid w:val="00A42C9C"/>
    <w:rsid w:val="00A465C4"/>
    <w:rsid w:val="00A53C3D"/>
    <w:rsid w:val="00A76238"/>
    <w:rsid w:val="00A81130"/>
    <w:rsid w:val="00A81E91"/>
    <w:rsid w:val="00A863AC"/>
    <w:rsid w:val="00A92B6A"/>
    <w:rsid w:val="00AA122B"/>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5944"/>
    <w:rsid w:val="00BE5A73"/>
    <w:rsid w:val="00BE6674"/>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F42"/>
    <w:rsid w:val="00CB0841"/>
    <w:rsid w:val="00CB4C1D"/>
    <w:rsid w:val="00CB7657"/>
    <w:rsid w:val="00CB7659"/>
    <w:rsid w:val="00CC2D87"/>
    <w:rsid w:val="00CD6D75"/>
    <w:rsid w:val="00CF2BBE"/>
    <w:rsid w:val="00CF4D4A"/>
    <w:rsid w:val="00D041BA"/>
    <w:rsid w:val="00D1422A"/>
    <w:rsid w:val="00D168B3"/>
    <w:rsid w:val="00D24B42"/>
    <w:rsid w:val="00D27A98"/>
    <w:rsid w:val="00D44C4E"/>
    <w:rsid w:val="00D47475"/>
    <w:rsid w:val="00D52305"/>
    <w:rsid w:val="00D52B0E"/>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156D"/>
    <w:rsid w:val="00DF5274"/>
    <w:rsid w:val="00DF704A"/>
    <w:rsid w:val="00E0619F"/>
    <w:rsid w:val="00E10CFB"/>
    <w:rsid w:val="00E16897"/>
    <w:rsid w:val="00E21824"/>
    <w:rsid w:val="00E245C9"/>
    <w:rsid w:val="00E3547F"/>
    <w:rsid w:val="00E37D0B"/>
    <w:rsid w:val="00E5081E"/>
    <w:rsid w:val="00E60AE0"/>
    <w:rsid w:val="00E65E88"/>
    <w:rsid w:val="00E77002"/>
    <w:rsid w:val="00E7736B"/>
    <w:rsid w:val="00E82DFC"/>
    <w:rsid w:val="00E8369A"/>
    <w:rsid w:val="00E837AA"/>
    <w:rsid w:val="00EA2343"/>
    <w:rsid w:val="00EA2EE7"/>
    <w:rsid w:val="00EB5511"/>
    <w:rsid w:val="00EB7498"/>
    <w:rsid w:val="00EB7D46"/>
    <w:rsid w:val="00EC7AC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3354/meps0865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9409</Words>
  <Characters>53635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cp:lastPrinted>2020-12-21T23:22:00Z</cp:lastPrinted>
  <dcterms:created xsi:type="dcterms:W3CDTF">2020-12-22T08:57:00Z</dcterms:created>
  <dcterms:modified xsi:type="dcterms:W3CDTF">2020-12-22T08:57:00Z</dcterms:modified>
</cp:coreProperties>
</file>