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3E38C" w14:textId="19130985" w:rsidR="00EE38E4" w:rsidRDefault="00EE38E4" w:rsidP="008F12C9">
      <w:pPr>
        <w:spacing w:after="0"/>
      </w:pPr>
      <w:r>
        <w:rPr>
          <w:b/>
          <w:bCs/>
        </w:rPr>
        <w:t>Response to Reviewer Comments</w:t>
      </w:r>
      <w:r>
        <w:rPr>
          <w:b/>
          <w:bCs/>
        </w:rPr>
        <w:t xml:space="preserve"> Round 2</w:t>
      </w:r>
      <w:r>
        <w:rPr>
          <w:b/>
          <w:bCs/>
        </w:rPr>
        <w:t xml:space="preserve"> – Khan et al.</w:t>
      </w:r>
    </w:p>
    <w:p w14:paraId="1E4D45DB" w14:textId="77777777" w:rsidR="00EE38E4" w:rsidRDefault="00EE38E4" w:rsidP="008F12C9">
      <w:pPr>
        <w:spacing w:after="0"/>
      </w:pPr>
      <w:r>
        <w:t>Thank you for the opportunity to respond to the review. This response letter is formatted to give each editor/reviewer comment (numbered) followed by a numbered response to each comment in blue and quotes from the main text in italics.</w:t>
      </w:r>
    </w:p>
    <w:p w14:paraId="1066BBC6" w14:textId="0A610464" w:rsidR="00CD400A" w:rsidRDefault="00CD400A" w:rsidP="008F12C9">
      <w:pPr>
        <w:spacing w:after="0"/>
      </w:pPr>
    </w:p>
    <w:p w14:paraId="20A0C450" w14:textId="77777777" w:rsidR="00EE38E4" w:rsidRPr="00E572B5" w:rsidRDefault="00EE38E4" w:rsidP="008F12C9">
      <w:pPr>
        <w:spacing w:after="0"/>
        <w:rPr>
          <w:b/>
          <w:bCs/>
        </w:rPr>
      </w:pPr>
      <w:r>
        <w:rPr>
          <w:b/>
          <w:bCs/>
        </w:rPr>
        <w:t>Comment #1 (</w:t>
      </w:r>
      <w:r w:rsidRPr="00E572B5">
        <w:rPr>
          <w:b/>
          <w:bCs/>
        </w:rPr>
        <w:t>Editor</w:t>
      </w:r>
      <w:r>
        <w:rPr>
          <w:b/>
          <w:bCs/>
        </w:rPr>
        <w:t>)</w:t>
      </w:r>
      <w:r w:rsidRPr="00E572B5">
        <w:rPr>
          <w:b/>
          <w:bCs/>
        </w:rPr>
        <w:t>:</w:t>
      </w:r>
    </w:p>
    <w:p w14:paraId="3C38865C" w14:textId="77777777" w:rsidR="00EE38E4" w:rsidRDefault="00EE38E4" w:rsidP="008F12C9">
      <w:pPr>
        <w:pStyle w:val="PlainText"/>
      </w:pPr>
      <w:r>
        <w:t>The reviewer was extremely pleased with your resubmission and only very minor corrections are needed before this can be accepted.</w:t>
      </w:r>
    </w:p>
    <w:p w14:paraId="5F8755D4" w14:textId="77777777" w:rsidR="00EE38E4" w:rsidRDefault="00EE38E4" w:rsidP="008F12C9">
      <w:pPr>
        <w:pStyle w:val="PlainText"/>
      </w:pPr>
      <w:r>
        <w:t>Well done.</w:t>
      </w:r>
    </w:p>
    <w:p w14:paraId="064D8647" w14:textId="77777777" w:rsidR="00EE38E4" w:rsidRPr="00392B6E" w:rsidRDefault="00EE38E4" w:rsidP="008F12C9">
      <w:pPr>
        <w:spacing w:after="0"/>
        <w:rPr>
          <w:b/>
          <w:bCs/>
        </w:rPr>
      </w:pPr>
      <w:r w:rsidRPr="00392B6E">
        <w:rPr>
          <w:b/>
          <w:bCs/>
        </w:rPr>
        <w:t>Response</w:t>
      </w:r>
      <w:r>
        <w:rPr>
          <w:b/>
          <w:bCs/>
        </w:rPr>
        <w:t xml:space="preserve"> #1</w:t>
      </w:r>
      <w:r w:rsidRPr="00392B6E">
        <w:rPr>
          <w:b/>
          <w:bCs/>
        </w:rPr>
        <w:t>:</w:t>
      </w:r>
    </w:p>
    <w:p w14:paraId="46F23856" w14:textId="0D073106" w:rsidR="00EE38E4" w:rsidRPr="00DA0778" w:rsidRDefault="00EE38E4" w:rsidP="008F12C9">
      <w:pPr>
        <w:spacing w:after="0"/>
        <w:rPr>
          <w:b/>
          <w:bCs/>
          <w:color w:val="002060"/>
        </w:rPr>
      </w:pPr>
      <w:r>
        <w:rPr>
          <w:color w:val="002060"/>
        </w:rPr>
        <w:t>Thank you, it is rare to get this sort of feedback in review and we really appreciate it.</w:t>
      </w:r>
      <w:r w:rsidR="00DA0778">
        <w:rPr>
          <w:color w:val="002060"/>
        </w:rPr>
        <w:t xml:space="preserve"> </w:t>
      </w:r>
      <w:r w:rsidR="00DA0778">
        <w:rPr>
          <w:b/>
          <w:bCs/>
          <w:color w:val="002060"/>
        </w:rPr>
        <w:t>All the suggested changes have been made.</w:t>
      </w:r>
    </w:p>
    <w:p w14:paraId="1E1C06C4" w14:textId="343C49BF" w:rsidR="00EE38E4" w:rsidRDefault="00EE38E4" w:rsidP="008F12C9">
      <w:pPr>
        <w:spacing w:after="0"/>
        <w:rPr>
          <w:color w:val="002060"/>
        </w:rPr>
      </w:pPr>
    </w:p>
    <w:p w14:paraId="6250EA66" w14:textId="29778BEE" w:rsidR="00EE38E4" w:rsidRDefault="00EE38E4" w:rsidP="008F12C9">
      <w:pPr>
        <w:spacing w:after="0"/>
        <w:rPr>
          <w:b/>
          <w:bCs/>
        </w:rPr>
      </w:pPr>
      <w:r w:rsidRPr="0044726C">
        <w:rPr>
          <w:b/>
          <w:bCs/>
        </w:rPr>
        <w:t>Reviewer comments:</w:t>
      </w:r>
    </w:p>
    <w:p w14:paraId="553D3DC5" w14:textId="105B5D4B" w:rsidR="00EE38E4" w:rsidRDefault="00EE38E4" w:rsidP="008F12C9">
      <w:pPr>
        <w:pStyle w:val="PlainText"/>
        <w:rPr>
          <w:b/>
          <w:bCs/>
        </w:rPr>
      </w:pPr>
      <w:r w:rsidRPr="0037481C">
        <w:rPr>
          <w:b/>
          <w:bCs/>
        </w:rPr>
        <w:t>Comment #2</w:t>
      </w:r>
      <w:r>
        <w:rPr>
          <w:b/>
          <w:bCs/>
        </w:rPr>
        <w:t>:</w:t>
      </w:r>
    </w:p>
    <w:p w14:paraId="2CF9F5BD" w14:textId="77777777" w:rsidR="00EE38E4" w:rsidRDefault="00EE38E4" w:rsidP="008F12C9">
      <w:pPr>
        <w:pStyle w:val="PlainText"/>
      </w:pPr>
      <w:r>
        <w:t xml:space="preserve">The Authors did excellent work and successfully addressed all my comments. I am satisfied with all the corrections. Changes made during the revision significantly improved the work. I also very much appreciate additional PERMANOVA tests conducted by the Authors to compare with the MGLM results. </w:t>
      </w:r>
    </w:p>
    <w:p w14:paraId="0C550C9C" w14:textId="77777777" w:rsidR="00EE38E4" w:rsidRDefault="00EE38E4" w:rsidP="008F12C9">
      <w:pPr>
        <w:pStyle w:val="PlainText"/>
      </w:pPr>
      <w:r>
        <w:t>I found added parts of the manuscript interesting and helpful for the readers.</w:t>
      </w:r>
    </w:p>
    <w:p w14:paraId="35D171F2" w14:textId="77777777" w:rsidR="00EE38E4" w:rsidRDefault="00EE38E4" w:rsidP="008F12C9">
      <w:pPr>
        <w:pStyle w:val="PlainText"/>
      </w:pPr>
      <w:r>
        <w:t>During the second review, I found only a few technical or editorial errors. Therefore, I advise minor corrections to the manuscript, and I think that it can be considered for publication in the journal.</w:t>
      </w:r>
    </w:p>
    <w:p w14:paraId="54DE350F" w14:textId="39FEC0E7" w:rsidR="00EE38E4" w:rsidRPr="00392B6E" w:rsidRDefault="00EE38E4" w:rsidP="008F12C9">
      <w:pPr>
        <w:spacing w:after="0"/>
        <w:rPr>
          <w:b/>
          <w:bCs/>
        </w:rPr>
      </w:pPr>
      <w:r w:rsidRPr="00392B6E">
        <w:rPr>
          <w:b/>
          <w:bCs/>
        </w:rPr>
        <w:t>Response</w:t>
      </w:r>
      <w:r>
        <w:rPr>
          <w:b/>
          <w:bCs/>
        </w:rPr>
        <w:t xml:space="preserve"> #</w:t>
      </w:r>
      <w:r>
        <w:rPr>
          <w:b/>
          <w:bCs/>
        </w:rPr>
        <w:t>2</w:t>
      </w:r>
      <w:r w:rsidRPr="00392B6E">
        <w:rPr>
          <w:b/>
          <w:bCs/>
        </w:rPr>
        <w:t>:</w:t>
      </w:r>
    </w:p>
    <w:p w14:paraId="665E7D99" w14:textId="0D236032" w:rsidR="00EE38E4" w:rsidRDefault="00EE38E4" w:rsidP="008F12C9">
      <w:pPr>
        <w:spacing w:after="0"/>
        <w:rPr>
          <w:color w:val="002060"/>
        </w:rPr>
      </w:pPr>
      <w:r>
        <w:rPr>
          <w:color w:val="002060"/>
        </w:rPr>
        <w:t>Thank you, it is rare to get this sort of feedback in review and we really appreciate it</w:t>
      </w:r>
      <w:r>
        <w:rPr>
          <w:color w:val="002060"/>
        </w:rPr>
        <w:t xml:space="preserve"> after the useful comments from the reviewer initially.</w:t>
      </w:r>
    </w:p>
    <w:p w14:paraId="220FC8E1" w14:textId="529A1995" w:rsidR="00EE38E4" w:rsidRDefault="00EE38E4" w:rsidP="008F12C9">
      <w:pPr>
        <w:pStyle w:val="PlainText"/>
        <w:rPr>
          <w:b/>
          <w:bCs/>
        </w:rPr>
      </w:pPr>
    </w:p>
    <w:p w14:paraId="7CD44BA8" w14:textId="77777777" w:rsidR="00EE38E4" w:rsidRDefault="00EE38E4" w:rsidP="008F12C9">
      <w:pPr>
        <w:pStyle w:val="PlainText"/>
        <w:rPr>
          <w:b/>
          <w:bCs/>
        </w:rPr>
      </w:pPr>
    </w:p>
    <w:p w14:paraId="5F69AB6D" w14:textId="1CE69A9F" w:rsidR="00EE38E4" w:rsidRDefault="00EE38E4" w:rsidP="008F12C9">
      <w:pPr>
        <w:pStyle w:val="PlainText"/>
        <w:rPr>
          <w:b/>
          <w:bCs/>
        </w:rPr>
      </w:pPr>
      <w:r w:rsidRPr="0037481C">
        <w:rPr>
          <w:b/>
          <w:bCs/>
        </w:rPr>
        <w:t>Comment #</w:t>
      </w:r>
      <w:r>
        <w:rPr>
          <w:b/>
          <w:bCs/>
        </w:rPr>
        <w:t>3</w:t>
      </w:r>
      <w:r>
        <w:rPr>
          <w:b/>
          <w:bCs/>
        </w:rPr>
        <w:t>:</w:t>
      </w:r>
    </w:p>
    <w:p w14:paraId="5D2F80FC" w14:textId="77777777" w:rsidR="00EE38E4" w:rsidRDefault="00EE38E4" w:rsidP="008F12C9">
      <w:pPr>
        <w:pStyle w:val="PlainText"/>
      </w:pPr>
      <w:r>
        <w:t xml:space="preserve">Lines 29 and 76-81: I advise writing out the whole name of the listed statistical methods, </w:t>
      </w:r>
      <w:proofErr w:type="gramStart"/>
      <w:r>
        <w:t>e.g.</w:t>
      </w:r>
      <w:proofErr w:type="gramEnd"/>
      <w:r>
        <w:t xml:space="preserve"> permutational analysis of variance (PERMANOVA) when used for the first time in the manuscript. The same with MANOVA, LDA, </w:t>
      </w:r>
      <w:proofErr w:type="spellStart"/>
      <w:r>
        <w:t>nMDS</w:t>
      </w:r>
      <w:proofErr w:type="spellEnd"/>
      <w:r>
        <w:t>, etc.</w:t>
      </w:r>
    </w:p>
    <w:p w14:paraId="6BA661C7" w14:textId="00ACE832" w:rsidR="00EE38E4" w:rsidRDefault="00EE38E4" w:rsidP="008F12C9">
      <w:pPr>
        <w:spacing w:after="0"/>
        <w:rPr>
          <w:b/>
          <w:bCs/>
          <w:color w:val="002060"/>
        </w:rPr>
      </w:pPr>
      <w:r w:rsidRPr="00392B6E">
        <w:rPr>
          <w:b/>
          <w:bCs/>
        </w:rPr>
        <w:t>Response</w:t>
      </w:r>
      <w:r>
        <w:rPr>
          <w:b/>
          <w:bCs/>
        </w:rPr>
        <w:t xml:space="preserve"> #</w:t>
      </w:r>
      <w:r>
        <w:rPr>
          <w:b/>
          <w:bCs/>
        </w:rPr>
        <w:t>3</w:t>
      </w:r>
      <w:r w:rsidRPr="00392B6E">
        <w:rPr>
          <w:b/>
          <w:bCs/>
        </w:rPr>
        <w:t>:</w:t>
      </w:r>
      <w:r>
        <w:rPr>
          <w:b/>
          <w:bCs/>
        </w:rPr>
        <w:t xml:space="preserve"> </w:t>
      </w:r>
    </w:p>
    <w:p w14:paraId="6F3DBDA6" w14:textId="4DF9799F" w:rsidR="00EE38E4" w:rsidRDefault="00EE38E4" w:rsidP="008F12C9">
      <w:pPr>
        <w:spacing w:after="0"/>
        <w:rPr>
          <w:color w:val="002060"/>
        </w:rPr>
      </w:pPr>
      <w:r>
        <w:rPr>
          <w:color w:val="002060"/>
        </w:rPr>
        <w:t xml:space="preserve">This has now been done. All first mentions of statistical methods are now listed in full. </w:t>
      </w:r>
      <w:r w:rsidR="001D783F">
        <w:rPr>
          <w:color w:val="002060"/>
        </w:rPr>
        <w:t>The relevant lines showing these changes are:</w:t>
      </w:r>
    </w:p>
    <w:p w14:paraId="76BB9BB4" w14:textId="6D28626D" w:rsidR="001D783F" w:rsidRPr="00EE38E4" w:rsidRDefault="001D783F" w:rsidP="008F12C9">
      <w:pPr>
        <w:spacing w:after="0"/>
        <w:rPr>
          <w:color w:val="002060"/>
        </w:rPr>
      </w:pPr>
      <w:r>
        <w:rPr>
          <w:color w:val="002060"/>
        </w:rPr>
        <w:t>“…</w:t>
      </w:r>
      <w:r w:rsidRPr="001D783F">
        <w:rPr>
          <w:color w:val="002060"/>
        </w:rPr>
        <w:t>using distance-based methods (</w:t>
      </w:r>
      <w:proofErr w:type="spellStart"/>
      <w:r w:rsidRPr="001D783F">
        <w:rPr>
          <w:color w:val="002060"/>
        </w:rPr>
        <w:t>eg.</w:t>
      </w:r>
      <w:proofErr w:type="spellEnd"/>
      <w:r w:rsidRPr="001D783F">
        <w:rPr>
          <w:color w:val="002060"/>
        </w:rPr>
        <w:t xml:space="preserve"> permutational multivariate analysis of variance (PERMANOVA); </w:t>
      </w:r>
      <w:r w:rsidRPr="001D783F">
        <w:rPr>
          <w:color w:val="002060"/>
        </w:rPr>
        <w:fldChar w:fldCharType="begin"/>
      </w:r>
      <w:r w:rsidRPr="001D783F">
        <w:rPr>
          <w:color w:val="002060"/>
        </w:rPr>
        <w:instrText xml:space="preserve"> ADDIN ZOTERO_ITEM CSL_CITATION {"citationID":"lUpjdGmg","properties":{"formattedCitation":"\\super 4,23,24\\nosupersub{}","plainCitation":"4,23,24","noteIndex":0},"citationItems":[{"id":1815,"uris":["http://zotero.org/users/local/U6DoygBa/items/HR5LK2UZ"],"uri":["http://zotero.org/users/local/U6DoygBa/items/HR5LK2UZ"],"itemData":{"id":1815,"type":"article-journal","abstract":"Otolith based methods have the potential to discriminate between stocks, an important requirement for sustainable management of fish. The abilities of two otolith based methods to investigate stock structure of the sciaenid Argyrosomus japonicus in South Australia were compared: (i) elemental signatures (Sr:Ca, Ba:Ca, and Mg:Ca) from the otolith edge, and (ii) shape characteristics (otolith morphometrics and overall shape) of whole otoliths. Comparison of elemental signatures indicated that Ba:Ca levels were low in the western coast, intermediate in the central coast and high in the eastern coast. Constrained Canonical Analysis of Principal Coordinates (CAP) allocated elemental concentrations of individual otoliths to regions with 100, 100, and 87% success for western, central and eastern coasts respectively. Otolith shape (elliptical Fourier descriptors and morphological indices) supported results from the elemental study with allocation success of 85, 57, and 85% for western, central and eastern coasts respectively. Shape analysis was then used to investigate the origin of individuals caught in marine waters but suspected of being from an aquaculture facility. The two stock discrimination methods were complementary because trace-element analysis of the otolith edge provided very high classification success and gave a snapshot of differences between groups from different geographic areas, while shape analysis indicated that these discrete groups of fish experienced different environmental conditions over a long period of time. Results from this study highlight the importance of multiple methods in stock discrimination and suggest sub-structuring of the stock of A. japonicus in South Australia.","container-title":"Fisheries Research","DOI":"10.1016/j.fishres.2011.03.014","ISSN":"0165-7836","issue":"1","journalAbbreviation":"Fisheries Research","language":"en","page":"75-83","source":"ScienceDirect","title":"Otolith shape and elemental composition: Complementary tools for stock discrimination of mulloway (&lt;i&gt;Argyrosomus japonicus&lt;/i&gt;) in southern Australia","title-short":"Otolith shape and elemental composition","volume":"110","author":[{"family":"Ferguson","given":"Greg J."},{"family":"Ward","given":"Tim M."},{"family":"Gillanders","given":"Bronwyn M."}],"issued":{"date-parts":[["2011",6,1]]}}},{"id":175,"uris":["http://zotero.org/users/local/U6DoygBa/items/9E6MN6D8"],"uri":["http://zotero.org/users/local/U6DoygBa/items/9E6MN6D8"],"itemData":{"id":175,"type":"article-journal","container-title":"Marine Ecology Progress Series","DOI":"10.3354/meps12495","page":"187-199","title":"Evaluating estuarine nursery use and life history patterns of &lt;i&gt;Pomatomus saltatrix&lt;/i&gt; in eastern Australia","volume":"598","author":[{"family":"Schilling","given":"H. T."},{"family":"Reis-Santos","given":"P."},{"family":"Hughes","given":"J. M."},{"family":"Smith","given":"J. A."},{"family":"Everett","given":"J. D."},{"family":"Stewart","given":"J."},{"family":"Gillanders","given":"B. M."},{"family":"Suthers","given":"I. M."}],"issued":{"date-parts":[["2018"]]}}},{"id":1788,"uris":["http://zotero.org/users/local/U6DoygBa/items/I3R92H7G"],"uri":["http://zotero.org/users/local/U6DoygBa/items/I3R92H7G"],"itemData":{"id":1788,"type":"article-journal","abstract":"Brazilian codling Urophycis brasiliensis is one of the main commercial coastal fish species from the Southwestern Atlantic Ocean. Regardless of its economic relevance, its stock structure remains largely unknown. In this study, we used the otolith shape and the core/outer edge multi-elemental fingerprints (Li:Ca, Mg:Ca, Mn:Ca, Fe:Ca, Zn:Ca, Rb:Ca, Sr:Ca, and Ba:Ca ratios) to evaluate the spatial segregation of young (nursery areas) and adult (stocks) stages of fish from the coast of northern Argentina, Uruguay, and southern Brazil. Otolith edge chemistry showed that several elemental ratios were significantly different between catching areas. Permutational multivariate analysis of variance (PERMANOVA) (p &lt; 0.05) and quadratic discriminant analysis (QDA), with jackknifed classification of 80.0 and 68.2% for otolith core and edge, respectively, were effective in discriminating between sampling sites considering young and adult life stages. PERMANOVA analysis of otolith shape revealed multivariate significant differences between Argentina and Brazil (p = 0.0001) individuals, whereas no differences were found between fish from Uruguay and Argentina (p &gt; 0.05). QDA classification rates were relatively low for Uruguay (48.0%) and values of 66.7 and 70.0% were found for Brazil and Argentina, respectively. Our results not only show the presence of at least two fish stocks (Argentina and Brazil), with a third potential stock in Uruguay, but also suggest a strong spatial segregation during ontogeny.","container-title":"Estuarine, Coastal and Shelf Science","DOI":"10.1016/j.ecss.2019.106406","ISSN":"0272-7714","journalAbbreviation":"Estuarine, Coastal and Shelf Science","language":"en","page":"106406","source":"ScienceDirect","title":"Fish stocks of &lt;i&gt;Urophycis brasiliensis&lt;/i&gt; revealed by otolith fingerprint and shape in the Southwestern Atlantic Ocean","volume":"229","author":[{"family":"Biolé","given":"Fernanda G."},{"family":"Thompson","given":"Gustavo A."},{"family":"Vargas","given":"Claudia V."},{"family":"Leisen","given":"Mathieu"},{"family":"Barra","given":"Fernando"},{"family":"Volpedo","given":"Alejandra V."},{"family":"Avigliano","given":"Esteban"}],"issued":{"date-parts":[["2019",11,30]]}}}],"schema":"https://github.com/citation-style-language/schema/raw/master/csl-citation.json"} </w:instrText>
      </w:r>
      <w:r w:rsidRPr="001D783F">
        <w:rPr>
          <w:color w:val="002060"/>
        </w:rPr>
        <w:fldChar w:fldCharType="separate"/>
      </w:r>
      <w:r w:rsidRPr="001D783F">
        <w:rPr>
          <w:color w:val="002060"/>
          <w:vertAlign w:val="superscript"/>
        </w:rPr>
        <w:t>4,23,24</w:t>
      </w:r>
      <w:r w:rsidRPr="001D783F">
        <w:rPr>
          <w:color w:val="002060"/>
        </w:rPr>
        <w:fldChar w:fldCharType="end"/>
      </w:r>
      <w:r w:rsidRPr="001D783F">
        <w:rPr>
          <w:color w:val="002060"/>
        </w:rPr>
        <w:t>) or model-based methods which assume a gaussian error distribution (</w:t>
      </w:r>
      <w:proofErr w:type="spellStart"/>
      <w:r w:rsidRPr="001D783F">
        <w:rPr>
          <w:color w:val="002060"/>
        </w:rPr>
        <w:t>eg.</w:t>
      </w:r>
      <w:proofErr w:type="spellEnd"/>
      <w:r w:rsidRPr="001D783F">
        <w:rPr>
          <w:color w:val="002060"/>
        </w:rPr>
        <w:t xml:space="preserve"> multivariate analysis of variance or Linear discriminant analysis; </w:t>
      </w:r>
      <w:r w:rsidRPr="001D783F">
        <w:rPr>
          <w:color w:val="002060"/>
        </w:rPr>
        <w:fldChar w:fldCharType="begin"/>
      </w:r>
      <w:r w:rsidRPr="001D783F">
        <w:rPr>
          <w:color w:val="002060"/>
        </w:rPr>
        <w:instrText xml:space="preserve"> ADDIN ZOTERO_ITEM CSL_CITATION {"citationID":"1pBRoMVj","properties":{"formattedCitation":"\\super 25\\nosupersub{}","plainCitation":"25","noteIndex":0},"citationItems":[{"id":1849,"uris":["http://zotero.org/users/local/U6DoygBa/items/74KM4M9G"],"uri":["http://zotero.org/users/local/U6DoygBa/items/74KM4M9G"],"itemData":{"id":1849,"type":"article-journal","abstract":"Previous research has demonstrated a large movement of hatchery-reared Chinook salmon (Oncorhynchus tshawytscha) from Lake Huron to Lake Michigan, suggesting the potential for wild fish to exhibit ...","archive_location":"world","container-title":"Canadian Journal of Fisheries and Aquatic Sciences","DOI":"10.1139/cjfas-2018-0041","language":"en","note":"publisher: NRC Research Press","source":"cdnsciencepub.com","title":"Examining the potential of otolith chemistry to determine natal origins of wild Lake Michigan Chinook salmon","URL":"https://cdnsciencepub.com/doi/abs/10.1139/cjfas-2018-0041","author":[{"family":"Maguffee","given":"Alexander C."},{"family":"Reilly","given":"Reneé"},{"family":"Clark","given":"Richard"},{"family":"Jones","given":"Michael L."}],"accessed":{"date-parts":[["2021",1,1]]},"issued":{"date-parts":[["2019",1,31]]}}}],"schema":"https://github.com/citation-style-language/schema/raw/master/csl-citation.json"} </w:instrText>
      </w:r>
      <w:r w:rsidRPr="001D783F">
        <w:rPr>
          <w:color w:val="002060"/>
        </w:rPr>
        <w:fldChar w:fldCharType="separate"/>
      </w:r>
      <w:r w:rsidRPr="001D783F">
        <w:rPr>
          <w:color w:val="002060"/>
          <w:vertAlign w:val="superscript"/>
        </w:rPr>
        <w:t>25</w:t>
      </w:r>
      <w:r w:rsidRPr="001D783F">
        <w:rPr>
          <w:color w:val="002060"/>
        </w:rPr>
        <w:fldChar w:fldCharType="end"/>
      </w:r>
      <w:r w:rsidRPr="001D783F">
        <w:rPr>
          <w:color w:val="002060"/>
        </w:rPr>
        <w:t>). Ecologists typically also use these distance-based methods to form ordination plots to visualise the multivariate groupings in a low-dimensional plot (e.g. non-metric multidimensional scaling</w:t>
      </w:r>
      <w:r w:rsidRPr="001D783F" w:rsidDel="007052E0">
        <w:rPr>
          <w:color w:val="002060"/>
        </w:rPr>
        <w:t xml:space="preserve"> </w:t>
      </w:r>
      <w:r w:rsidRPr="001D783F">
        <w:rPr>
          <w:color w:val="002060"/>
        </w:rPr>
        <w:t>(</w:t>
      </w:r>
      <w:proofErr w:type="spellStart"/>
      <w:r w:rsidRPr="001D783F">
        <w:rPr>
          <w:color w:val="002060"/>
        </w:rPr>
        <w:t>nMDS</w:t>
      </w:r>
      <w:proofErr w:type="spellEnd"/>
      <w:r w:rsidRPr="001D783F">
        <w:rPr>
          <w:color w:val="002060"/>
        </w:rPr>
        <w:t xml:space="preserve">) plots or Canonical Discriminant Analysis; </w:t>
      </w:r>
      <w:r w:rsidRPr="001D783F">
        <w:rPr>
          <w:color w:val="002060"/>
        </w:rPr>
        <w:fldChar w:fldCharType="begin"/>
      </w:r>
      <w:r w:rsidRPr="001D783F">
        <w:rPr>
          <w:color w:val="002060"/>
        </w:rPr>
        <w:instrText xml:space="preserve"> ADDIN ZOTERO_ITEM CSL_CITATION {"citationID":"i4p3PBr0","properties":{"formattedCitation":"\\super 26,27\\nosupersub{}","plainCitation":"26,27","noteIndex":0},"citationItems":[{"id":1876,"uris":["http://zotero.org/users/local/U6DoygBa/items/H6AZ8YF5"],"uri":["http://zotero.org/users/local/U6DoygBa/items/H6AZ8YF5"],"itemData":{"id":1876,"type":"article-journal","abstract":"Population structure of European hake (Merluccius merluccius) remains poorly understood despite the need for such information for effective fisheries management of the species. Otolith geochemistry was used to examine movements of individuals among local populations and test the accuracy of current stock boundaries for the species. Age-1 European hake were collected at 7 locations in the Atlantic Ocean and the Mediterranean Sea. Otolith geochemistry (Mg:Ca, Mn:Ca, Sr:Ca, Ba:Ca, δ13C, and δ18O) was assayed in cores and edge zones. Both otolith core and edge values varied significantly among the collection locations in the Atlantic Ocean and the Mediterranean Sea. The significant differences in the geochemical signatures between the two otolith zones (Sr:Ca, Ba:Ca, δ13C, δ18O) were possibly associated with ontogenetic changes in physiology and feeding habits of hake. Otolith edge signatures proved to be a valuable tool for classifiying individuals to the collection locations. Individuals were assigned to three different groups in the Atlantic Ocean and in the Mediterranean Sea based on otolith core values using nonmetric multidimensional scaling. Our results suggested movement of individuals among local populations within the Atlantic Ocean and also within the Mediterranean Sea. However, there appeared to be little or no movement of hake through the Strait of Gibraltar. The movement patterns observed do not support the stock boundary established in the northeast Atlantic Ocean but rather advocate for a re-evaluation of the most adequate and effective management units for this valuable demersal species.","container-title":"Fisheries Research","DOI":"10.1016/j.fishres.2012.02.013","ISSN":"0165-7836","journalAbbreviation":"Fisheries Research","language":"en","page":"198-205","source":"ScienceDirect","title":"Testing an otolith geochemistry approach to determine population structure and movements of European hake in the northeast Atlantic Ocean and Mediterranean Sea","volume":"125-126","author":[{"family":"Tanner","given":"Susanne E."},{"family":"Vasconcelos","given":"Rita P."},{"family":"Cabral","given":"Henrique N."},{"family":"Thorrold","given":"Simon R."}],"issued":{"date-parts":[["2012",8,1]]}}},{"id":1782,"uris":["http://zotero.org/users/local/U6DoygBa/items/S4V7TN5S"],"uri":["http://zotero.org/users/local/U6DoygBa/items/S4V7TN5S"],"itemData":{"id":1782,"type":"article-journal","abstract":"The distribution of Atlantic cod (Gadus morhua) in northern Norwegian waters is expanding eastward and northward in the Barents Sea and along western Svalbard. In the Arctic fjords of Svalbard, cod has become abundant, but little is known about the biology, origin, or residence patterns of these populations. To address this issue, we used laser ablation inductively coupled plasma mass spectrometry to quantify the trace elemental composition of cod otoliths at age-0, age-3 and the year of spawning at five distinct locations in northern Norway and western Svalbard. Chemical composition data was used to identify natal sources of cod, their broad-scale migration patterns, and to determine if cod are currently resident in Arctic fjords. Our results suggest that cod collected at Kongsfjord, Isfjord, outside Svalbard, Lofoten, and Porsangerfjord were recruited mainly from the Barents Sea, conforming to the Northeast Arctic cod ecotype. The degree of chemical overlap between Porsangerfjord and Isfjord cod, however, varied with fish age, suggesting individual movements consistent with the Norwegian coastal cod ecotype. Finally, the chemical composition of mature fish at Isfjord, and to a lesser extent Kongsfjord, suggests that cod from the Barents Sea might have recently established residency in these two Arctic fjords.","container-title":"Polar Biology","DOI":"10.1007/s00300-020-02642-1","ISSN":"1432-2056","issue":"5","journalAbbreviation":"Polar Biol","language":"en","page":"409-421","source":"Springer Link","title":"Ontogenetic movements of cod in Arctic fjords and the Barents Sea as revealed by otolith microchemistry","volume":"43","author":[{"family":"Andrade","given":"Hector"},{"family":"Sleen","given":"Peter","non-dropping-particle":"van der"},{"family":"Black","given":"Bryan A."},{"family":"Godiksen","given":"Jane A."},{"family":"Locke","given":"William L."},{"family":"Carroll","given":"Michael L."},{"family":"Ambrose","given":"William G."},{"family":"Geffen","given":"Audrey"}],"issued":{"date-parts":[["2020",5,1]]}}}],"schema":"https://github.com/citation-style-language/schema/raw/master/csl-citation.json"} </w:instrText>
      </w:r>
      <w:r w:rsidRPr="001D783F">
        <w:rPr>
          <w:color w:val="002060"/>
        </w:rPr>
        <w:fldChar w:fldCharType="separate"/>
      </w:r>
      <w:r w:rsidRPr="001D783F">
        <w:rPr>
          <w:color w:val="002060"/>
          <w:vertAlign w:val="superscript"/>
        </w:rPr>
        <w:t>26,27</w:t>
      </w:r>
      <w:r w:rsidRPr="001D783F">
        <w:rPr>
          <w:color w:val="002060"/>
        </w:rPr>
        <w:fldChar w:fldCharType="end"/>
      </w:r>
      <w:r w:rsidRPr="001D783F">
        <w:rPr>
          <w:color w:val="002060"/>
        </w:rPr>
        <w:t>).</w:t>
      </w:r>
      <w:r>
        <w:rPr>
          <w:color w:val="002060"/>
        </w:rPr>
        <w:t>”</w:t>
      </w:r>
    </w:p>
    <w:p w14:paraId="42FC55B6" w14:textId="77777777" w:rsidR="008F12C9" w:rsidRDefault="008F12C9" w:rsidP="008F12C9">
      <w:pPr>
        <w:pStyle w:val="PlainText"/>
        <w:rPr>
          <w:b/>
          <w:bCs/>
        </w:rPr>
      </w:pPr>
    </w:p>
    <w:p w14:paraId="73E26AE8" w14:textId="2A70C32D" w:rsidR="00EE38E4" w:rsidRDefault="00EE38E4" w:rsidP="008F12C9">
      <w:pPr>
        <w:pStyle w:val="PlainText"/>
        <w:rPr>
          <w:b/>
          <w:bCs/>
        </w:rPr>
      </w:pPr>
      <w:r w:rsidRPr="0037481C">
        <w:rPr>
          <w:b/>
          <w:bCs/>
        </w:rPr>
        <w:t>Comment #</w:t>
      </w:r>
      <w:r>
        <w:rPr>
          <w:b/>
          <w:bCs/>
        </w:rPr>
        <w:t>4</w:t>
      </w:r>
      <w:r>
        <w:rPr>
          <w:b/>
          <w:bCs/>
        </w:rPr>
        <w:t>:</w:t>
      </w:r>
    </w:p>
    <w:p w14:paraId="02742209" w14:textId="77777777" w:rsidR="00EE38E4" w:rsidRDefault="00EE38E4" w:rsidP="008F12C9">
      <w:pPr>
        <w:pStyle w:val="PlainText"/>
      </w:pPr>
      <w:r>
        <w:t>Correct to “mean-variance relationships” through the manuscript.</w:t>
      </w:r>
    </w:p>
    <w:p w14:paraId="69020D9F" w14:textId="31E63950" w:rsidR="00EE38E4" w:rsidRDefault="00EE38E4" w:rsidP="008F12C9">
      <w:pPr>
        <w:spacing w:after="0"/>
        <w:rPr>
          <w:b/>
          <w:bCs/>
        </w:rPr>
      </w:pPr>
      <w:r w:rsidRPr="00392B6E">
        <w:rPr>
          <w:b/>
          <w:bCs/>
        </w:rPr>
        <w:t>Response</w:t>
      </w:r>
      <w:r>
        <w:rPr>
          <w:b/>
          <w:bCs/>
        </w:rPr>
        <w:t xml:space="preserve"> #</w:t>
      </w:r>
      <w:r>
        <w:rPr>
          <w:b/>
          <w:bCs/>
        </w:rPr>
        <w:t>4</w:t>
      </w:r>
      <w:r w:rsidRPr="00392B6E">
        <w:rPr>
          <w:b/>
          <w:bCs/>
        </w:rPr>
        <w:t>:</w:t>
      </w:r>
    </w:p>
    <w:p w14:paraId="68319198" w14:textId="6AD2684A" w:rsidR="001D783F" w:rsidRPr="001F7D6D" w:rsidRDefault="001D783F" w:rsidP="008F12C9">
      <w:pPr>
        <w:spacing w:after="0"/>
        <w:rPr>
          <w:color w:val="002060"/>
        </w:rPr>
      </w:pPr>
      <w:r w:rsidRPr="001F7D6D">
        <w:rPr>
          <w:color w:val="002060"/>
        </w:rPr>
        <w:t>This has been done. “mean variance” was changed to “mean-variance” 8 times.</w:t>
      </w:r>
    </w:p>
    <w:p w14:paraId="3B69A6BD" w14:textId="77777777" w:rsidR="008F12C9" w:rsidRDefault="008F12C9" w:rsidP="008F12C9">
      <w:pPr>
        <w:pStyle w:val="PlainText"/>
        <w:rPr>
          <w:b/>
          <w:bCs/>
        </w:rPr>
      </w:pPr>
    </w:p>
    <w:p w14:paraId="11895B6E" w14:textId="77777777" w:rsidR="008F12C9" w:rsidRDefault="008F12C9">
      <w:pPr>
        <w:rPr>
          <w:rFonts w:ascii="Calibri" w:hAnsi="Calibri" w:cs="Angsana New"/>
          <w:b/>
          <w:bCs/>
          <w:szCs w:val="26"/>
        </w:rPr>
      </w:pPr>
      <w:r>
        <w:rPr>
          <w:b/>
          <w:bCs/>
        </w:rPr>
        <w:br w:type="page"/>
      </w:r>
    </w:p>
    <w:p w14:paraId="502C3F37" w14:textId="5F2E6298" w:rsidR="00EE38E4" w:rsidRDefault="00EE38E4" w:rsidP="008F12C9">
      <w:pPr>
        <w:pStyle w:val="PlainText"/>
        <w:rPr>
          <w:b/>
          <w:bCs/>
        </w:rPr>
      </w:pPr>
      <w:r w:rsidRPr="0037481C">
        <w:rPr>
          <w:b/>
          <w:bCs/>
        </w:rPr>
        <w:lastRenderedPageBreak/>
        <w:t>Comment #</w:t>
      </w:r>
      <w:r>
        <w:rPr>
          <w:b/>
          <w:bCs/>
        </w:rPr>
        <w:t>5</w:t>
      </w:r>
      <w:r>
        <w:rPr>
          <w:b/>
          <w:bCs/>
        </w:rPr>
        <w:t>:</w:t>
      </w:r>
    </w:p>
    <w:p w14:paraId="3C4A689E" w14:textId="77777777" w:rsidR="00EE38E4" w:rsidRDefault="00EE38E4" w:rsidP="008F12C9">
      <w:pPr>
        <w:pStyle w:val="PlainText"/>
      </w:pPr>
      <w:r>
        <w:t>Line 147: please state clearly that the same groups of fish as in the previous study (reference 43).</w:t>
      </w:r>
    </w:p>
    <w:p w14:paraId="0ED17032" w14:textId="0C72797D" w:rsidR="00EE38E4" w:rsidRDefault="00EE38E4" w:rsidP="008F12C9">
      <w:pPr>
        <w:spacing w:after="0"/>
        <w:rPr>
          <w:b/>
          <w:bCs/>
        </w:rPr>
      </w:pPr>
      <w:r w:rsidRPr="00392B6E">
        <w:rPr>
          <w:b/>
          <w:bCs/>
        </w:rPr>
        <w:t>Response</w:t>
      </w:r>
      <w:r>
        <w:rPr>
          <w:b/>
          <w:bCs/>
        </w:rPr>
        <w:t xml:space="preserve"> #</w:t>
      </w:r>
      <w:r>
        <w:rPr>
          <w:b/>
          <w:bCs/>
        </w:rPr>
        <w:t>5</w:t>
      </w:r>
      <w:r w:rsidRPr="00392B6E">
        <w:rPr>
          <w:b/>
          <w:bCs/>
        </w:rPr>
        <w:t>:</w:t>
      </w:r>
    </w:p>
    <w:p w14:paraId="1EAB7951" w14:textId="4B6BC63C" w:rsidR="001F7D6D" w:rsidRDefault="001F7D6D" w:rsidP="008F12C9">
      <w:pPr>
        <w:spacing w:after="0"/>
        <w:rPr>
          <w:color w:val="002060"/>
        </w:rPr>
      </w:pPr>
      <w:r>
        <w:rPr>
          <w:color w:val="002060"/>
        </w:rPr>
        <w:t>This has now been clearly stated. The line reads:</w:t>
      </w:r>
    </w:p>
    <w:p w14:paraId="00A0BE86" w14:textId="4C401341" w:rsidR="001F7D6D" w:rsidRPr="001F7D6D" w:rsidRDefault="001F7D6D" w:rsidP="008F12C9">
      <w:pPr>
        <w:spacing w:after="0"/>
        <w:rPr>
          <w:color w:val="002060"/>
        </w:rPr>
      </w:pPr>
      <w:r>
        <w:rPr>
          <w:color w:val="002060"/>
        </w:rPr>
        <w:t>“</w:t>
      </w:r>
      <w:r w:rsidRPr="001F7D6D">
        <w:rPr>
          <w:color w:val="002060"/>
        </w:rPr>
        <w:t xml:space="preserve">The present study was carried out with the dual aim of firstly, assessing variation in otolith chemistry and shape between the same groups </w:t>
      </w:r>
      <w:r w:rsidRPr="001F7D6D">
        <w:rPr>
          <w:i/>
          <w:iCs/>
          <w:color w:val="002060"/>
        </w:rPr>
        <w:t>C. striata</w:t>
      </w:r>
      <w:r w:rsidRPr="001F7D6D">
        <w:rPr>
          <w:color w:val="002060"/>
        </w:rPr>
        <w:t xml:space="preserve"> in India as </w:t>
      </w:r>
      <w:r w:rsidRPr="001F7D6D">
        <w:rPr>
          <w:color w:val="002060"/>
        </w:rPr>
        <w:fldChar w:fldCharType="begin"/>
      </w:r>
      <w:r w:rsidRPr="001F7D6D">
        <w:rPr>
          <w:color w:val="002060"/>
        </w:rPr>
        <w:instrText xml:space="preserve"> ADDIN ZOTERO_ITEM CSL_CITATION {"citationID":"6qum0fBr","properties":{"formattedCitation":"\\super 43\\nosupersub{}","plainCitation":"43","noteIndex":0},"citationItems":[{"id":1844,"uris":["http://zotero.org/users/local/U6DoygBa/items/6QAT3TIJ"],"uri":["http://zotero.org/users/local/U6DoygBa/items/6QAT3TIJ"],"itemData":{"id":1844,"type":"article-journal","abstract":"Landmark-based truss morphometry was used to identify stock structure of striped snakehead, Channa striata, in the river Ganga and its tributaries: river Yamuna and river Gomti. The fish samples were collected from Narora site of the river Ganga, Agra site of the river Yamuna and Lucknow site of the river Gomti from November 2012 to May 2016. Ten morphometric landmarks were selected to construct truss network on the fish body. Transformed truss network measurements were subjected to principal component analysis, discriminant function analysis and univariate analysis of variance. The first principal component (PC I) explained 40.2% of total variation while PC II and PC III explained 9.86 and 6.68%, respectively. The step-wise discriminant function analysis retained six variables that significantly discriminated the populations. Using these variables, 89.2% were correctly classified into their original groups. Of the total 35 transformed morphometric measurements, 28 exhibited significant differences among the populations. Results indicate the presence of different stocks of C. striata in the selected rivers of the Gangetic river system.","container-title":"Russian Journal of Ecology","DOI":"10.1134/S1067413619040106","ISSN":"1608-3334","issue":"4","journalAbbreviation":"Russ J Ecol","language":"en","page":"391-396","source":"Springer Link","title":"Stock identification of the &lt;i&gt;Channa striata&lt;/i&gt; inhabiting the Gangetic River System using Truss Morphometry","volume":"50","author":[{"family":"Khan","given":"M. A."},{"family":"Khan","given":"Salman"},{"family":"Miyan","given":"Kaish"}],"issued":{"date-parts":[["2019",7,1]]}}}],"schema":"https://github.com/citation-style-language/schema/raw/master/csl-citation.json"} </w:instrText>
      </w:r>
      <w:r w:rsidRPr="001F7D6D">
        <w:rPr>
          <w:color w:val="002060"/>
        </w:rPr>
        <w:fldChar w:fldCharType="separate"/>
      </w:r>
      <w:r w:rsidRPr="001F7D6D">
        <w:rPr>
          <w:color w:val="002060"/>
          <w:vertAlign w:val="superscript"/>
        </w:rPr>
        <w:t>43</w:t>
      </w:r>
      <w:r w:rsidRPr="001F7D6D">
        <w:rPr>
          <w:color w:val="002060"/>
        </w:rPr>
        <w:fldChar w:fldCharType="end"/>
      </w:r>
      <w:r w:rsidRPr="001F7D6D">
        <w:rPr>
          <w:color w:val="002060"/>
        </w:rPr>
        <w:t xml:space="preserve"> to test for further evidence of regional separation, and secondly, demonstrating the use of MGLMs with otolith chemistry and otolith shape data.</w:t>
      </w:r>
      <w:r>
        <w:rPr>
          <w:color w:val="002060"/>
        </w:rPr>
        <w:t>”</w:t>
      </w:r>
    </w:p>
    <w:p w14:paraId="5D31AF6B" w14:textId="77777777" w:rsidR="008F12C9" w:rsidRDefault="008F12C9" w:rsidP="008F12C9">
      <w:pPr>
        <w:pStyle w:val="PlainText"/>
        <w:rPr>
          <w:b/>
          <w:bCs/>
        </w:rPr>
      </w:pPr>
    </w:p>
    <w:p w14:paraId="4C82016A" w14:textId="5D854840" w:rsidR="00EE38E4" w:rsidRDefault="00EE38E4" w:rsidP="008F12C9">
      <w:pPr>
        <w:pStyle w:val="PlainText"/>
        <w:rPr>
          <w:b/>
          <w:bCs/>
        </w:rPr>
      </w:pPr>
      <w:r w:rsidRPr="0037481C">
        <w:rPr>
          <w:b/>
          <w:bCs/>
        </w:rPr>
        <w:t>Comment #</w:t>
      </w:r>
      <w:r>
        <w:rPr>
          <w:b/>
          <w:bCs/>
        </w:rPr>
        <w:t>6</w:t>
      </w:r>
      <w:r>
        <w:rPr>
          <w:b/>
          <w:bCs/>
        </w:rPr>
        <w:t>:</w:t>
      </w:r>
    </w:p>
    <w:p w14:paraId="27A287D7" w14:textId="77777777" w:rsidR="001F7D6D" w:rsidRDefault="00EE38E4" w:rsidP="008F12C9">
      <w:pPr>
        <w:pStyle w:val="PlainText"/>
      </w:pPr>
      <w:r>
        <w:t xml:space="preserve">Line 235: less than 10% reported checking this </w:t>
      </w:r>
      <w:proofErr w:type="gramStart"/>
      <w:r>
        <w:t>assumption</w:t>
      </w:r>
      <w:proofErr w:type="gramEnd"/>
      <w:r>
        <w:t xml:space="preserve"> </w:t>
      </w:r>
    </w:p>
    <w:p w14:paraId="10294BFA" w14:textId="77777777" w:rsidR="001F7D6D" w:rsidRPr="00392B6E" w:rsidRDefault="001F7D6D" w:rsidP="008F12C9">
      <w:pPr>
        <w:spacing w:after="0"/>
        <w:rPr>
          <w:b/>
          <w:bCs/>
        </w:rPr>
      </w:pPr>
      <w:r w:rsidRPr="00392B6E">
        <w:rPr>
          <w:b/>
          <w:bCs/>
        </w:rPr>
        <w:t>Response</w:t>
      </w:r>
      <w:r>
        <w:rPr>
          <w:b/>
          <w:bCs/>
        </w:rPr>
        <w:t xml:space="preserve"> #6</w:t>
      </w:r>
      <w:r w:rsidRPr="00392B6E">
        <w:rPr>
          <w:b/>
          <w:bCs/>
        </w:rPr>
        <w:t>:</w:t>
      </w:r>
    </w:p>
    <w:p w14:paraId="7AF0E00C" w14:textId="47B9E4D5" w:rsidR="001F7D6D" w:rsidRPr="00E07116" w:rsidRDefault="00E07116" w:rsidP="008F12C9">
      <w:pPr>
        <w:pStyle w:val="PlainText"/>
        <w:rPr>
          <w:color w:val="002060"/>
        </w:rPr>
      </w:pPr>
      <w:r w:rsidRPr="00E07116">
        <w:rPr>
          <w:color w:val="002060"/>
        </w:rPr>
        <w:t>This line has been changed and now reads: “</w:t>
      </w:r>
      <w:r w:rsidRPr="00E07116">
        <w:rPr>
          <w:color w:val="002060"/>
          <w:sz w:val="24"/>
          <w:szCs w:val="24"/>
        </w:rPr>
        <w:t>revealed less than 10% of papers reported checking this assumption.</w:t>
      </w:r>
      <w:r w:rsidRPr="00E07116">
        <w:rPr>
          <w:color w:val="002060"/>
          <w:sz w:val="24"/>
          <w:szCs w:val="24"/>
        </w:rPr>
        <w:t>”</w:t>
      </w:r>
    </w:p>
    <w:p w14:paraId="1D8F8A8B" w14:textId="77777777" w:rsidR="001F7D6D" w:rsidRDefault="001F7D6D" w:rsidP="008F12C9">
      <w:pPr>
        <w:pStyle w:val="PlainText"/>
      </w:pPr>
    </w:p>
    <w:p w14:paraId="18B41E15" w14:textId="77777777" w:rsidR="001F7D6D" w:rsidRDefault="001F7D6D" w:rsidP="008F12C9">
      <w:pPr>
        <w:pStyle w:val="PlainText"/>
        <w:rPr>
          <w:b/>
          <w:bCs/>
        </w:rPr>
      </w:pPr>
      <w:r w:rsidRPr="0037481C">
        <w:rPr>
          <w:b/>
          <w:bCs/>
        </w:rPr>
        <w:t>Comment #</w:t>
      </w:r>
      <w:r>
        <w:rPr>
          <w:b/>
          <w:bCs/>
        </w:rPr>
        <w:t>7:</w:t>
      </w:r>
    </w:p>
    <w:p w14:paraId="0D9C5BD5" w14:textId="26C2B6C9" w:rsidR="00EE38E4" w:rsidRDefault="00EE38E4" w:rsidP="008F12C9">
      <w:pPr>
        <w:pStyle w:val="PlainText"/>
      </w:pPr>
      <w:r>
        <w:t>Lines 402-406: Please rewrite and possibly split this sentence to improve clarity.</w:t>
      </w:r>
    </w:p>
    <w:p w14:paraId="4318BFCB" w14:textId="21ACDB23" w:rsidR="00EE38E4" w:rsidRDefault="00EE38E4" w:rsidP="008F12C9">
      <w:pPr>
        <w:spacing w:after="0"/>
        <w:rPr>
          <w:b/>
          <w:bCs/>
        </w:rPr>
      </w:pPr>
      <w:r w:rsidRPr="00392B6E">
        <w:rPr>
          <w:b/>
          <w:bCs/>
        </w:rPr>
        <w:t>Response</w:t>
      </w:r>
      <w:r>
        <w:rPr>
          <w:b/>
          <w:bCs/>
        </w:rPr>
        <w:t xml:space="preserve"> #</w:t>
      </w:r>
      <w:r>
        <w:rPr>
          <w:b/>
          <w:bCs/>
        </w:rPr>
        <w:t>7</w:t>
      </w:r>
      <w:r w:rsidRPr="00392B6E">
        <w:rPr>
          <w:b/>
          <w:bCs/>
        </w:rPr>
        <w:t>:</w:t>
      </w:r>
    </w:p>
    <w:p w14:paraId="7F5FA42E" w14:textId="6A28583D" w:rsidR="00E07116" w:rsidRPr="008F12C9" w:rsidRDefault="00E07116" w:rsidP="008F12C9">
      <w:pPr>
        <w:spacing w:after="0"/>
        <w:rPr>
          <w:color w:val="002060"/>
        </w:rPr>
      </w:pPr>
      <w:r w:rsidRPr="008F12C9">
        <w:rPr>
          <w:color w:val="002060"/>
        </w:rPr>
        <w:t>This sentence has been split into two and reworded. It now reads:</w:t>
      </w:r>
      <w:r w:rsidRPr="008F12C9">
        <w:rPr>
          <w:color w:val="002060"/>
        </w:rPr>
        <w:br/>
        <w:t>“</w:t>
      </w:r>
      <w:r w:rsidRPr="008F12C9">
        <w:rPr>
          <w:color w:val="002060"/>
        </w:rPr>
        <w:t>Mean-variance misspecification can also lead to confounding of dispersion and location effects in ordination plots</w:t>
      </w:r>
      <w:r w:rsidRPr="008F12C9">
        <w:rPr>
          <w:color w:val="002060"/>
          <w:vertAlign w:val="superscript"/>
        </w:rPr>
        <w:t>32</w:t>
      </w:r>
      <w:r w:rsidRPr="008F12C9">
        <w:rPr>
          <w:color w:val="002060"/>
        </w:rPr>
        <w:t xml:space="preserve"> (which we have verified in this study). This confounding can result in misleading or hard to interpret results when attempting to identify which response the effect is driven by or even a failure to detect multivariate effects unless it expressed in a high variance </w:t>
      </w:r>
      <w:proofErr w:type="gramStart"/>
      <w:r w:rsidRPr="008F12C9">
        <w:rPr>
          <w:color w:val="002060"/>
        </w:rPr>
        <w:t>response</w:t>
      </w:r>
      <w:r w:rsidRPr="008F12C9">
        <w:rPr>
          <w:color w:val="002060"/>
        </w:rPr>
        <w:t>”</w:t>
      </w:r>
      <w:proofErr w:type="gramEnd"/>
    </w:p>
    <w:p w14:paraId="28EBFE5A" w14:textId="77777777" w:rsidR="008F12C9" w:rsidRDefault="008F12C9" w:rsidP="008F12C9">
      <w:pPr>
        <w:pStyle w:val="PlainText"/>
        <w:rPr>
          <w:b/>
          <w:bCs/>
        </w:rPr>
      </w:pPr>
    </w:p>
    <w:p w14:paraId="7D071577" w14:textId="5623727D" w:rsidR="001F7D6D" w:rsidRDefault="001F7D6D" w:rsidP="008F12C9">
      <w:pPr>
        <w:pStyle w:val="PlainText"/>
        <w:rPr>
          <w:b/>
          <w:bCs/>
        </w:rPr>
      </w:pPr>
      <w:r w:rsidRPr="0037481C">
        <w:rPr>
          <w:b/>
          <w:bCs/>
        </w:rPr>
        <w:t>Comment #</w:t>
      </w:r>
      <w:r>
        <w:rPr>
          <w:b/>
          <w:bCs/>
        </w:rPr>
        <w:t>8:</w:t>
      </w:r>
    </w:p>
    <w:p w14:paraId="12804174" w14:textId="77777777" w:rsidR="001F7D6D" w:rsidRDefault="001F7D6D" w:rsidP="008F12C9">
      <w:pPr>
        <w:pStyle w:val="PlainText"/>
      </w:pPr>
      <w:r>
        <w:t>Line 429: delete “</w:t>
      </w:r>
      <w:proofErr w:type="gramStart"/>
      <w:r>
        <w:t>based”</w:t>
      </w:r>
      <w:proofErr w:type="gramEnd"/>
    </w:p>
    <w:p w14:paraId="2782A690" w14:textId="34096EE2" w:rsidR="00EE38E4" w:rsidRDefault="00EE38E4" w:rsidP="008F12C9">
      <w:pPr>
        <w:spacing w:after="0"/>
        <w:rPr>
          <w:b/>
          <w:bCs/>
        </w:rPr>
      </w:pPr>
      <w:r w:rsidRPr="00392B6E">
        <w:rPr>
          <w:b/>
          <w:bCs/>
        </w:rPr>
        <w:t>Response</w:t>
      </w:r>
      <w:r>
        <w:rPr>
          <w:b/>
          <w:bCs/>
        </w:rPr>
        <w:t xml:space="preserve"> #</w:t>
      </w:r>
      <w:r>
        <w:rPr>
          <w:b/>
          <w:bCs/>
        </w:rPr>
        <w:t>8</w:t>
      </w:r>
      <w:r w:rsidRPr="00392B6E">
        <w:rPr>
          <w:b/>
          <w:bCs/>
        </w:rPr>
        <w:t>:</w:t>
      </w:r>
    </w:p>
    <w:p w14:paraId="68EF97AF" w14:textId="46CC4EEC" w:rsidR="00E07116" w:rsidRPr="00E07116" w:rsidRDefault="00E07116" w:rsidP="008F12C9">
      <w:pPr>
        <w:spacing w:after="0"/>
        <w:rPr>
          <w:color w:val="002060"/>
        </w:rPr>
      </w:pPr>
      <w:r w:rsidRPr="00E07116">
        <w:rPr>
          <w:color w:val="002060"/>
        </w:rPr>
        <w:t>The repeated “based” has been deleted. The line now reads:</w:t>
      </w:r>
      <w:r w:rsidRPr="00E07116">
        <w:rPr>
          <w:color w:val="002060"/>
        </w:rPr>
        <w:br/>
        <w:t>“</w:t>
      </w:r>
      <w:r w:rsidRPr="00E07116">
        <w:rPr>
          <w:color w:val="002060"/>
        </w:rPr>
        <w:t>Both these ordination methods provide an alternative to traditional distance-based ordination methods which we have shown to be misleading by failing to account for mean-variance relations.</w:t>
      </w:r>
      <w:r w:rsidRPr="00E07116">
        <w:rPr>
          <w:color w:val="002060"/>
        </w:rPr>
        <w:t>”</w:t>
      </w:r>
    </w:p>
    <w:p w14:paraId="38053F70" w14:textId="77777777" w:rsidR="008F12C9" w:rsidRDefault="008F12C9" w:rsidP="008F12C9">
      <w:pPr>
        <w:pStyle w:val="PlainText"/>
        <w:rPr>
          <w:b/>
          <w:bCs/>
        </w:rPr>
      </w:pPr>
    </w:p>
    <w:p w14:paraId="352864FC" w14:textId="77777777" w:rsidR="008F12C9" w:rsidRDefault="008F12C9">
      <w:pPr>
        <w:rPr>
          <w:rFonts w:ascii="Calibri" w:hAnsi="Calibri" w:cs="Angsana New"/>
          <w:b/>
          <w:bCs/>
          <w:szCs w:val="26"/>
        </w:rPr>
      </w:pPr>
      <w:r>
        <w:rPr>
          <w:b/>
          <w:bCs/>
        </w:rPr>
        <w:br w:type="page"/>
      </w:r>
    </w:p>
    <w:p w14:paraId="421CF5E0" w14:textId="3C5F756B" w:rsidR="001F7D6D" w:rsidRDefault="001F7D6D" w:rsidP="008F12C9">
      <w:pPr>
        <w:pStyle w:val="PlainText"/>
        <w:rPr>
          <w:b/>
          <w:bCs/>
        </w:rPr>
      </w:pPr>
      <w:r w:rsidRPr="0037481C">
        <w:rPr>
          <w:b/>
          <w:bCs/>
        </w:rPr>
        <w:lastRenderedPageBreak/>
        <w:t>Comment #</w:t>
      </w:r>
      <w:r>
        <w:rPr>
          <w:b/>
          <w:bCs/>
        </w:rPr>
        <w:t>9</w:t>
      </w:r>
      <w:r>
        <w:rPr>
          <w:b/>
          <w:bCs/>
        </w:rPr>
        <w:t>:</w:t>
      </w:r>
    </w:p>
    <w:p w14:paraId="522F6E66" w14:textId="77777777" w:rsidR="001F7D6D" w:rsidRDefault="001F7D6D" w:rsidP="008F12C9">
      <w:pPr>
        <w:pStyle w:val="PlainText"/>
      </w:pPr>
      <w:r>
        <w:t>Figure 1: Indicate Y-axis title.</w:t>
      </w:r>
    </w:p>
    <w:p w14:paraId="74F84586" w14:textId="43120397" w:rsidR="001F7D6D" w:rsidRDefault="001F7D6D" w:rsidP="008F12C9">
      <w:pPr>
        <w:spacing w:after="0"/>
        <w:rPr>
          <w:b/>
          <w:bCs/>
        </w:rPr>
      </w:pPr>
      <w:r w:rsidRPr="00392B6E">
        <w:rPr>
          <w:b/>
          <w:bCs/>
        </w:rPr>
        <w:t>Response</w:t>
      </w:r>
      <w:r>
        <w:rPr>
          <w:b/>
          <w:bCs/>
        </w:rPr>
        <w:t xml:space="preserve"> #</w:t>
      </w:r>
      <w:r>
        <w:rPr>
          <w:b/>
          <w:bCs/>
        </w:rPr>
        <w:t>9</w:t>
      </w:r>
      <w:r w:rsidRPr="00392B6E">
        <w:rPr>
          <w:b/>
          <w:bCs/>
        </w:rPr>
        <w:t>:</w:t>
      </w:r>
    </w:p>
    <w:p w14:paraId="78059615" w14:textId="69B6EC97" w:rsidR="00EE38E4" w:rsidRPr="0037481C" w:rsidRDefault="00E07116" w:rsidP="008F12C9">
      <w:pPr>
        <w:spacing w:after="0"/>
        <w:rPr>
          <w:b/>
          <w:bCs/>
        </w:rPr>
      </w:pPr>
      <w:r w:rsidRPr="008F12C9">
        <w:rPr>
          <w:color w:val="002060"/>
        </w:rPr>
        <w:t>The y-axis title has been added. The plot now looks like this:</w:t>
      </w:r>
      <w:r>
        <w:br/>
      </w:r>
    </w:p>
    <w:p w14:paraId="07E5F53D" w14:textId="14F14E6C" w:rsidR="00EE38E4" w:rsidRPr="00EE38E4" w:rsidRDefault="00E07116" w:rsidP="008F12C9">
      <w:pPr>
        <w:spacing w:after="0"/>
        <w:rPr>
          <w:color w:val="002060"/>
        </w:rPr>
      </w:pPr>
      <w:r>
        <w:rPr>
          <w:noProof/>
        </w:rPr>
        <w:drawing>
          <wp:inline distT="0" distB="0" distL="0" distR="0" wp14:anchorId="299128F2" wp14:editId="0923F409">
            <wp:extent cx="5731510" cy="2274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sectPr w:rsidR="00EE38E4" w:rsidRPr="00EE3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8E4"/>
    <w:rsid w:val="001D783F"/>
    <w:rsid w:val="001F7D6D"/>
    <w:rsid w:val="007A5ED5"/>
    <w:rsid w:val="008F12C9"/>
    <w:rsid w:val="00CD400A"/>
    <w:rsid w:val="00DA0778"/>
    <w:rsid w:val="00E07116"/>
    <w:rsid w:val="00EE38E4"/>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697C"/>
  <w15:chartTrackingRefBased/>
  <w15:docId w15:val="{906FBF25-9E49-4152-9FB6-BFE34855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AU"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8E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EE38E4"/>
    <w:pPr>
      <w:spacing w:after="0" w:line="240" w:lineRule="auto"/>
    </w:pPr>
    <w:rPr>
      <w:rFonts w:ascii="Calibri" w:hAnsi="Calibri" w:cs="Angsana New"/>
      <w:szCs w:val="26"/>
    </w:rPr>
  </w:style>
  <w:style w:type="character" w:customStyle="1" w:styleId="PlainTextChar">
    <w:name w:val="Plain Text Char"/>
    <w:basedOn w:val="DefaultParagraphFont"/>
    <w:link w:val="PlainText"/>
    <w:uiPriority w:val="99"/>
    <w:semiHidden/>
    <w:rsid w:val="00EE38E4"/>
    <w:rPr>
      <w:rFonts w:ascii="Calibri" w:hAnsi="Calibri" w:cs="Angsana New"/>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810792">
      <w:bodyDiv w:val="1"/>
      <w:marLeft w:val="0"/>
      <w:marRight w:val="0"/>
      <w:marTop w:val="0"/>
      <w:marBottom w:val="0"/>
      <w:divBdr>
        <w:top w:val="none" w:sz="0" w:space="0" w:color="auto"/>
        <w:left w:val="none" w:sz="0" w:space="0" w:color="auto"/>
        <w:bottom w:val="none" w:sz="0" w:space="0" w:color="auto"/>
        <w:right w:val="none" w:sz="0" w:space="0" w:color="auto"/>
      </w:divBdr>
    </w:div>
    <w:div w:id="671493654">
      <w:bodyDiv w:val="1"/>
      <w:marLeft w:val="0"/>
      <w:marRight w:val="0"/>
      <w:marTop w:val="0"/>
      <w:marBottom w:val="0"/>
      <w:divBdr>
        <w:top w:val="none" w:sz="0" w:space="0" w:color="auto"/>
        <w:left w:val="none" w:sz="0" w:space="0" w:color="auto"/>
        <w:bottom w:val="none" w:sz="0" w:space="0" w:color="auto"/>
        <w:right w:val="none" w:sz="0" w:space="0" w:color="auto"/>
      </w:divBdr>
    </w:div>
    <w:div w:id="126376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2761</Words>
  <Characters>15740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Schilling</dc:creator>
  <cp:keywords/>
  <dc:description/>
  <cp:lastModifiedBy>Hayden Schilling</cp:lastModifiedBy>
  <cp:revision>2</cp:revision>
  <dcterms:created xsi:type="dcterms:W3CDTF">2021-03-18T22:25:00Z</dcterms:created>
  <dcterms:modified xsi:type="dcterms:W3CDTF">2021-03-18T23:27:00Z</dcterms:modified>
</cp:coreProperties>
</file>