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9999c82619c849ed" /><Relationship Type="http://schemas.openxmlformats.org/package/2006/relationships/metadata/core-properties" Target="/docProps/core.xml" Id="R9c88a903013a4b86" /><Relationship Type="http://schemas.openxmlformats.org/officeDocument/2006/relationships/extended-properties" Target="/docProps/app.xml" Id="R2eea933d26d34d14" /><Relationship Type="http://schemas.openxmlformats.org/officeDocument/2006/relationships/custom-properties" Target="/docProps/custom.xml" Id="Rb9050aefd9b14893"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before="1440" w:after="240"/>
        <w:jc w:val="center"/>
      </w:pPr>
      <w:r>
        <w:rPr>
          <w:b/>
          <w:color w:val="1B4F72"/>
          <w:sz w:val="56"/>
        </w:rPr>
        <w:t xml:space="preserve">FII AI / MKZ Factory Monitor</w:t>
      </w:r>
    </w:p>
    <w:p w14:paraId="00100002" w14:textId="00100003">
      <w:pPr>
        <w:pStyle w:val="Subtitle"/>
        <w:spacing w:after="480"/>
        <w:jc w:val="center"/>
      </w:pPr>
      <w:r>
        <w:rPr>
          <w:color w:val="2E86AB"/>
          <w:sz w:val="36"/>
        </w:rPr>
        <w:t xml:space="preserve">Project Report</w:t>
      </w:r>
    </w:p>
    <w:p w14:paraId="00100004" w14:textId="00100005">
      <w:pPr>
        <w:spacing w:after="160"/>
        <w:jc w:val="center"/>
      </w:pPr>
      <w:r>
        <w:rPr>
          <w:color w:val="555555"/>
          <w:sz w:val="24"/>
        </w:rPr>
        <w:t xml:space="preserve">On-premises industrial monitoring platform</w:t>
      </w:r>
    </w:p>
    <w:p w14:paraId="00100006" w14:textId="00100007">
      <w:pPr>
        <w:spacing w:after="480"/>
        <w:jc w:val="center"/>
      </w:pPr>
      <w:r>
        <w:rPr>
          <w:color w:val="555555"/>
          <w:sz w:val="22"/>
        </w:rPr>
        <w:t xml:space="preserve">Evidence-led technical brief for engineers, operators, reviewers, and stakeholders</w:t>
      </w:r>
    </w:p>
    <w:p w14:paraId="00100008" w14:textId="00100009">
      <w:pPr>
        <w:spacing w:after="80"/>
        <w:jc w:val="center"/>
      </w:pPr>
      <w:r>
        <w:rPr>
          <w:sz w:val="22"/>
        </w:rPr>
        <w:t xml:space="preserve">Document date: 5 August 2026</w:t>
      </w:r>
    </w:p>
    <w:p w14:paraId="0010000A" w14:textId="0010000B">
      <w:pPr>
        <w:spacing w:after="80"/>
        <w:jc w:val="center"/>
      </w:pPr>
      <w:r>
        <w:rPr>
          <w:sz w:val="22"/>
        </w:rPr>
        <w:t xml:space="preserve">Scope: FII AI / MKZ Factory Monitor repository</w:t>
      </w:r>
    </w:p>
    <w:p w14:paraId="0010000C" w14:textId="0010000D">
      <w:pPr>
        <w:spacing w:after="720"/>
        <w:jc w:val="center"/>
      </w:pPr>
      <w:r>
        <w:rPr>
          <w:b/>
          <w:color w:val="922B21"/>
          <w:sz w:val="22"/>
        </w:rPr>
        <w:t xml:space="preserve">Release posture: Staging candidate — NO-GO for production</w:t>
      </w:r>
    </w:p>
    <w:p w14:paraId="0010000E" w14:textId="0010000F">
      <w:pPr>
        <w:pageBreakBefore/>
        <w:spacing w:after="240"/>
        <w:jc w:val="center"/>
      </w:pPr>
      <w:r>
        <w:rPr>
          <w:color w:val="666666"/>
          <w:sz w:val="20"/>
        </w:rPr>
        <w:t xml:space="preserve">Primary sources: PROJECT_PLAN.md, README, source code, contracts, infrastructure runbooks, and docs/release-evidence/ through August 2026.</w:t>
      </w:r>
    </w:p>
    <w:p w14:paraId="00100010" w14:textId="00100011">
      <w:pPr>
        <w:pStyle w:val="Heading1"/>
        <w:spacing w:before="240" w:after="240"/>
      </w:pPr>
      <w:r>
        <w:rPr>
          <w:b/>
          <w:color w:val="1B4F72"/>
          <w:sz w:val="40"/>
        </w:rPr>
        <w:t xml:space="preserve">Contents</w:t>
      </w:r>
    </w:p>
    <w:p w14:paraId="00100168" w14:textId="00100169">
      <w:r>
        <w:fldChar w:fldCharType="begin"/>
      </w:r>
      <w:r>
        <w:instrText xml:space="preserve"> TOC \o "1-2" \h \u </w:instrText>
      </w:r>
      <w:r>
        <w:fldChar w:fldCharType="separate"/>
      </w:r>
      <w:r>
        <w:t xml:space="preserve">Update field to see table of contents</w:t>
      </w:r>
      <w:r>
        <w:fldChar w:fldCharType="end"/>
      </w:r>
    </w:p>
    <w:p w14:paraId="00100012" w14:textId="00100013">
      <w:pPr>
        <w:pStyle w:val="Heading1"/>
        <w:pageBreakBefore/>
        <w:spacing w:before="360" w:after="200"/>
      </w:pPr>
      <w:r>
        <w:rPr>
          <w:b/>
          <w:color w:val="1B4F72"/>
          <w:sz w:val="40"/>
        </w:rPr>
        <w:t xml:space="preserve">1. Executive summary</w:t>
      </w:r>
    </w:p>
    <w:p w14:paraId="00100014" w14:textId="00100015">
      <w:pPr>
        <w:pStyle w:val="Normal"/>
        <w:spacing w:after="160"/>
      </w:pPr>
      <w:r>
        <w:rPr>
          <w:sz w:val="22"/>
        </w:rPr>
        <w:t xml:space="preserve">FII AI, also called Foxconn AI Solution or MKZ Factory Monitor, is an on-premises industrial monitoring platform. Its primary path reads PLC signals through a Windows edge client, transports telemetry over MQTT, stores operational truth in PostgreSQL, optionally mirrors time-series data into TimescaleDB, evaluates events and alarms, and presents results through a React Operations UI.</w:t>
      </w:r>
    </w:p>
    <w:p w14:paraId="00100016" w14:textId="00100017">
      <w:pPr>
        <w:pStyle w:val="Normal"/>
        <w:spacing w:after="160"/>
      </w:pPr>
      <w:r>
        <w:rPr>
          <w:sz w:val="22"/>
        </w:rPr>
        <w:t xml:space="preserve">The repository is broader than a single application. It contains the Operations product, the ClientPLC edge application, shared contracts, a Fusion Adapter, infrastructure runbooks, a Factory AI microservice plane, an Open Data Fusion product workspace, and an upstream ODF submodule. Odysseus is included only as an optional AI/RAG bridge and is explicitly outside the core FII scope.</w:t>
      </w:r>
    </w:p>
    <w:p w14:paraId="00100018" w14:textId="00100019">
      <w:pPr>
        <w:pStyle w:val="Normal"/>
        <w:spacing w:after="240"/>
      </w:pPr>
      <w:r>
        <w:rPr>
          <w:sz w:val="22"/>
        </w:rPr>
        <w:t xml:space="preserve">Release posture. The current source-of-truth decision remains NO-GO for production. The repository is a staging candidate: local builds, tests, demos, and integration rehearsals are useful evidence, but they do not replace managed staging, security, recovery, retention, and independent review gates.</w:t>
      </w:r>
    </w:p>
    <w:p w14:paraId="0010001A" w14:textId="0010001B">
      <w:pPr>
        <w:pStyle w:val="Heading2"/>
        <w:spacing w:before="280" w:after="160"/>
      </w:pPr>
      <w:r>
        <w:rPr>
          <w:b/>
          <w:color w:val="2E86AB"/>
          <w:sz w:val="28"/>
        </w:rPr>
        <w:t xml:space="preserve">1.1 At a glance</w:t>
      </w:r>
    </w:p>
    <w:p w14:paraId="0010001C" w14:textId="0010001D">
      <w:pPr>
        <w:pStyle w:val="Normal"/>
        <w:spacing w:after="240"/>
      </w:pPr>
      <w:r>
        <w:rPr>
          <w:sz w:val="22"/>
        </w:rPr>
        <w:t xml:space="preserve">The system is deliberately separated: a resilient operations path, controlled secondary delivery to Open Data Fusion, and optional intelligence services. A secondary outage must not stop local telemetry collection or corrupt the primary operations path.</w:t>
      </w:r>
    </w:p>
    <w:p w14:paraId="0010001E" w14:textId="0010001F">
      <w:pPr>
        <w:pStyle w:val="Heading2"/>
        <w:spacing w:before="280" w:after="160"/>
      </w:pPr>
      <w:r>
        <w:rPr>
          <w:b/>
          <w:color w:val="2E86AB"/>
          <w:sz w:val="28"/>
        </w:rPr>
        <w:t xml:space="preserve">1.2 Purpose of this report</w:t>
      </w:r>
    </w:p>
    <w:p w14:paraId="00100020" w14:textId="00100021">
      <w:pPr>
        <w:pStyle w:val="Normal"/>
        <w:spacing w:after="240"/>
      </w:pPr>
      <w:r>
        <w:rPr>
          <w:sz w:val="22"/>
        </w:rPr>
        <w:t xml:space="preserve">This report translates the current repository into an English, evidence-led project brief. It covers capabilities, architecture, technology choices, configuration boundaries, validation, and release conditions. Historical phase reports are context only; PROJECT_PLAN.md and docs/release-evidence/ remain the status authority.</w:t>
      </w:r>
    </w:p>
    <w:p w14:paraId="00100022" w14:textId="00100023">
      <w:pPr>
        <w:pStyle w:val="Heading1"/>
        <w:pageBreakBefore/>
        <w:spacing w:before="360" w:after="200"/>
      </w:pPr>
      <w:r>
        <w:rPr>
          <w:b/>
          <w:color w:val="1B4F72"/>
          <w:sz w:val="40"/>
        </w:rPr>
        <w:t xml:space="preserve">2. Scope and architecture</w:t>
      </w:r>
    </w:p>
    <w:p w14:paraId="00100024" w14:textId="00100025">
      <w:pPr>
        <w:pStyle w:val="Heading2"/>
        <w:spacing w:before="240" w:after="160"/>
      </w:pPr>
      <w:r>
        <w:rPr>
          <w:b/>
          <w:color w:val="2E86AB"/>
          <w:sz w:val="28"/>
        </w:rPr>
        <w:t xml:space="preserve">2.1 Repository inventory</w:t>
      </w:r>
    </w:p>
    <w:p w14:paraId="00100026" w14:textId="00100027">
      <w:pPr>
        <w:pStyle w:val="Normal"/>
        <w:spacing w:after="160"/>
      </w:pPr>
      <w:r>
        <w:rPr>
          <w:sz w:val="22"/>
        </w:rPr>
        <w:t xml:space="preserve">The table below lists major directories and their operational role.</w:t>
      </w:r>
    </w:p>
    <w:tbl>
      <w:tblPr>
        <w:tblW w:w="8304" w:type="dxa"/>
        <w:tblBorders>
          <w:top w:val="single" w:sz="4"/>
          <w:left w:val="single" w:sz="4"/>
          <w:bottom w:val="single" w:sz="4"/>
          <w:right w:val="single" w:sz="4"/>
          <w:insideH w:val="single" w:sz="4"/>
          <w:insideV w:val="single" w:sz="4"/>
        </w:tblBorders>
      </w:tblPr>
      <w:tblGrid>
        <w:gridCol w:w="2768"/>
        <w:gridCol w:w="2768"/>
        <w:gridCol w:w="2768"/>
      </w:tblGrid>
      <w:tr>
        <w:trPr>
          <w:tblHeader/>
        </w:trPr>
        <w:tc>
          <w:tcPr>
            <w:shd w:val="clear" w:fill="1B4F72"/>
          </w:tcPr>
          <w:p w14:paraId="00100028" w14:textId="00100029">
            <w:r>
              <w:rPr>
                <w:b/>
                <w:color w:val="FFFFFF"/>
              </w:rPr>
              <w:t xml:space="preserve">Directory</w:t>
            </w:r>
          </w:p>
        </w:tc>
        <w:tc>
          <w:tcPr>
            <w:shd w:val="clear" w:fill="1B4F72"/>
          </w:tcPr>
          <w:p w14:paraId="0010002A" w14:textId="0010002B">
            <w:r>
              <w:rPr>
                <w:b/>
                <w:color w:val="FFFFFF"/>
              </w:rPr>
              <w:t xml:space="preserve">Role</w:t>
            </w:r>
          </w:p>
        </w:tc>
        <w:tc>
          <w:tcPr>
            <w:shd w:val="clear" w:fill="1B4F72"/>
          </w:tcPr>
          <w:p w14:paraId="0010002C" w14:textId="0010002D">
            <w:r>
              <w:rPr>
                <w:b/>
                <w:color w:val="FFFFFF"/>
              </w:rPr>
              <w:t xml:space="preserve">Notes</w:t>
            </w:r>
          </w:p>
        </w:tc>
      </w:tr>
      <w:tr>
        <w:trPr/>
        <w:tc>
          <w:p w14:paraId="0010002E" w14:textId="0010002F">
            <w:r>
              <w:t xml:space="preserve">backend/</w:t>
            </w:r>
          </w:p>
        </w:tc>
        <w:tc>
          <w:p w14:paraId="00100030" w14:textId="00100031">
            <w:r>
              <w:t xml:space="preserve">Operations API, MQTT, CEP, health, prediction</w:t>
            </w:r>
          </w:p>
        </w:tc>
        <w:tc>
          <w:p w14:paraId="00100032" w14:textId="00100033">
            <w:r>
              <w:t xml:space="preserve">Central operational data path</w:t>
            </w:r>
          </w:p>
        </w:tc>
      </w:tr>
      <w:tr>
        <w:trPr/>
        <w:tc>
          <w:p w14:paraId="00100034" w14:textId="00100035">
            <w:r>
              <w:t xml:space="preserve">frontend/</w:t>
            </w:r>
          </w:p>
        </w:tc>
        <w:tc>
          <w:p w14:paraId="00100036" w14:textId="00100037">
            <w:r>
              <w:t xml:space="preserve">React + Vite Operations UI</w:t>
            </w:r>
          </w:p>
        </w:tc>
        <w:tc>
          <w:p w14:paraId="00100038" w14:textId="00100039">
            <w:r>
              <w:t xml:space="preserve">Dashboard, lines, machines, alarms, reports</w:t>
            </w:r>
          </w:p>
        </w:tc>
      </w:tr>
      <w:tr>
        <w:trPr/>
        <w:tc>
          <w:p w14:paraId="0010003A" w14:textId="0010003B">
            <w:r>
              <w:t xml:space="preserve">ClientPLC/</w:t>
            </w:r>
          </w:p>
        </w:tc>
        <w:tc>
          <w:p w14:paraId="0010003C" w14:textId="0010003D">
            <w:r>
              <w:t xml:space="preserve">WPF desktop edge client</w:t>
            </w:r>
          </w:p>
        </w:tc>
        <w:tc>
          <w:p w14:paraId="0010003E" w14:textId="0010003F">
            <w:r>
              <w:t xml:space="preserve">PLC read, local store, MQTT publish</w:t>
            </w:r>
          </w:p>
        </w:tc>
      </w:tr>
      <w:tr>
        <w:trPr/>
        <w:tc>
          <w:p w14:paraId="00100040" w14:textId="00100041">
            <w:r>
              <w:t xml:space="preserve">fusion-contracts/ + contracts/v1/</w:t>
            </w:r>
          </w:p>
        </w:tc>
        <w:tc>
          <w:p w14:paraId="00100042" w14:textId="00100043">
            <w:r>
              <w:t xml:space="preserve">Shared C# and JSON Schema contracts</w:t>
            </w:r>
          </w:p>
        </w:tc>
        <w:tc>
          <w:p w14:paraId="00100044" w14:textId="00100045">
            <w:r>
              <w:t xml:space="preserve">Asset, telemetry, event, API v1</w:t>
            </w:r>
          </w:p>
        </w:tc>
      </w:tr>
      <w:tr>
        <w:trPr/>
        <w:tc>
          <w:p w14:paraId="00100046" w14:textId="00100047">
            <w:r>
              <w:t xml:space="preserve">fusion-adapter/</w:t>
            </w:r>
          </w:p>
        </w:tc>
        <w:tc>
          <w:p w14:paraId="00100048" w14:textId="00100049">
            <w:r>
              <w:t xml:space="preserve">Outbox delivery worker to ODF</w:t>
            </w:r>
          </w:p>
        </w:tc>
        <w:tc>
          <w:p w14:paraId="0010004A" w14:textId="0010004B">
            <w:r>
              <w:t xml:space="preserve">Lease, retry, dead-letter, metrics</w:t>
            </w:r>
          </w:p>
        </w:tc>
      </w:tr>
      <w:tr>
        <w:trPr/>
        <w:tc>
          <w:p w14:paraId="0010004C" w14:textId="0010004D">
            <w:r>
              <w:t xml:space="preserve">infrastructure/</w:t>
            </w:r>
          </w:p>
        </w:tc>
        <w:tc>
          <w:p w14:paraId="0010004E" w14:textId="0010004F">
            <w:r>
              <w:t xml:space="preserve">Compose, SQL migrations, runbooks</w:t>
            </w:r>
          </w:p>
        </w:tc>
        <w:tc>
          <w:p w14:paraId="00100050" w14:textId="00100051">
            <w:r>
              <w:t xml:space="preserve">Timescale, ODF preview, demo, staging</w:t>
            </w:r>
          </w:p>
        </w:tc>
      </w:tr>
      <w:tr>
        <w:trPr/>
        <w:tc>
          <w:p w14:paraId="00100052" w14:textId="00100053">
            <w:r>
              <w:t xml:space="preserve">factory-ai-platform/</w:t>
            </w:r>
          </w:p>
        </w:tc>
        <w:tc>
          <w:p w14:paraId="00100054" w14:textId="00100055">
            <w:r>
              <w:t xml:space="preserve">AI Agent Gateway and data services</w:t>
            </w:r>
          </w:p>
        </w:tc>
        <w:tc>
          <w:p w14:paraId="00100056" w14:textId="00100057">
            <w:r>
              <w:t xml:space="preserve">Additive intelligence plane</w:t>
            </w:r>
          </w:p>
        </w:tc>
      </w:tr>
      <w:tr>
        <w:trPr/>
        <w:tc>
          <w:p w14:paraId="00100058" w14:textId="00100059">
            <w:r>
              <w:t xml:space="preserve">Open-Data-Fusion/</w:t>
            </w:r>
          </w:p>
        </w:tc>
        <w:tc>
          <w:p w14:paraId="0010005A" w14:textId="0010005B">
            <w:r>
              <w:t xml:space="preserve">Data fusion product workspace</w:t>
            </w:r>
          </w:p>
        </w:tc>
        <w:tc>
          <w:p w14:paraId="0010005C" w14:textId="0010005D">
            <w:r>
              <w:t xml:space="preserve">Explorer, Canvas, governance, OIDC</w:t>
            </w:r>
          </w:p>
        </w:tc>
      </w:tr>
      <w:tr>
        <w:trPr/>
        <w:tc>
          <w:p w14:paraId="0010005E" w14:textId="0010005F">
            <w:r>
              <w:t xml:space="preserve">third_party/open-data-fusion/</w:t>
            </w:r>
          </w:p>
        </w:tc>
        <w:tc>
          <w:p w14:paraId="00100060" w14:textId="00100061">
            <w:r>
              <w:t xml:space="preserve">Upstream ODF git submodule</w:t>
            </w:r>
          </w:p>
        </w:tc>
        <w:tc>
          <w:p w14:paraId="00100062" w14:textId="00100063">
            <w:r>
              <w:t xml:space="preserve">Pinned for preview; do not fork for MKZ secrets</w:t>
            </w:r>
          </w:p>
        </w:tc>
      </w:tr>
      <w:tr>
        <w:trPr/>
        <w:tc>
          <w:p w14:paraId="00100064" w14:textId="00100065">
            <w:r>
              <w:t xml:space="preserve">Odysseus/</w:t>
            </w:r>
          </w:p>
        </w:tc>
        <w:tc>
          <w:p w14:paraId="00100066" w14:textId="00100067">
            <w:r>
              <w:t xml:space="preserve">Optional third-party AI workspace</w:t>
            </w:r>
          </w:p>
        </w:tc>
        <w:tc>
          <w:p w14:paraId="00100068" w14:textId="00100069">
            <w:r>
              <w:t xml:space="preserve">Outside core FII scope</w:t>
            </w:r>
          </w:p>
        </w:tc>
      </w:tr>
    </w:tbl>
    <w:p w14:paraId="0010006A" w14:textId="0010006B">
      <w:pPr>
        <w:pStyle w:val="Heading2"/>
        <w:spacing w:before="280" w:after="160"/>
      </w:pPr>
      <w:r>
        <w:rPr>
          <w:b/>
          <w:color w:val="2E86AB"/>
          <w:sz w:val="28"/>
        </w:rPr>
        <w:t xml:space="preserve">2.2 End-to-end data path</w:t>
      </w:r>
    </w:p>
    <w:p w14:paraId="0010006C" w14:textId="0010006D">
      <w:pPr>
        <w:pStyle w:val="Normal"/>
        <w:spacing w:after="80"/>
      </w:pPr>
      <w:r>
        <w:rPr>
          <w:sz w:val="22"/>
        </w:rPr>
        <w:t xml:space="preserve">1. ClientPLC polls PLC tags, normalizes machine state, and stores local SQLite history with offline queue support.</w:t>
      </w:r>
    </w:p>
    <w:p w14:paraId="0010006E" w14:textId="0010006F">
      <w:pPr>
        <w:pStyle w:val="Normal"/>
        <w:spacing w:after="80"/>
      </w:pPr>
      <w:r>
        <w:rPr>
          <w:sz w:val="22"/>
        </w:rPr>
        <w:t xml:space="preserve">2. Telemetry is sent over MQTT (optionally TLS) into the backend MQTT broker.</w:t>
      </w:r>
    </w:p>
    <w:p w14:paraId="00100070" w14:textId="00100071">
      <w:pPr>
        <w:pStyle w:val="Normal"/>
        <w:spacing w:after="80"/>
      </w:pPr>
      <w:r>
        <w:rPr>
          <w:sz w:val="22"/>
        </w:rPr>
        <w:t xml:space="preserve">3. TelemetryIngestionService validates, normalizes, and writes to PostgreSQL Operations.</w:t>
      </w:r>
    </w:p>
    <w:p w14:paraId="00100072" w14:textId="00100073">
      <w:pPr>
        <w:pStyle w:val="Normal"/>
        <w:spacing w:after="80"/>
      </w:pPr>
      <w:r>
        <w:rPr>
          <w:sz w:val="22"/>
        </w:rPr>
        <w:t xml:space="preserve">4. Optional dual-write mirrors records into TimescaleDB after the source transaction.</w:t>
      </w:r>
    </w:p>
    <w:p w14:paraId="00100074" w14:textId="00100075">
      <w:pPr>
        <w:pStyle w:val="Normal"/>
        <w:spacing w:after="80"/>
      </w:pPr>
      <w:r>
        <w:rPr>
          <w:sz w:val="22"/>
        </w:rPr>
        <w:t xml:space="preserve">5. EventRuleEngine / CEP evaluates thresholds and creates durable events and alerts.</w:t>
      </w:r>
    </w:p>
    <w:p w14:paraId="00100076" w14:textId="00100077">
      <w:pPr>
        <w:pStyle w:val="Normal"/>
        <w:spacing w:after="80"/>
      </w:pPr>
      <w:r>
        <w:rPr>
          <w:sz w:val="22"/>
        </w:rPr>
        <w:t xml:space="preserve">6. Health scoring and batch prediction jobs compute health bands and failure risk.</w:t>
      </w:r>
    </w:p>
    <w:p w14:paraId="00100078" w14:textId="00100079">
      <w:pPr>
        <w:pStyle w:val="Normal"/>
        <w:spacing w:after="80"/>
      </w:pPr>
      <w:r>
        <w:rPr>
          <w:sz w:val="22"/>
        </w:rPr>
        <w:t xml:space="preserve">7. The React Operations UI serves dashboards, lines, machines, alarms, and reports over REST and SignalR.</w:t>
      </w:r>
    </w:p>
    <w:p w14:paraId="0010007A" w14:textId="0010007B">
      <w:pPr>
        <w:pStyle w:val="Normal"/>
        <w:spacing w:after="240"/>
      </w:pPr>
      <w:r>
        <w:rPr>
          <w:sz w:val="22"/>
        </w:rPr>
        <w:t xml:space="preserve">8. If capture is enabled, fusion_outbox records intents; Fusion Adapter delivers ODF bundles out-of-band with lease, retry, and dead-letter controls.</w:t>
      </w:r>
    </w:p>
    <w:p w14:paraId="0010007C" w14:textId="0010007D">
      <w:pPr>
        <w:pStyle w:val="Heading2"/>
        <w:spacing w:before="280" w:after="160"/>
      </w:pPr>
      <w:r>
        <w:rPr>
          <w:b/>
          <w:color w:val="2E86AB"/>
          <w:sz w:val="28"/>
        </w:rPr>
        <w:t xml:space="preserve">2.3 Critical boundaries</w:t>
      </w:r>
    </w:p>
    <w:p w14:paraId="0010007E" w14:textId="0010007F">
      <w:pPr>
        <w:pStyle w:val="Normal"/>
        <w:spacing w:after="120"/>
      </w:pPr>
      <w:r>
        <w:rPr>
          <w:sz w:val="22"/>
        </w:rPr>
        <w:t xml:space="preserve">PLC/Operations boundary. ClientPLC and the backend must continue collect, store, and serve data even when ODF, RAG, or the AI plane are unavailable.</w:t>
      </w:r>
    </w:p>
    <w:p w14:paraId="00100080" w14:textId="00100081">
      <w:pPr>
        <w:pStyle w:val="Normal"/>
        <w:spacing w:after="120"/>
      </w:pPr>
      <w:r>
        <w:rPr>
          <w:sz w:val="22"/>
        </w:rPr>
        <w:t xml:space="preserve">Operations database. PostgreSQL is the operational source of truth; migrations live under backend/db/migrations/.</w:t>
      </w:r>
    </w:p>
    <w:p w14:paraId="00100082" w14:textId="00100083">
      <w:pPr>
        <w:pStyle w:val="Normal"/>
        <w:spacing w:after="120"/>
      </w:pPr>
      <w:r>
        <w:rPr>
          <w:sz w:val="22"/>
        </w:rPr>
        <w:t xml:space="preserve">Timescale target. infrastructure/timescaledb/ has an independent migration lineage. Migrating Operations does not migrate Timescale.</w:t>
      </w:r>
    </w:p>
    <w:p w14:paraId="00100084" w14:textId="00100085">
      <w:pPr>
        <w:pStyle w:val="Normal"/>
        <w:spacing w:after="120"/>
      </w:pPr>
      <w:r>
        <w:rPr>
          <w:sz w:val="22"/>
        </w:rPr>
        <w:t xml:space="preserve">Secondary delivery. Outbox records are written with business transactions; the adapter delivers idempotently and dead-letters after MaxAttempts.</w:t>
      </w:r>
    </w:p>
    <w:p w14:paraId="00100086" w14:textId="00100087">
      <w:pPr>
        <w:pStyle w:val="Normal"/>
        <w:spacing w:after="240"/>
      </w:pPr>
      <w:r>
        <w:rPr>
          <w:sz w:val="22"/>
        </w:rPr>
        <w:t xml:space="preserve">AI plane. Gateway, CEP, RAG, and report services are additive and must not sit on the MQTT hot path.</w:t>
      </w:r>
    </w:p>
    <w:p w14:paraId="00100088" w14:textId="00100089">
      <w:pPr>
        <w:pStyle w:val="Heading1"/>
        <w:pageBreakBefore/>
        <w:spacing w:before="360" w:after="200"/>
      </w:pPr>
      <w:r>
        <w:rPr>
          <w:b/>
          <w:color w:val="1B4F72"/>
          <w:sz w:val="40"/>
        </w:rPr>
        <w:t xml:space="preserve">3. Core capabilities</w:t>
      </w:r>
    </w:p>
    <w:p w14:paraId="0010008A" w14:textId="0010008B">
      <w:pPr>
        <w:pStyle w:val="Heading2"/>
        <w:spacing w:before="240" w:after="160"/>
      </w:pPr>
      <w:r>
        <w:rPr>
          <w:b/>
          <w:color w:val="2E86AB"/>
          <w:sz w:val="28"/>
        </w:rPr>
        <w:t xml:space="preserve">3.1 PLC acquisition and edge runtime</w:t>
      </w:r>
    </w:p>
    <w:p w14:paraId="0010008C" w14:textId="0010008D">
      <w:pPr>
        <w:pStyle w:val="Normal"/>
        <w:spacing w:after="240"/>
      </w:pPr>
      <w:r>
        <w:rPr>
          <w:sz w:val="22"/>
        </w:rPr>
        <w:t xml:space="preserve">ClientPLC connects to multiple PLC types through HslCommunication with dynamic driver profiles. It tracks heartbeat, CPU/RAM/uptime, and production metrics; normalizes machine states (RUNNING, IDLE, STOPPED, ERROR, OFFLINE); detects alarm edges; and queues offline when the network is unavailable. MQTT transport supports reconnect and application acknowledgement.</w:t>
      </w:r>
    </w:p>
    <w:p w14:paraId="0010008E" w14:textId="0010008F">
      <w:pPr>
        <w:pStyle w:val="Heading2"/>
        <w:spacing w:before="240" w:after="160"/>
      </w:pPr>
      <w:r>
        <w:rPr>
          <w:b/>
          <w:color w:val="2E86AB"/>
          <w:sz w:val="28"/>
        </w:rPr>
        <w:t xml:space="preserve">3.2 Operations backend</w:t>
      </w:r>
    </w:p>
    <w:p w14:paraId="00100090" w14:textId="00100091">
      <w:pPr>
        <w:pStyle w:val="Normal"/>
        <w:spacing w:after="240"/>
      </w:pPr>
      <w:r>
        <w:rPr>
          <w:sz w:val="22"/>
        </w:rPr>
        <w:t xml:space="preserve">The .NET 9 backend provides REST APIs, an MQTT server, SignalR hubs, database migrations, health checks, and background services for lines/machines, telemetry, alarms, users/SSO, ClientPLC sync, reports, simulation, health scoring, prediction, CEP staging, and transactional outbox. Controllers live under backend/Controllers/; core services are registered in backend/Program.cs.</w:t>
      </w:r>
    </w:p>
    <w:p w14:paraId="00100092" w14:textId="00100093">
      <w:pPr>
        <w:pStyle w:val="Heading2"/>
        <w:spacing w:before="240" w:after="160"/>
      </w:pPr>
      <w:r>
        <w:rPr>
          <w:b/>
          <w:color w:val="2E86AB"/>
          <w:sz w:val="28"/>
        </w:rPr>
        <w:t xml:space="preserve">3.3 Alerts, CEP, and product intelligence</w:t>
      </w:r>
    </w:p>
    <w:p w14:paraId="00100094" w14:textId="00100095">
      <w:pPr>
        <w:pStyle w:val="Normal"/>
        <w:spacing w:after="240"/>
      </w:pPr>
      <w:r>
        <w:rPr>
          <w:sz w:val="22"/>
        </w:rPr>
        <w:t xml:space="preserve">Threshold rules can raise THRESHOLD_BREACH, ALARM, STATUS_CHANGE, MAINTENANCE_DUE, and related events. Alerts follow open → acknowledge → resolve with history, deduplication, and suppression windows. Health scoring combines availability, alarm, performance, and operational signals. PredictiveService supplies anomaly/risk scores; some JSON rules are marked DEFERRED and must not be described as runtime-complete until implemented.</w:t>
      </w:r>
    </w:p>
    <w:p w14:paraId="00100096" w14:textId="00100097">
      <w:pPr>
        <w:pStyle w:val="Heading2"/>
        <w:spacing w:before="240" w:after="160"/>
      </w:pPr>
      <w:r>
        <w:rPr>
          <w:b/>
          <w:color w:val="2E86AB"/>
          <w:sz w:val="28"/>
        </w:rPr>
        <w:t xml:space="preserve">3.4 Operations UI</w:t>
      </w:r>
    </w:p>
    <w:p w14:paraId="00100098" w14:textId="00100099">
      <w:pPr>
        <w:pStyle w:val="Normal"/>
        <w:spacing w:after="240"/>
      </w:pPr>
      <w:r>
        <w:rPr>
          <w:sz w:val="22"/>
        </w:rPr>
        <w:t xml:space="preserve">The React SPA exposes dashboard, lines, machines, alarms, reports, production analysis, simulation, admin, and presentation slideshow flows. Roles are ADMIN (full administration), ENGINEER (operations configuration without full user/audit control), and GUEST (read-only monitoring). Frontend route guards aid navigation; backend policy remains the security boundary.</w:t>
      </w:r>
    </w:p>
    <w:p w14:paraId="0010009A" w14:textId="0010009B">
      <w:pPr>
        <w:pStyle w:val="Heading2"/>
        <w:spacing w:before="240" w:after="160"/>
      </w:pPr>
      <w:r>
        <w:rPr>
          <w:b/>
          <w:color w:val="2E86AB"/>
          <w:sz w:val="28"/>
        </w:rPr>
        <w:t xml:space="preserve">3.5 Open Data Fusion sync</w:t>
      </w:r>
    </w:p>
    <w:p w14:paraId="0010009C" w14:textId="0010009D">
      <w:pPr>
        <w:pStyle w:val="Normal"/>
        <w:spacing w:after="240"/>
      </w:pPr>
      <w:r>
        <w:rPr>
          <w:sz w:val="22"/>
        </w:rPr>
        <w:t xml:space="preserve">Two independent flags control secondary delivery: CaptureEnabled writes intents to fusion_outbox; DispatchEnabled allows Fusion Adapter to claim and deliver bundles. External IDs follow mkz:plant:*, mkz:line:*, mkz:machine:*, and mkz:ts:* conventions. Temporary failures retry; permanent or exhausted attempts enter dead state. Outbox rows are not deleted on rollback.</w:t>
      </w:r>
    </w:p>
    <w:p w14:paraId="0010009E" w14:textId="0010009F">
      <w:pPr>
        <w:pStyle w:val="Heading2"/>
        <w:spacing w:before="240" w:after="160"/>
      </w:pPr>
      <w:r>
        <w:rPr>
          <w:b/>
          <w:color w:val="2E86AB"/>
          <w:sz w:val="28"/>
        </w:rPr>
        <w:t xml:space="preserve">3.6 Factory AI platform</w:t>
      </w:r>
    </w:p>
    <w:p w14:paraId="001000A0" w14:textId="001000A1">
      <w:pPr>
        <w:pStyle w:val="Normal"/>
        <w:spacing w:after="240"/>
      </w:pPr>
      <w:r>
        <w:rPr>
          <w:sz w:val="22"/>
        </w:rPr>
        <w:t xml:space="preserve">factory-ai-platform/ provides an OpenAI-compatible Gateway, antigravity bridge, document RAG, report export, asset service, CEP/ML, and data-platform connectors. All URLs and keys must come from environment or secret manager. Compose topology and health checks are defined in factory-ai-platform/infrastructure/docker-compose.yml.</w:t>
      </w:r>
    </w:p>
    <w:p w14:paraId="001000A2" w14:textId="001000A3">
      <w:pPr>
        <w:pStyle w:val="Heading1"/>
        <w:pageBreakBefore/>
        <w:spacing w:before="360" w:after="200"/>
      </w:pPr>
      <w:r>
        <w:rPr>
          <w:b/>
          <w:color w:val="1B4F72"/>
          <w:sz w:val="40"/>
        </w:rPr>
        <w:t xml:space="preserve">4. Technology and contracts</w:t>
      </w:r>
    </w:p>
    <w:p w14:paraId="001000A4" w14:textId="001000A5">
      <w:pPr>
        <w:pStyle w:val="Heading2"/>
        <w:spacing w:before="240" w:after="160"/>
      </w:pPr>
      <w:r>
        <w:rPr>
          <w:b/>
          <w:color w:val="2E86AB"/>
          <w:sz w:val="28"/>
        </w:rPr>
        <w:t xml:space="preserve">4.1 Stack summary</w:t>
      </w:r>
    </w:p>
    <w:tbl>
      <w:tblPr>
        <w:tblW w:w="8306" w:type="dxa"/>
        <w:tblBorders>
          <w:top w:val="single" w:sz="4"/>
          <w:left w:val="single" w:sz="4"/>
          <w:bottom w:val="single" w:sz="4"/>
          <w:right w:val="single" w:sz="4"/>
          <w:insideH w:val="single" w:sz="4"/>
          <w:insideV w:val="single" w:sz="4"/>
        </w:tblBorders>
      </w:tblPr>
      <w:tblGrid>
        <w:gridCol w:w="4153"/>
        <w:gridCol w:w="4153"/>
      </w:tblGrid>
      <w:tr>
        <w:trPr>
          <w:tblHeader/>
        </w:trPr>
        <w:tc>
          <w:tcPr>
            <w:shd w:val="clear" w:fill="1B4F72"/>
          </w:tcPr>
          <w:p w14:paraId="001000A6" w14:textId="001000A7">
            <w:r>
              <w:rPr>
                <w:b/>
                <w:color w:val="FFFFFF"/>
              </w:rPr>
              <w:t xml:space="preserve">Layer</w:t>
            </w:r>
          </w:p>
        </w:tc>
        <w:tc>
          <w:tcPr>
            <w:shd w:val="clear" w:fill="1B4F72"/>
          </w:tcPr>
          <w:p w14:paraId="001000A8" w14:textId="001000A9">
            <w:r>
              <w:rPr>
                <w:b/>
                <w:color w:val="FFFFFF"/>
              </w:rPr>
              <w:t xml:space="preserve">Technology</w:t>
            </w:r>
          </w:p>
        </w:tc>
      </w:tr>
      <w:tr>
        <w:trPr/>
        <w:tc>
          <w:p w14:paraId="001000AA" w14:textId="001000AB">
            <w:r>
              <w:t xml:space="preserve">Backend</w:t>
            </w:r>
          </w:p>
        </w:tc>
        <w:tc>
          <w:p w14:paraId="001000AC" w14:textId="001000AD">
            <w:r>
              <w:t xml:space="preserve">.NET 9, ASP.NET Core, MQTTnet, Npgsql, JWT, SignalR, Swagger, BCrypt</w:t>
            </w:r>
          </w:p>
        </w:tc>
      </w:tr>
      <w:tr>
        <w:trPr/>
        <w:tc>
          <w:p w14:paraId="001000AE" w14:textId="001000AF">
            <w:r>
              <w:t xml:space="preserve">Desktop PLC</w:t>
            </w:r>
          </w:p>
        </w:tc>
        <w:tc>
          <w:p w14:paraId="001000B0" w14:textId="001000B1">
            <w:r>
              <w:t xml:space="preserve">.NET 9 WPF, HslCommunication, MQTTnet, SQLite, Serilog</w:t>
            </w:r>
          </w:p>
        </w:tc>
      </w:tr>
      <w:tr>
        <w:trPr/>
        <w:tc>
          <w:p w14:paraId="001000B2" w14:textId="001000B3">
            <w:r>
              <w:t xml:space="preserve">Frontend</w:t>
            </w:r>
          </w:p>
        </w:tc>
        <w:tc>
          <w:p w14:paraId="001000B4" w14:textId="001000B5">
            <w:r>
              <w:t xml:space="preserve">React 19, TypeScript, Vite, React Router, Axios, Zustand, React Query, Recharts, i18next, Tailwind</w:t>
            </w:r>
          </w:p>
        </w:tc>
      </w:tr>
      <w:tr>
        <w:trPr/>
        <w:tc>
          <w:p w14:paraId="001000B6" w14:textId="001000B7">
            <w:r>
              <w:t xml:space="preserve">Operations DB</w:t>
            </w:r>
          </w:p>
        </w:tc>
        <w:tc>
          <w:p w14:paraId="001000B8" w14:textId="001000B9">
            <w:r>
              <w:t xml:space="preserve">PostgreSQL with immutable versioned SQL migrations</w:t>
            </w:r>
          </w:p>
        </w:tc>
      </w:tr>
      <w:tr>
        <w:trPr/>
        <w:tc>
          <w:p w14:paraId="001000BA" w14:textId="001000BB">
            <w:r>
              <w:t xml:space="preserve">Time-series</w:t>
            </w:r>
          </w:p>
        </w:tc>
        <w:tc>
          <w:p w14:paraId="001000BC" w14:textId="001000BD">
            <w:r>
              <w:t xml:space="preserve">TimescaleDB hypertables, continuous aggregates, retention policies</w:t>
            </w:r>
          </w:p>
        </w:tc>
      </w:tr>
      <w:tr>
        <w:trPr/>
        <w:tc>
          <w:p w14:paraId="001000BE" w14:textId="001000BF">
            <w:r>
              <w:t xml:space="preserve">AI services</w:t>
            </w:r>
          </w:p>
        </w:tc>
        <w:tc>
          <w:p w14:paraId="001000C0" w14:textId="001000C1">
            <w:r>
              <w:t xml:space="preserve">Python FastAPI, Pydantic, SQLAlchemy, scikit-learn, pandas, pgvector, MinIO</w:t>
            </w:r>
          </w:p>
        </w:tc>
      </w:tr>
      <w:tr>
        <w:trPr/>
        <w:tc>
          <w:p w14:paraId="001000C2" w14:textId="001000C3">
            <w:r>
              <w:t xml:space="preserve">Open Data Fusion</w:t>
            </w:r>
          </w:p>
        </w:tc>
        <w:tc>
          <w:p w14:paraId="001000C4" w14:textId="001000C5">
            <w:r>
              <w:t xml:space="preserve">Node.js, Express, React/Vite, PostgreSQL, Redis Streams, OIDC/Keycloak</w:t>
            </w:r>
          </w:p>
        </w:tc>
      </w:tr>
      <w:tr>
        <w:trPr/>
        <w:tc>
          <w:p w14:paraId="001000C6" w14:textId="001000C7">
            <w:r>
              <w:t xml:space="preserve">Delivery</w:t>
            </w:r>
          </w:p>
        </w:tc>
        <w:tc>
          <w:p w14:paraId="001000C8" w14:textId="001000C9">
            <w:r>
              <w:t xml:space="preserve">Docker Compose, PowerShell runbooks, CI, CodeQL, SBOM</w:t>
            </w:r>
          </w:p>
        </w:tc>
      </w:tr>
    </w:tbl>
    <w:p w14:paraId="001000CA" w14:textId="001000CB">
      <w:pPr>
        <w:pStyle w:val="Heading2"/>
        <w:spacing w:before="280" w:after="160"/>
      </w:pPr>
      <w:r>
        <w:rPr>
          <w:b/>
          <w:color w:val="2E86AB"/>
          <w:sz w:val="28"/>
        </w:rPr>
        <w:t xml:space="preserve">4.2 Contract v1</w:t>
      </w:r>
    </w:p>
    <w:p w14:paraId="001000CC" w14:textId="001000CD">
      <w:pPr>
        <w:pStyle w:val="Normal"/>
        <w:spacing w:after="240"/>
      </w:pPr>
      <w:r>
        <w:rPr>
          <w:sz w:val="22"/>
        </w:rPr>
        <w:t xml:space="preserve">contracts/v1/ and fusion-contracts/ define Asset, Telemetry, Event, and API conventions. Canonical telemetry shape is (time, assetId, metric, value). Standard metrics include production_quantity, production_time, uph, oee, yield_rate, cpu_percent, ram_percent, temperature, pressure, speed, cycle_time, and vibration. Event types include ALARM, TELEMETRY, STATUS_CHANGE, MAINTENANCE_DUE, THRESHOLD_BREACH, and PRODUCTION_MILESTONE with severities INFO, WARNING, CRITICAL, and EMERGENCY. REST APIs use /api/v1, JSON camelCase, JWT Bearer, and RFC 7807 problem+json errors.</w:t>
      </w:r>
    </w:p>
    <w:p w14:paraId="001000CE" w14:textId="001000CF">
      <w:pPr>
        <w:pStyle w:val="Heading2"/>
        <w:spacing w:before="240" w:after="160"/>
      </w:pPr>
      <w:r>
        <w:rPr>
          <w:b/>
          <w:color w:val="2E86AB"/>
          <w:sz w:val="28"/>
        </w:rPr>
        <w:t xml:space="preserve">4.3 Database authorities</w:t>
      </w:r>
    </w:p>
    <w:p w14:paraId="001000D0" w14:textId="001000D1">
      <w:pPr>
        <w:pStyle w:val="Normal"/>
        <w:spacing w:after="240"/>
      </w:pPr>
      <w:r>
        <w:rPr>
          <w:sz w:val="22"/>
        </w:rPr>
        <w:t xml:space="preserve">Operations PostgreSQL migrations 0001–0006 cover lines, machines, assets, users, audit, alarms, telemetry/event canonicalization, secondary delivery leases, and service-account API-key hashes. TimescaleDB migrations 001–004 cover raw hypertables, hourly/daily rollups, events/alerts, and health/prediction records. Read cutover to Timescale requires reconcile counts, watermarks, duplicate-source checks, aggregate refresh, and rollback evidence.</w:t>
      </w:r>
    </w:p>
    <w:p w14:paraId="001000D2" w14:textId="001000D3">
      <w:pPr>
        <w:pStyle w:val="Heading1"/>
        <w:pageBreakBefore/>
        <w:spacing w:before="360" w:after="200"/>
      </w:pPr>
      <w:r>
        <w:rPr>
          <w:b/>
          <w:color w:val="1B4F72"/>
          <w:sz w:val="40"/>
        </w:rPr>
        <w:t xml:space="preserve">5. Security and reliability</w:t>
      </w:r>
    </w:p>
    <w:p w14:paraId="001000D4" w14:textId="001000D5">
      <w:pPr>
        <w:pStyle w:val="Normal"/>
        <w:spacing w:after="160"/>
      </w:pPr>
      <w:r>
        <w:rPr>
          <w:sz w:val="22"/>
        </w:rPr>
        <w:t xml:space="preserve">Interactive browser sessions use HttpOnly cookies; browser storage does not hold the login bearer token. Non-browser clients use JWT Bearer or service-account API keys. Raw service keys are returned only once and persisted as SHA-256 hashes. Roles ADMIN, ENGINEER, and GUEST are enforced by backend policy.</w:t>
      </w:r>
    </w:p>
    <w:p w14:paraId="001000D6" w14:textId="001000D7">
      <w:pPr>
        <w:pStyle w:val="Normal"/>
        <w:spacing w:after="160"/>
      </w:pPr>
      <w:r>
        <w:rPr>
          <w:sz w:val="22"/>
        </w:rPr>
        <w:t xml:space="preserve">Production MQTT is designed for TLS with plaintext disabled, device tokens bound to client IDs, topic ownership checks, and optional payload encryption. ClientPLC receives tokens from FII_MQTT_DEVICE_TOKEN and does not write them into local JSON configuration.</w:t>
      </w:r>
    </w:p>
    <w:p w14:paraId="001000D8" w14:textId="001000D9">
      <w:pPr>
        <w:pStyle w:val="Normal"/>
        <w:spacing w:after="240"/>
      </w:pPr>
      <w:r>
        <w:rPr>
          <w:sz w:val="22"/>
        </w:rPr>
        <w:t xml:space="preserve">Rate limits, trusted forwarded headers, secret-manager injection, and least privilege reduce abuse. Credentials, certificates, customer data, and connection strings must never be committed or exposed through VITE_* variables. ODF write-back remains policy-, approval-, audit-, and executor-gated.</w:t>
      </w:r>
    </w:p>
    <w:p w14:paraId="001000DA" w14:textId="001000DB">
      <w:pPr>
        <w:pStyle w:val="Heading1"/>
        <w:spacing w:before="360" w:after="200"/>
      </w:pPr>
      <w:r>
        <w:rPr>
          <w:b/>
          <w:color w:val="1B4F72"/>
          <w:sz w:val="40"/>
        </w:rPr>
        <w:t xml:space="preserve">6. Recommendations</w:t>
      </w:r>
    </w:p>
    <w:p w14:paraId="001000DC" w14:textId="001000DD">
      <w:pPr>
        <w:pStyle w:val="Heading2"/>
        <w:spacing w:before="240" w:after="160"/>
      </w:pPr>
      <w:r>
        <w:rPr>
          <w:b/>
          <w:color w:val="2E86AB"/>
          <w:sz w:val="28"/>
        </w:rPr>
        <w:t xml:space="preserve">6.1 Choose one operating objective per session</w:t>
      </w:r>
    </w:p>
    <w:p w14:paraId="001000DE" w14:textId="001000DF">
      <w:pPr>
        <w:pStyle w:val="Normal"/>
        <w:spacing w:after="240"/>
      </w:pPr>
      <w:r>
        <w:rPr>
          <w:sz w:val="22"/>
        </w:rPr>
        <w:t xml:space="preserve">Label each session clearly: Operations demo, full local rehearsal, ODF mapping preview, Factory AI rehearsal, Open Data Fusion product rehearsal, or managed staging. Do not mix loopback proofs with production claims.</w:t>
      </w:r>
    </w:p>
    <w:p w14:paraId="001000E0" w14:textId="001000E1">
      <w:pPr>
        <w:pStyle w:val="Heading2"/>
        <w:spacing w:before="240" w:after="160"/>
      </w:pPr>
      <w:r>
        <w:rPr>
          <w:b/>
          <w:color w:val="2E86AB"/>
          <w:sz w:val="28"/>
        </w:rPr>
        <w:t xml:space="preserve">6.2 Sequence the work</w:t>
      </w:r>
    </w:p>
    <w:p w14:paraId="001000E2" w14:textId="001000E3">
      <w:pPr>
        <w:pStyle w:val="Normal"/>
        <w:spacing w:after="80"/>
      </w:pPr>
      <w:r>
        <w:rPr>
          <w:sz w:val="22"/>
        </w:rPr>
        <w:t xml:space="preserve">1. Run the frontend demo first for UI orientation.</w:t>
      </w:r>
    </w:p>
    <w:p w14:paraId="001000E4" w14:textId="001000E5">
      <w:pPr>
        <w:pStyle w:val="Normal"/>
        <w:spacing w:after="80"/>
      </w:pPr>
      <w:r>
        <w:rPr>
          <w:sz w:val="22"/>
        </w:rPr>
        <w:t xml:space="preserve">2. Run backend database preflight/migrations before starting the full API.</w:t>
      </w:r>
    </w:p>
    <w:p w14:paraId="001000E6" w14:textId="001000E7">
      <w:pPr>
        <w:pStyle w:val="Normal"/>
        <w:spacing w:after="80"/>
      </w:pPr>
      <w:r>
        <w:rPr>
          <w:sz w:val="22"/>
        </w:rPr>
        <w:t xml:space="preserve">3. Enable Timescale mirroring only after the target is healthy; backfill and reconcile before read cutover.</w:t>
      </w:r>
    </w:p>
    <w:p w14:paraId="001000E8" w14:textId="001000E9">
      <w:pPr>
        <w:pStyle w:val="Normal"/>
        <w:spacing w:after="80"/>
      </w:pPr>
      <w:r>
        <w:rPr>
          <w:sz w:val="22"/>
        </w:rPr>
        <w:t xml:space="preserve">4. Start ODF preview and smoke tests before enabling Fusion Adapter dispatch.</w:t>
      </w:r>
    </w:p>
    <w:p w14:paraId="001000EA" w14:textId="001000EB">
      <w:pPr>
        <w:pStyle w:val="Normal"/>
        <w:spacing w:after="80"/>
      </w:pPr>
      <w:r>
        <w:rPr>
          <w:sz w:val="22"/>
        </w:rPr>
        <w:t xml:space="preserve">5. Start Factory AI services only with explicit environment values, service keys, and sandbox paths.</w:t>
      </w:r>
    </w:p>
    <w:p w14:paraId="001000EC" w14:textId="001000ED">
      <w:pPr>
        <w:pStyle w:val="Normal"/>
        <w:spacing w:after="240"/>
      </w:pPr>
      <w:r>
        <w:rPr>
          <w:sz w:val="22"/>
        </w:rPr>
        <w:t xml:space="preserve">6. Treat managed staging as a separate acceptance phase with real ingress, secrets, recovery, retention, and connector evidence.</w:t>
      </w:r>
    </w:p>
    <w:p w14:paraId="001000EE" w14:textId="001000EF">
      <w:pPr>
        <w:pStyle w:val="Heading2"/>
        <w:spacing w:before="240" w:after="160"/>
      </w:pPr>
      <w:r>
        <w:rPr>
          <w:b/>
          <w:color w:val="2E86AB"/>
          <w:sz w:val="28"/>
        </w:rPr>
        <w:t xml:space="preserve">6.3 Evidence gates before release</w:t>
      </w:r>
    </w:p>
    <w:p w14:paraId="001000F0" w14:textId="001000F1">
      <w:pPr>
        <w:pStyle w:val="Normal"/>
        <w:spacing w:after="120"/>
      </w:pPr>
      <w:r>
        <w:rPr>
          <w:sz w:val="22"/>
        </w:rPr>
        <w:t xml:space="preserve">Technical gate: builds, unit tests, contract tests, integration smoke, migration checksums, and bounded query behavior.</w:t>
      </w:r>
    </w:p>
    <w:p w14:paraId="001000F2" w14:textId="001000F3">
      <w:pPr>
        <w:pStyle w:val="Normal"/>
        <w:spacing w:after="120"/>
      </w:pPr>
      <w:r>
        <w:rPr>
          <w:sz w:val="22"/>
        </w:rPr>
        <w:t xml:space="preserve">Operational gate: backup/restore, broker outage and dead-letter recovery, lease/concurrency, retention, observability, and rollback.</w:t>
      </w:r>
    </w:p>
    <w:p w14:paraId="001000F4" w14:textId="001000F5">
      <w:pPr>
        <w:pStyle w:val="Normal"/>
        <w:spacing w:after="120"/>
      </w:pPr>
      <w:r>
        <w:rPr>
          <w:sz w:val="22"/>
        </w:rPr>
        <w:t xml:space="preserve">Security gate: HTTPS ingress, trusted forwarded headers, TLS/mTLS, secret-manager injection, least privilege, tenant/project scope, and independent approval.</w:t>
      </w:r>
    </w:p>
    <w:p w14:paraId="001000F6" w14:textId="001000F7">
      <w:pPr>
        <w:pStyle w:val="Normal"/>
        <w:spacing w:after="240"/>
      </w:pPr>
      <w:r>
        <w:rPr>
          <w:sz w:val="22"/>
        </w:rPr>
        <w:t xml:space="preserve">Product gate: one real ERP/MES or design-partner connector, realistic backfill/resume/schema evolution, and an independent reviewer decision.</w:t>
      </w:r>
    </w:p>
    <w:p w14:paraId="001000F8" w14:textId="001000F9">
      <w:pPr>
        <w:pStyle w:val="Heading1"/>
        <w:spacing w:before="360" w:after="200"/>
      </w:pPr>
      <w:r>
        <w:rPr>
          <w:b/>
          <w:color w:val="1B4F72"/>
          <w:sz w:val="40"/>
        </w:rPr>
        <w:t xml:space="preserve">7. Conclusion</w:t>
      </w:r>
    </w:p>
    <w:p w14:paraId="001000FA" w14:textId="001000FB">
      <w:pPr>
        <w:pStyle w:val="Normal"/>
        <w:spacing w:after="160"/>
      </w:pPr>
      <w:r>
        <w:rPr>
          <w:sz w:val="22"/>
        </w:rPr>
        <w:t xml:space="preserve">FII AI is a credible industrial monitoring foundation with a clear primary data path, versioned contracts, durable secondary delivery, and a broad operational surface. Its strongest design choice is the separation of local operations from optional fusion and intelligence services.</w:t>
      </w:r>
    </w:p>
    <w:p w14:paraId="001000FC" w14:textId="001000FD">
      <w:pPr>
        <w:pStyle w:val="Normal"/>
        <w:spacing w:after="240"/>
      </w:pPr>
      <w:r>
        <w:rPr>
          <w:sz w:val="22"/>
        </w:rPr>
        <w:t xml:space="preserve">The repository should now be managed as a staging candidate with explicit evidence ownership. Keep boundaries boring, preserve source-of-truth rules, and close the managed gates before changing the release claim. Roadmap items such as guarded LLM RCA, trained models, additional connectors, and ClientPLC hardening do not alter the current NO-GO decision.</w:t>
      </w:r>
    </w:p>
    <w:p w14:paraId="001000FE" w14:textId="001000FF">
      <w:pPr>
        <w:pStyle w:val="Heading1"/>
        <w:pageBreakBefore/>
        <w:spacing w:before="360" w:after="200"/>
      </w:pPr>
      <w:r>
        <w:rPr>
          <w:b/>
          <w:color w:val="1B4F72"/>
          <w:sz w:val="40"/>
        </w:rPr>
        <w:t xml:space="preserve">Appendix A. Representative API endpoints</w:t>
      </w:r>
    </w:p>
    <w:p w14:paraId="00100100" w14:textId="00100101">
      <w:pPr>
        <w:pStyle w:val="Normal"/>
        <w:spacing w:after="160"/>
      </w:pPr>
      <w:r>
        <w:rPr>
          <w:sz w:val="22"/>
        </w:rPr>
        <w:t xml:space="preserve">Controller source and versioned contracts define exact request and response shapes. Swagger is exposed in Development only.</w:t>
      </w:r>
    </w:p>
    <w:tbl>
      <w:tblPr>
        <w:tblW w:w="8306" w:type="dxa"/>
        <w:tblBorders>
          <w:top w:val="single" w:sz="4"/>
          <w:left w:val="single" w:sz="4"/>
          <w:bottom w:val="single" w:sz="4"/>
          <w:right w:val="single" w:sz="4"/>
          <w:insideH w:val="single" w:sz="4"/>
          <w:insideV w:val="single" w:sz="4"/>
        </w:tblBorders>
      </w:tblPr>
      <w:tblGrid>
        <w:gridCol w:w="4153"/>
        <w:gridCol w:w="4153"/>
      </w:tblGrid>
      <w:tr>
        <w:trPr>
          <w:tblHeader/>
        </w:trPr>
        <w:tc>
          <w:tcPr>
            <w:shd w:val="clear" w:fill="1B4F72"/>
          </w:tcPr>
          <w:p w14:paraId="00100102" w14:textId="00100103">
            <w:r>
              <w:rPr>
                <w:b/>
                <w:color w:val="FFFFFF"/>
              </w:rPr>
              <w:t xml:space="preserve">Endpoint</w:t>
            </w:r>
          </w:p>
        </w:tc>
        <w:tc>
          <w:tcPr>
            <w:shd w:val="clear" w:fill="1B4F72"/>
          </w:tcPr>
          <w:p w14:paraId="00100104" w14:textId="00100105">
            <w:r>
              <w:rPr>
                <w:b/>
                <w:color w:val="FFFFFF"/>
              </w:rPr>
              <w:t xml:space="preserve">Purpose</w:t>
            </w:r>
          </w:p>
        </w:tc>
      </w:tr>
      <w:tr>
        <w:trPr/>
        <w:tc>
          <w:p w14:paraId="00100106" w14:textId="00100107">
            <w:r>
              <w:t xml:space="preserve">GET /api/health</w:t>
            </w:r>
          </w:p>
        </w:tc>
        <w:tc>
          <w:p w14:paraId="00100108" w14:textId="00100109">
            <w:r>
              <w:t xml:space="preserve">Health status</w:t>
            </w:r>
          </w:p>
        </w:tc>
      </w:tr>
      <w:tr>
        <w:trPr/>
        <w:tc>
          <w:p w14:paraId="0010010A" w14:textId="0010010B">
            <w:r>
              <w:t xml:space="preserve">POST /api/auth/login</w:t>
            </w:r>
          </w:p>
        </w:tc>
        <w:tc>
          <w:p w14:paraId="0010010C" w14:textId="0010010D">
            <w:r>
              <w:t xml:space="preserve">Interactive session</w:t>
            </w:r>
          </w:p>
        </w:tc>
      </w:tr>
      <w:tr>
        <w:trPr/>
        <w:tc>
          <w:p w14:paraId="0010010E" w14:textId="0010010F">
            <w:r>
              <w:t xml:space="preserve">GET /api/dashboard/summary</w:t>
            </w:r>
          </w:p>
        </w:tc>
        <w:tc>
          <w:p w14:paraId="00100110" w14:textId="00100111">
            <w:r>
              <w:t xml:space="preserve">Operations KPI</w:t>
            </w:r>
          </w:p>
        </w:tc>
      </w:tr>
      <w:tr>
        <w:trPr/>
        <w:tc>
          <w:p w14:paraId="00100112" w14:textId="00100113">
            <w:r>
              <w:t xml:space="preserve">GET /api/machines/{id}</w:t>
            </w:r>
          </w:p>
        </w:tc>
        <w:tc>
          <w:p w14:paraId="00100114" w14:textId="00100115">
            <w:r>
              <w:t xml:space="preserve">Machine detail</w:t>
            </w:r>
          </w:p>
        </w:tc>
      </w:tr>
      <w:tr>
        <w:trPr/>
        <w:tc>
          <w:p w14:paraId="00100116" w14:textId="00100117">
            <w:r>
              <w:t xml:space="preserve">GET /api/alarms</w:t>
            </w:r>
          </w:p>
        </w:tc>
        <w:tc>
          <w:p w14:paraId="00100118" w14:textId="00100119">
            <w:r>
              <w:t xml:space="preserve">Alarms and lifecycle</w:t>
            </w:r>
          </w:p>
        </w:tc>
      </w:tr>
      <w:tr>
        <w:trPr/>
        <w:tc>
          <w:p w14:paraId="0010011A" w14:textId="0010011B">
            <w:r>
              <w:t xml:space="preserve">GET /api/telemetry/live</w:t>
            </w:r>
          </w:p>
        </w:tc>
        <w:tc>
          <w:p w14:paraId="0010011C" w14:textId="0010011D">
            <w:r>
              <w:t xml:space="preserve">Recent telemetry</w:t>
            </w:r>
          </w:p>
        </w:tc>
      </w:tr>
      <w:tr>
        <w:trPr/>
        <w:tc>
          <w:p w14:paraId="0010011E" w14:textId="0010011F">
            <w:r>
              <w:t xml:space="preserve">GET /api/telemetry/query</w:t>
            </w:r>
          </w:p>
        </w:tc>
        <w:tc>
          <w:p w14:paraId="00100120" w14:textId="00100121">
            <w:r>
              <w:t xml:space="preserve">Bounded time-series query</w:t>
            </w:r>
          </w:p>
        </w:tc>
      </w:tr>
      <w:tr>
        <w:trPr/>
        <w:tc>
          <w:p w14:paraId="00100122" w14:textId="00100123">
            <w:r>
              <w:t xml:space="preserve">GET /api/v1/assets/{id}/health</w:t>
            </w:r>
          </w:p>
        </w:tc>
        <w:tc>
          <w:p w14:paraId="00100124" w14:textId="00100125">
            <w:r>
              <w:t xml:space="preserve">Asset health</w:t>
            </w:r>
          </w:p>
        </w:tc>
      </w:tr>
      <w:tr>
        <w:trPr/>
        <w:tc>
          <w:p w14:paraId="00100126" w14:textId="00100127">
            <w:r>
              <w:t xml:space="preserve">POST /api/v1/predictions/anomaly</w:t>
            </w:r>
          </w:p>
        </w:tc>
        <w:tc>
          <w:p w14:paraId="00100128" w14:textId="00100129">
            <w:r>
              <w:t xml:space="preserve">Anomaly request</w:t>
            </w:r>
          </w:p>
        </w:tc>
      </w:tr>
      <w:tr>
        <w:trPr/>
        <w:tc>
          <w:p w14:paraId="0010012A" w14:textId="0010012B">
            <w:r>
              <w:t xml:space="preserve">POST /api/sync/upload</w:t>
            </w:r>
          </w:p>
        </w:tc>
        <w:tc>
          <w:p w14:paraId="0010012C" w14:textId="0010012D">
            <w:r>
              <w:t xml:space="preserve">ClientPLC synchronization</w:t>
            </w:r>
          </w:p>
        </w:tc>
      </w:tr>
      <w:tr>
        <w:trPr/>
        <w:tc>
          <w:p w14:paraId="0010012E" w14:textId="0010012F">
            <w:r>
              <w:t xml:space="preserve">GET /hubs/telemetry</w:t>
            </w:r>
          </w:p>
        </w:tc>
        <w:tc>
          <w:p w14:paraId="00100130" w14:textId="00100131">
            <w:r>
              <w:t xml:space="preserve">Authorized SignalR hub</w:t>
            </w:r>
          </w:p>
        </w:tc>
      </w:tr>
    </w:tbl>
    <w:p w14:paraId="00100132" w14:textId="00100133">
      <w:pPr>
        <w:pStyle w:val="Heading1"/>
        <w:spacing w:before="360" w:after="200"/>
      </w:pPr>
      <w:r>
        <w:rPr>
          <w:b/>
          <w:color w:val="1B4F72"/>
          <w:sz w:val="40"/>
        </w:rPr>
        <w:t xml:space="preserve">Appendix B. Safe local commands</w:t>
      </w:r>
    </w:p>
    <w:p w14:paraId="00100134" w14:textId="00100135">
      <w:pPr>
        <w:pStyle w:val="Normal"/>
        <w:spacing w:after="40"/>
      </w:pPr>
      <w:r>
        <w:rPr>
          <w:rFonts w:ascii="Consolas" w:hAnsi="Consolas" w:eastAsia="Consolas"/>
          <w:sz w:val="20"/>
        </w:rPr>
        <w:t xml:space="preserve">npm --prefix frontend ci</w:t>
      </w:r>
    </w:p>
    <w:p w14:paraId="00100136" w14:textId="00100137">
      <w:pPr>
        <w:pStyle w:val="Normal"/>
        <w:spacing w:after="40"/>
      </w:pPr>
      <w:r>
        <w:rPr>
          <w:rFonts w:ascii="Consolas" w:hAnsi="Consolas" w:eastAsia="Consolas"/>
          <w:sz w:val="20"/>
        </w:rPr>
        <w:t xml:space="preserve">npm --prefix frontend run demo</w:t>
      </w:r>
    </w:p>
    <w:p w14:paraId="00100138" w14:textId="00100139">
      <w:pPr>
        <w:pStyle w:val="Normal"/>
        <w:spacing w:after="40"/>
      </w:pPr>
      <w:r>
        <w:rPr>
          <w:rFonts w:ascii="Consolas" w:hAnsi="Consolas" w:eastAsia="Consolas"/>
          <w:sz w:val="20"/>
        </w:rPr>
        <w:t xml:space="preserve">dotnet run --project backend/backend.csproj -- --database-preflight</w:t>
      </w:r>
    </w:p>
    <w:p w14:paraId="0010013A" w14:textId="0010013B">
      <w:pPr>
        <w:pStyle w:val="Normal"/>
        <w:spacing w:after="40"/>
      </w:pPr>
      <w:r>
        <w:rPr>
          <w:rFonts w:ascii="Consolas" w:hAnsi="Consolas" w:eastAsia="Consolas"/>
          <w:sz w:val="20"/>
        </w:rPr>
        <w:t xml:space="preserve">dotnet run --project backend/backend.csproj</w:t>
      </w:r>
    </w:p>
    <w:p w14:paraId="0010013C" w14:textId="0010013D">
      <w:pPr>
        <w:pStyle w:val="Normal"/>
        <w:spacing w:after="40"/>
      </w:pPr>
      <w:r>
        <w:rPr>
          <w:rFonts w:ascii="Consolas" w:hAnsi="Consolas" w:eastAsia="Consolas"/>
          <w:sz w:val="20"/>
        </w:rPr>
        <w:t xml:space="preserve">dotnet run --project ClientPLC/ClientPLC.App/ClientPLC.App.csproj</w:t>
      </w:r>
    </w:p>
    <w:p w14:paraId="0010013E" w14:textId="0010013F">
      <w:pPr>
        <w:pStyle w:val="Normal"/>
        <w:spacing w:after="40"/>
      </w:pPr>
      <w:r>
        <w:rPr>
          <w:rFonts w:ascii="Consolas" w:hAnsi="Consolas" w:eastAsia="Consolas"/>
          <w:sz w:val="20"/>
        </w:rPr>
        <w:t xml:space="preserve">.\infrastructure\open-data-fusion\Start-OpenDataFusionPreview.ps1</w:t>
      </w:r>
    </w:p>
    <w:p w14:paraId="00100140" w14:textId="00100141">
      <w:pPr>
        <w:pStyle w:val="Normal"/>
        <w:spacing w:after="240"/>
      </w:pPr>
      <w:r>
        <w:rPr>
          <w:rFonts w:ascii="Consolas" w:hAnsi="Consolas" w:eastAsia="Consolas"/>
          <w:sz w:val="20"/>
        </w:rPr>
        <w:t xml:space="preserve">dotnet run --project fusion-adapter/Fusion.Adapter.csproj</w:t>
      </w:r>
    </w:p>
    <w:p w14:paraId="00100142" w14:textId="00100143">
      <w:pPr>
        <w:pStyle w:val="Heading1"/>
        <w:spacing w:before="360" w:after="200"/>
      </w:pPr>
      <w:r>
        <w:rPr>
          <w:b/>
          <w:color w:val="1B4F72"/>
          <w:sz w:val="40"/>
        </w:rPr>
        <w:t xml:space="preserve">Appendix C. Validation commands</w:t>
      </w:r>
    </w:p>
    <w:p w14:paraId="00100144" w14:textId="00100145">
      <w:pPr>
        <w:pStyle w:val="Normal"/>
        <w:spacing w:after="40"/>
      </w:pPr>
      <w:r>
        <w:rPr>
          <w:rFonts w:ascii="Consolas" w:hAnsi="Consolas" w:eastAsia="Consolas"/>
          <w:sz w:val="20"/>
        </w:rPr>
        <w:t xml:space="preserve">dotnet test backend.Tests/backend.Tests.csproj</w:t>
      </w:r>
    </w:p>
    <w:p w14:paraId="00100146" w14:textId="00100147">
      <w:pPr>
        <w:pStyle w:val="Normal"/>
        <w:spacing w:after="40"/>
      </w:pPr>
      <w:r>
        <w:rPr>
          <w:rFonts w:ascii="Consolas" w:hAnsi="Consolas" w:eastAsia="Consolas"/>
          <w:sz w:val="20"/>
        </w:rPr>
        <w:t xml:space="preserve">dotnet test fusion-adapter.Tests/Fusion.Adapter.Tests.csproj</w:t>
      </w:r>
    </w:p>
    <w:p w14:paraId="00100148" w14:textId="00100149">
      <w:pPr>
        <w:pStyle w:val="Normal"/>
        <w:spacing w:after="40"/>
      </w:pPr>
      <w:r>
        <w:rPr>
          <w:rFonts w:ascii="Consolas" w:hAnsi="Consolas" w:eastAsia="Consolas"/>
          <w:sz w:val="20"/>
        </w:rPr>
        <w:t xml:space="preserve">dotnet test ClientPLC/ClientPLC.Tests/ClientPLC.Tests.csproj</w:t>
      </w:r>
    </w:p>
    <w:p w14:paraId="0010014A" w14:textId="0010014B">
      <w:pPr>
        <w:pStyle w:val="Normal"/>
        <w:spacing w:after="40"/>
      </w:pPr>
      <w:r>
        <w:rPr>
          <w:rFonts w:ascii="Consolas" w:hAnsi="Consolas" w:eastAsia="Consolas"/>
          <w:sz w:val="20"/>
        </w:rPr>
        <w:t xml:space="preserve">npm --prefix frontend run test:run</w:t>
      </w:r>
    </w:p>
    <w:p w14:paraId="0010014C" w14:textId="0010014D">
      <w:pPr>
        <w:pStyle w:val="Normal"/>
        <w:spacing w:after="40"/>
      </w:pPr>
      <w:r>
        <w:rPr>
          <w:rFonts w:ascii="Consolas" w:hAnsi="Consolas" w:eastAsia="Consolas"/>
          <w:sz w:val="20"/>
        </w:rPr>
        <w:t xml:space="preserve">npm --prefix frontend run type-check</w:t>
      </w:r>
    </w:p>
    <w:p w14:paraId="0010014E" w14:textId="0010014F">
      <w:pPr>
        <w:pStyle w:val="Normal"/>
        <w:spacing w:after="240"/>
      </w:pPr>
      <w:r>
        <w:rPr>
          <w:rFonts w:ascii="Consolas" w:hAnsi="Consolas" w:eastAsia="Consolas"/>
          <w:sz w:val="20"/>
        </w:rPr>
        <w:t xml:space="preserve">npm --prefix frontend run build</w:t>
      </w:r>
    </w:p>
    <w:p w14:paraId="00100150" w14:textId="00100151">
      <w:pPr>
        <w:pStyle w:val="Normal"/>
        <w:spacing w:after="240"/>
      </w:pPr>
      <w:r>
        <w:rPr>
          <w:sz w:val="22"/>
        </w:rPr>
        <w:t xml:space="preserve">This report does not claim that a fresh full-stack or managed-staging run was performed while the document was written. Re-run the relevant suite before any release decision.</w:t>
      </w:r>
    </w:p>
    <w:p w14:paraId="00100152" w14:textId="00100153">
      <w:pPr>
        <w:pStyle w:val="Heading1"/>
        <w:spacing w:before="360" w:after="200"/>
      </w:pPr>
      <w:r>
        <w:rPr>
          <w:b/>
          <w:color w:val="1B4F72"/>
          <w:sz w:val="40"/>
        </w:rPr>
        <w:t xml:space="preserve">Appendix D. Primary sources</w:t>
      </w:r>
    </w:p>
    <w:p w14:paraId="00100154" w14:textId="00100155">
      <w:pPr>
        <w:pStyle w:val="Normal"/>
        <w:spacing w:after="80"/>
      </w:pPr>
      <w:r>
        <w:rPr>
          <w:sz w:val="22"/>
        </w:rPr>
        <w:t xml:space="preserve">PROJECT_PLAN.md — current plan, scope, progress, roadmap, and release boundary.</w:t>
      </w:r>
    </w:p>
    <w:p w14:paraId="00100156" w14:textId="00100157">
      <w:pPr>
        <w:pStyle w:val="Normal"/>
        <w:spacing w:after="80"/>
      </w:pPr>
      <w:r>
        <w:rPr>
          <w:sz w:val="22"/>
        </w:rPr>
        <w:t xml:space="preserve">README.md / README.en.md — root topology and safe quick starts.</w:t>
      </w:r>
    </w:p>
    <w:p w14:paraId="00100158" w14:textId="00100159">
      <w:pPr>
        <w:pStyle w:val="Normal"/>
        <w:spacing w:after="80"/>
      </w:pPr>
      <w:r>
        <w:rPr>
          <w:sz w:val="22"/>
        </w:rPr>
        <w:t xml:space="preserve">docs/PROJECT-GUIDE.vi.md — Vietnamese project guide (architecture and operations).</w:t>
      </w:r>
    </w:p>
    <w:p w14:paraId="0010015A" w14:textId="0010015B">
      <w:pPr>
        <w:pStyle w:val="Normal"/>
        <w:spacing w:after="80"/>
      </w:pPr>
      <w:r>
        <w:rPr>
          <w:sz w:val="22"/>
        </w:rPr>
        <w:t xml:space="preserve">backend/Program.cs, Controllers/, Services/ — runtime wiring and API behavior.</w:t>
      </w:r>
    </w:p>
    <w:p w14:paraId="0010015C" w14:textId="0010015D">
      <w:pPr>
        <w:pStyle w:val="Normal"/>
        <w:spacing w:after="80"/>
      </w:pPr>
      <w:r>
        <w:rPr>
          <w:sz w:val="22"/>
        </w:rPr>
        <w:t xml:space="preserve">contracts/v1/ and fusion-contracts/ — versioned integration contracts.</w:t>
      </w:r>
    </w:p>
    <w:p w14:paraId="0010015E" w14:textId="0010015F">
      <w:pPr>
        <w:pStyle w:val="Normal"/>
        <w:spacing w:after="80"/>
      </w:pPr>
      <w:r>
        <w:rPr>
          <w:sz w:val="22"/>
        </w:rPr>
        <w:t xml:space="preserve">fusion-adapter/ and infrastructure/open-data-fusion/ — secondary delivery and preview.</w:t>
      </w:r>
    </w:p>
    <w:p w14:paraId="00100160" w14:textId="00100161">
      <w:pPr>
        <w:pStyle w:val="Normal"/>
        <w:spacing w:after="80"/>
      </w:pPr>
      <w:r>
        <w:rPr>
          <w:sz w:val="22"/>
        </w:rPr>
        <w:t xml:space="preserve">infrastructure/timescaledb/ — independent Timescale lineage and cutover runbook.</w:t>
      </w:r>
    </w:p>
    <w:p w14:paraId="00100162" w14:textId="00100163">
      <w:pPr>
        <w:pStyle w:val="Normal"/>
        <w:spacing w:after="80"/>
      </w:pPr>
      <w:r>
        <w:rPr>
          <w:sz w:val="22"/>
        </w:rPr>
        <w:t xml:space="preserve">factory-ai-platform/ — AI plane topology and services.</w:t>
      </w:r>
    </w:p>
    <w:p w14:paraId="00100164" w14:textId="00100165">
      <w:pPr>
        <w:pStyle w:val="Normal"/>
        <w:spacing w:after="240"/>
      </w:pPr>
      <w:r>
        <w:rPr>
          <w:sz w:val="22"/>
        </w:rPr>
        <w:t xml:space="preserve">docs/release-evidence/ — residual blockers and managed-staging evidence.</w:t>
      </w:r>
    </w:p>
    <w:p w14:paraId="00100166" w14:textId="00100167">
      <w:pPr>
        <w:pStyle w:val="Normal"/>
        <w:spacing w:after="240"/>
      </w:pPr>
      <w:r>
        <w:rPr>
          <w:i/>
          <w:sz w:val="22"/>
        </w:rPr>
        <w:t xml:space="preserve">Publishing note. Before publishing, refresh the commit identifier, re-run relevant validation commands, and confirm that the release-evidence status has not changed.</w:t>
      </w:r>
    </w:p>
    <w:sectPr>
      <w:headerReference w:type="default" r:id="R3bdf857b0d484815"/>
      <w:footerReference w:type="default" r:id="R64f89028bd1f4f40"/>
      <w:pgSz w:w="11906" w:h="16838"/>
      <w:pgMar w:top="1440" w:right="1800" w:bottom="1440" w:left="1800"/>
      <w:docGrid w:type="default"/>
    </w:sectPr>
  </w:body>
</w:document>
</file>

<file path=word/footer1.xml><?xml version="1.0" encoding="utf-8"?>
<w:ftr xmlns:mc="http://schemas.openxmlformats.org/markup-compatibility/2006" xmlns:w14="http://schemas.microsoft.com/office/word/2010/wordml" xmlns:w="http://schemas.openxmlformats.org/wordprocessingml/2006/main" mc:Ignorable="w14">
  <w:p w14:paraId="0010016C" w14:textId="0010016E">
    <w:pPr>
      <w:jc w:val="center"/>
    </w:pPr>
    <w:r>
      <w:rPr>
        <w:sz w:val="18"/>
      </w:rPr>
      <w:t xml:space="preserve">Confidential · Staging candidate · Page </w:t>
    </w:r>
    <w:r>
      <w:rPr>
        <w:sz w:val="18"/>
      </w:rPr>
      <w:fldChar w:fldCharType="begin"/>
    </w:r>
    <w:r>
      <w:rPr>
        <w:sz w:val="18"/>
      </w:rPr>
      <w:instrText xml:space="preserve"> PAGE </w:instrText>
    </w:r>
    <w:r>
      <w:rPr>
        <w:sz w:val="18"/>
      </w:rPr>
      <w:fldChar w:fldCharType="separate"/>
    </w:r>
    <w:r>
      <w:rPr>
        <w:sz w:val="18"/>
      </w:rPr>
      <w:t xml:space="preserve">1</w:t>
    </w:r>
    <w:r>
      <w:rPr>
        <w:sz w:val="18"/>
      </w:rPr>
      <w:fldChar w:fldCharType="end"/>
    </w:r>
  </w:p>
</w:ftr>
</file>

<file path=word/header1.xml><?xml version="1.0" encoding="utf-8"?>
<w:hdr xmlns:mc="http://schemas.openxmlformats.org/markup-compatibility/2006" xmlns:w14="http://schemas.microsoft.com/office/word/2010/wordml" xmlns:w="http://schemas.openxmlformats.org/wordprocessingml/2006/main" mc:Ignorable="w14">
  <w:p w14:paraId="0010016A" w14:textId="0010016F">
    <w:pPr>
      <w:jc w:val="right"/>
    </w:pPr>
    <w:r>
      <w:rPr>
        <w:color w:val="666666"/>
        <w:sz w:val="18"/>
      </w:rPr>
      <w:t xml:space="preserve">FII AI / MKZ Factory Monitor — Project Report</w:t>
    </w:r>
  </w:p>
</w:hdr>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updateField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eastAsia="Calibri" w:cs="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275a47636b0c46a4" /><Relationship Type="http://schemas.openxmlformats.org/officeDocument/2006/relationships/styles" Target="/word/styles.xml" Id="Re7bb2078048e4e46" /><Relationship Type="http://schemas.openxmlformats.org/officeDocument/2006/relationships/theme" Target="/word/theme/theme1.xml" Id="R5a79fb3fc05b4102" /><Relationship Type="http://schemas.openxmlformats.org/officeDocument/2006/relationships/numbering" Target="/word/numbering.xml" Id="R53e9ba7a021a4510" /><Relationship Type="http://schemas.openxmlformats.org/officeDocument/2006/relationships/header" Target="/word/header1.xml" Id="R3bdf857b0d484815" /><Relationship Type="http://schemas.openxmlformats.org/officeDocument/2006/relationships/footer" Target="/word/footer1.xml" Id="R64f89028bd1f4f4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OfficeCLI/1.0.143</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2026-08-05T07:14:28Z</dcterms:created>
  <cp:lastModifiedBy>OfficeCLI</cp:lastModifiedBy>
  <dcterms:modified xsi:type="dcterms:W3CDTF">2026-08-05T07:14:28Z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1.0.143</vt:lpwstr>
  </op:property>
  <op:property fmtid="{D5CDD505-2E9C-101B-9397-08002B2CF9AE}" pid="3" name="OfficeCLI.LastModified">
    <vt:lpwstr xmlns:vt="http://schemas.openxmlformats.org/officeDocument/2006/docPropsVTypes">2026-08-05T07:17:08Z</vt:lpwstr>
  </op:property>
</op:Properties>
</file>