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183e584b5ea4789" /><Relationship Type="http://schemas.openxmlformats.org/package/2006/relationships/metadata/core-properties" Target="/docProps/core.xml" Id="Rc25eff6f714649e7" /><Relationship Type="http://schemas.openxmlformats.org/officeDocument/2006/relationships/extended-properties" Target="/docProps/app.xml" Id="R7a76dc136b8d467a" /><Relationship Type="http://schemas.openxmlformats.org/officeDocument/2006/relationships/custom-properties" Target="/docProps/custom.xml" Id="R5b2883620e3c45c8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before="800" w:after="200"/>
        <w:jc w:val="center"/>
      </w:pPr>
      <w:r>
        <w:rPr>
          <w:b/>
          <w:color w:val="B9770E"/>
          <w:sz w:val="52"/>
        </w:rPr>
        <w:t xml:space="preserve">Open Data Fusion (ODF)</w:t>
      </w:r>
    </w:p>
    <w:p w14:paraId="00100002" w14:textId="00100003">
      <w:pPr>
        <w:pStyle w:val="Subtitle"/>
        <w:spacing w:after="280"/>
        <w:jc w:val="center"/>
      </w:pPr>
      <w:r>
        <w:rPr>
          <w:color w:val="2E86AB"/>
          <w:sz w:val="32"/>
        </w:rPr>
        <w:t xml:space="preserve">Detailed technical report</w:t>
      </w:r>
    </w:p>
    <w:p w14:paraId="00100004" w14:textId="00100005">
      <w:pPr>
        <w:spacing w:after="120"/>
        <w:jc w:val="center"/>
      </w:pPr>
      <w:r>
        <w:rPr>
          <w:color w:val="555555"/>
          <w:sz w:val="22"/>
        </w:rPr>
        <w:t xml:space="preserve">FII AI / MKZ Factory Monitor — Component Technical Report</w:t>
      </w:r>
    </w:p>
    <w:p w14:paraId="00100006" w14:textId="00100007">
      <w:pPr>
        <w:spacing w:after="80"/>
        <w:jc w:val="center"/>
      </w:pPr>
      <w:r>
        <w:rPr>
          <w:sz w:val="22"/>
        </w:rPr>
        <w:t xml:space="preserve">Document date: 5 August 2026 | Language: English</w:t>
      </w:r>
    </w:p>
    <w:p w14:paraId="00100008" w14:textId="00100009">
      <w:pPr>
        <w:spacing w:after="400"/>
        <w:jc w:val="center"/>
      </w:pPr>
      <w:r>
        <w:rPr>
          <w:b/>
          <w:color w:val="922B21"/>
          <w:sz w:val="22"/>
        </w:rPr>
        <w:t xml:space="preserve">Release posture: Staging candidate — NO-GO for production</w:t>
      </w:r>
    </w:p>
    <w:p w14:paraId="0010000A" w14:textId="0010000B">
      <w:pPr>
        <w:pageBreakBefore/>
        <w:spacing w:after="240"/>
        <w:jc w:val="center"/>
      </w:pPr>
      <w:r>
        <w:rPr>
          <w:color w:val="666666"/>
          <w:sz w:val="20"/>
        </w:rPr>
        <w:t xml:space="preserve">Sources: source code, README, PROJECT_PLAN.md, docs/PROJECT-GUIDE.vi.md, docs/release-evidence/.</w:t>
      </w:r>
    </w:p>
    <w:p w14:paraId="0010000C" w14:textId="0010000D">
      <w:pPr>
        <w:pStyle w:val="Heading1"/>
        <w:spacing w:before="320" w:after="200"/>
      </w:pPr>
      <w:r>
        <w:rPr>
          <w:b/>
          <w:color w:val="B9770E"/>
          <w:sz w:val="40"/>
        </w:rPr>
        <w:t xml:space="preserve">Contents</w:t>
      </w:r>
    </w:p>
    <w:p w14:paraId="0010000E" w14:textId="0010000F">
      <w:r>
        <w:fldChar w:fldCharType="begin"/>
      </w:r>
      <w:r>
        <w:instrText xml:space="preserve"> TOC \o "1-2" \h \u </w:instrText>
      </w:r>
      <w:r>
        <w:fldChar w:fldCharType="separate"/>
      </w:r>
      <w:r>
        <w:t xml:space="preserve">Update field to see table of contents</w:t>
      </w:r>
      <w:r>
        <w:fldChar w:fldCharType="end"/>
      </w:r>
    </w:p>
    <w:p w14:paraId="00100010" w14:textId="00100011">
      <w:pPr>
        <w:pStyle w:val="Heading1"/>
        <w:pageBreakBefore/>
        <w:spacing w:before="320" w:after="200"/>
      </w:pPr>
      <w:r>
        <w:rPr>
          <w:b/>
          <w:color w:val="B9770E"/>
          <w:sz w:val="40"/>
        </w:rPr>
        <w:t xml:space="preserve">1. Executive summary</w:t>
      </w:r>
    </w:p>
    <w:p w14:paraId="00100012" w14:textId="00100013">
      <w:pPr>
        <w:pStyle w:val="Normal"/>
        <w:spacing w:after="120"/>
      </w:pPr>
      <w:r>
        <w:rPr>
          <w:sz w:val="22"/>
        </w:rPr>
        <w:t xml:space="preserve">Open Data Fusion (ODF) is an open-source platform (Apache-2.0) for governed industrial data integration, contextualization, and visual collaboration. In the FII workspace: Open-Data-Fusion/ (product) and third_party/open-data-fusion/ (pinned submodule). Pre-release — do not connect production OT or execute industrial control without independent review.</w:t>
      </w:r>
    </w:p>
    <w:p w14:paraId="00100014" w14:textId="00100015">
      <w:pPr>
        <w:pStyle w:val="Normal"/>
        <w:spacing w:after="120"/>
      </w:pPr>
      <w:r>
        <w:rPr>
          <w:sz w:val="22"/>
        </w:rPr>
        <w:t xml:space="preserve">For FII, data enters ODF via Fusion Adapter + transactional outbox — outside the MQTT hot path. Capture and Dispatch are independent. An ODF outage must not stop local telemetry.</w:t>
      </w:r>
    </w:p>
    <w:p w14:paraId="00100016" w14:textId="00100017">
      <w:pPr>
        <w:pStyle w:val="Heading1"/>
        <w:pageBreakBefore/>
        <w:spacing w:before="320" w:after="200"/>
      </w:pPr>
      <w:r>
        <w:rPr>
          <w:b/>
          <w:color w:val="B9770E"/>
          <w:sz w:val="40"/>
        </w:rPr>
        <w:t xml:space="preserve">2. Apps and packages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tcPr>
            <w:shd w:val="clear" w:fill="B9770E"/>
          </w:tcPr>
          <w:p w14:paraId="00100018" w14:textId="00100019">
            <w:r>
              <w:rPr>
                <w:b/>
                <w:color w:val="FFFFFF"/>
                <w:sz w:val="20"/>
              </w:rPr>
              <w:t xml:space="preserve">Component</w:t>
            </w:r>
          </w:p>
        </w:tc>
        <w:tc>
          <w:tcPr>
            <w:shd w:val="clear" w:fill="B9770E"/>
          </w:tcPr>
          <w:p w14:paraId="0010001A" w14:textId="0010001B">
            <w:r>
              <w:rPr>
                <w:b/>
                <w:color w:val="FFFFFF"/>
                <w:sz w:val="20"/>
              </w:rPr>
              <w:t xml:space="preserve">Role</w:t>
            </w:r>
          </w:p>
        </w:tc>
      </w:tr>
      <w:tr>
        <w:trPr/>
        <w:tc>
          <w:p w14:paraId="0010001C" w14:textId="0010001D">
            <w:r>
              <w:t xml:space="preserve">apps/web</w:t>
            </w:r>
          </w:p>
        </w:tc>
        <w:tc>
          <w:p w14:paraId="0010001E" w14:textId="0010001F">
            <w:r>
              <w:t xml:space="preserve">React + Vite Asset Explorer + Industrial Canvas</w:t>
            </w:r>
          </w:p>
        </w:tc>
      </w:tr>
      <w:tr>
        <w:trPr/>
        <w:tc>
          <w:p w14:paraId="00100020" w14:textId="00100021">
            <w:r>
              <w:t xml:space="preserve">apps/api</w:t>
            </w:r>
          </w:p>
        </w:tc>
        <w:tc>
          <w:p w14:paraId="00100022" w14:textId="00100023">
            <w:r>
              <w:t xml:space="preserve">TypeScript REST API, auth, industrial persistence</w:t>
            </w:r>
          </w:p>
        </w:tc>
      </w:tr>
      <w:tr>
        <w:trPr/>
        <w:tc>
          <w:p w14:paraId="00100024" w14:textId="00100025">
            <w:r>
              <w:t xml:space="preserve">apps/edge-agent</w:t>
            </w:r>
          </w:p>
        </w:tc>
        <w:tc>
          <w:p w14:paraId="00100026" w14:textId="00100027">
            <w:r>
              <w:t xml:space="preserve">CSV / PostgreSQL / OPC UA read-only collection</w:t>
            </w:r>
          </w:p>
        </w:tc>
      </w:tr>
      <w:tr>
        <w:trPr/>
        <w:tc>
          <w:p w14:paraId="00100028" w14:textId="00100029">
            <w:r>
              <w:t xml:space="preserve">apps/outbox-worker</w:t>
            </w:r>
          </w:p>
        </w:tc>
        <w:tc>
          <w:p w14:paraId="0010002A" w14:textId="0010002B">
            <w:r>
              <w:t xml:space="preserve">Postgres outbox → Redis Streams</w:t>
            </w:r>
          </w:p>
        </w:tc>
      </w:tr>
      <w:tr>
        <w:trPr/>
        <w:tc>
          <w:p w14:paraId="0010002C" w14:textId="0010002D">
            <w:r>
              <w:t xml:space="preserve">apps/pipeline-worker</w:t>
            </w:r>
          </w:p>
        </w:tc>
        <w:tc>
          <w:p w14:paraId="0010002E" w14:textId="0010002F">
            <w:r>
              <w:t xml:space="preserve">Scoped / gated pipelines</w:t>
            </w:r>
          </w:p>
        </w:tc>
      </w:tr>
      <w:tr>
        <w:trPr/>
        <w:tc>
          <w:p w14:paraId="00100030" w14:textId="00100031">
            <w:r>
              <w:t xml:space="preserve">packages/contracts</w:t>
            </w:r>
          </w:p>
        </w:tc>
        <w:tc>
          <w:p w14:paraId="00100032" w14:textId="00100033">
            <w:r>
              <w:t xml:space="preserve">Shared contracts</w:t>
            </w:r>
          </w:p>
        </w:tc>
      </w:tr>
      <w:tr>
        <w:trPr/>
        <w:tc>
          <w:p w14:paraId="00100034" w14:textId="00100035">
            <w:r>
              <w:t xml:space="preserve">packages/platform-core</w:t>
            </w:r>
          </w:p>
        </w:tc>
        <w:tc>
          <w:p w14:paraId="00100036" w14:textId="00100037">
            <w:r>
              <w:t xml:space="preserve">Modeling + platform core</w:t>
            </w:r>
          </w:p>
        </w:tc>
      </w:tr>
      <w:tr>
        <w:trPr/>
        <w:tc>
          <w:p w14:paraId="00100038" w14:textId="00100039">
            <w:r>
              <w:t xml:space="preserve">packages/postgres-runtime</w:t>
            </w:r>
          </w:p>
        </w:tc>
        <w:tc>
          <w:p w14:paraId="0010003A" w14:textId="0010003B">
            <w:r>
              <w:t xml:space="preserve">Postgres adapters + RLS runtime</w:t>
            </w:r>
          </w:p>
        </w:tc>
      </w:tr>
    </w:tbl>
    <w:p w14:paraId="0010003C" w14:textId="0010003D">
      <w:pPr>
        <w:pStyle w:val="Heading1"/>
        <w:pageBreakBefore/>
        <w:spacing w:before="320" w:after="200"/>
      </w:pPr>
      <w:r>
        <w:rPr>
          <w:b/>
          <w:color w:val="B9770E"/>
          <w:sz w:val="40"/>
        </w:rPr>
        <w:t xml:space="preserve">3. Capability map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tcPr>
            <w:shd w:val="clear" w:fill="B9770E"/>
          </w:tcPr>
          <w:p w14:paraId="0010003E" w14:textId="0010003F">
            <w:r>
              <w:rPr>
                <w:b/>
                <w:color w:val="FFFFFF"/>
                <w:sz w:val="20"/>
              </w:rPr>
              <w:t xml:space="preserve">Area</w:t>
            </w:r>
          </w:p>
        </w:tc>
        <w:tc>
          <w:tcPr>
            <w:shd w:val="clear" w:fill="B9770E"/>
          </w:tcPr>
          <w:p w14:paraId="00100040" w14:textId="00100041">
            <w:r>
              <w:rPr>
                <w:b/>
                <w:color w:val="FFFFFF"/>
                <w:sz w:val="20"/>
              </w:rPr>
              <w:t xml:space="preserve">Status</w:t>
            </w:r>
          </w:p>
        </w:tc>
        <w:tc>
          <w:tcPr>
            <w:shd w:val="clear" w:fill="B9770E"/>
          </w:tcPr>
          <w:p w14:paraId="00100042" w14:textId="00100043">
            <w:r>
              <w:rPr>
                <w:b/>
                <w:color w:val="FFFFFF"/>
                <w:sz w:val="20"/>
              </w:rPr>
              <w:t xml:space="preserve">Notes</w:t>
            </w:r>
          </w:p>
        </w:tc>
      </w:tr>
      <w:tr>
        <w:trPr/>
        <w:tc>
          <w:p w14:paraId="00100044" w14:textId="00100045">
            <w:r>
              <w:t xml:space="preserve">Asset Explorer</w:t>
            </w:r>
          </w:p>
        </w:tc>
        <w:tc>
          <w:p w14:paraId="00100046" w14:textId="00100047">
            <w:r>
              <w:t xml:space="preserve">Available</w:t>
            </w:r>
          </w:p>
        </w:tc>
        <w:tc>
          <w:p w14:paraId="00100048" w14:textId="00100049">
            <w:r>
              <w:t xml:space="preserve">Hierarchy, telemetry, relations</w:t>
            </w:r>
          </w:p>
        </w:tc>
      </w:tr>
      <w:tr>
        <w:trPr/>
        <w:tc>
          <w:p w14:paraId="0010004A" w14:textId="0010004B">
            <w:r>
              <w:t xml:space="preserve">Industrial Canvas</w:t>
            </w:r>
          </w:p>
        </w:tc>
        <w:tc>
          <w:p w14:paraId="0010004C" w14:textId="0010004D">
            <w:r>
              <w:t xml:space="preserve">Available</w:t>
            </w:r>
          </w:p>
        </w:tc>
        <w:tc>
          <w:p w14:paraId="0010004E" w14:textId="0010004F">
            <w:r>
              <w:t xml:space="preserve">Revisions, undo/redo, rollback</w:t>
            </w:r>
          </w:p>
        </w:tc>
      </w:tr>
      <w:tr>
        <w:trPr/>
        <w:tc>
          <w:p w14:paraId="00100050" w14:textId="00100051">
            <w:r>
              <w:t xml:space="preserve">Collaboration</w:t>
            </w:r>
          </w:p>
        </w:tc>
        <w:tc>
          <w:p w14:paraId="00100052" w14:textId="00100053">
            <w:r>
              <w:t xml:space="preserve">Available</w:t>
            </w:r>
          </w:p>
        </w:tc>
        <w:tc>
          <w:p w14:paraId="00100054" w14:textId="00100055">
            <w:r>
              <w:t xml:space="preserve">Roles, presence, SSE</w:t>
            </w:r>
          </w:p>
        </w:tc>
      </w:tr>
      <w:tr>
        <w:trPr/>
        <w:tc>
          <w:p w14:paraId="00100056" w14:textId="00100057">
            <w:r>
              <w:t xml:space="preserve">Ingestion</w:t>
            </w:r>
          </w:p>
        </w:tc>
        <w:tc>
          <w:p w14:paraId="00100058" w14:textId="00100059">
            <w:r>
              <w:t xml:space="preserve">Available</w:t>
            </w:r>
          </w:p>
        </w:tc>
        <w:tc>
          <w:p w14:paraId="0010005A" w14:textId="0010005B">
            <w:r>
              <w:t xml:space="preserve">Idempotent bundles + provenance</w:t>
            </w:r>
          </w:p>
        </w:tc>
      </w:tr>
      <w:tr>
        <w:trPr/>
        <w:tc>
          <w:p w14:paraId="0010005C" w14:textId="0010005D">
            <w:r>
              <w:t xml:space="preserve">Governed objects</w:t>
            </w:r>
          </w:p>
        </w:tc>
        <w:tc>
          <w:p w14:paraId="0010005E" w14:textId="0010005F">
            <w:r>
              <w:t xml:space="preserve">Available</w:t>
            </w:r>
          </w:p>
        </w:tc>
        <w:tc>
          <w:p w14:paraId="00100060" w14:textId="00100061">
            <w:r>
              <w:t xml:space="preserve">Versioned bytes + SHA-256</w:t>
            </w:r>
          </w:p>
        </w:tc>
      </w:tr>
      <w:tr>
        <w:trPr/>
        <w:tc>
          <w:p w14:paraId="00100062" w14:textId="00100063">
            <w:r>
              <w:t xml:space="preserve">Telemetry serving</w:t>
            </w:r>
          </w:p>
        </w:tc>
        <w:tc>
          <w:p w14:paraId="00100064" w14:textId="00100065">
            <w:r>
              <w:t xml:space="preserve">Available</w:t>
            </w:r>
          </w:p>
        </w:tc>
        <w:tc>
          <w:p w14:paraId="00100066" w14:textId="00100067">
            <w:r>
              <w:t xml:space="preserve">Raw / latest / aggregates</w:t>
            </w:r>
          </w:p>
        </w:tc>
      </w:tr>
      <w:tr>
        <w:trPr/>
        <w:tc>
          <w:p w14:paraId="00100068" w14:textId="00100069">
            <w:r>
              <w:t xml:space="preserve">Contextualization</w:t>
            </w:r>
          </w:p>
        </w:tc>
        <w:tc>
          <w:p w14:paraId="0010006A" w14:textId="0010006B">
            <w:r>
              <w:t xml:space="preserve">Gated</w:t>
            </w:r>
          </w:p>
        </w:tc>
        <w:tc>
          <w:p w14:paraId="0010006C" w14:textId="0010006D">
            <w:r>
              <w:t xml:space="preserve">Candidates + human review</w:t>
            </w:r>
          </w:p>
        </w:tc>
      </w:tr>
      <w:tr>
        <w:trPr/>
        <w:tc>
          <w:p w14:paraId="0010006E" w14:textId="0010006F">
            <w:r>
              <w:t xml:space="preserve">Write-back</w:t>
            </w:r>
          </w:p>
        </w:tc>
        <w:tc>
          <w:p w14:paraId="00100070" w14:textId="00100071">
            <w:r>
              <w:t xml:space="preserve">Gated</w:t>
            </w:r>
          </w:p>
        </w:tc>
        <w:tc>
          <w:p w14:paraId="00100072" w14:textId="00100073">
            <w:r>
              <w:t xml:space="preserve">Policy + approvals + external executor</w:t>
            </w:r>
          </w:p>
        </w:tc>
      </w:tr>
      <w:tr>
        <w:trPr/>
        <w:tc>
          <w:p w14:paraId="00100074" w14:textId="00100075">
            <w:r>
              <w:t xml:space="preserve">OIDC / Keycloak</w:t>
            </w:r>
          </w:p>
        </w:tc>
        <w:tc>
          <w:p w14:paraId="00100076" w14:textId="00100077">
            <w:r>
              <w:t xml:space="preserve">Optional</w:t>
            </w:r>
          </w:p>
        </w:tc>
        <w:tc>
          <w:p w14:paraId="00100078" w14:textId="00100079">
            <w:r>
              <w:t xml:space="preserve">Auth Code + PKCE</w:t>
            </w:r>
          </w:p>
        </w:tc>
      </w:tr>
      <w:tr>
        <w:trPr/>
        <w:tc>
          <w:p w14:paraId="0010007A" w14:textId="0010007B">
            <w:r>
              <w:t xml:space="preserve">Edge collection</w:t>
            </w:r>
          </w:p>
        </w:tc>
        <w:tc>
          <w:p w14:paraId="0010007C" w14:textId="0010007D">
            <w:r>
              <w:t xml:space="preserve">Optional</w:t>
            </w:r>
          </w:p>
        </w:tc>
        <w:tc>
          <w:p w14:paraId="0010007E" w14:textId="0010007F">
            <w:r>
              <w:t xml:space="preserve">Checkpointed read-only sources</w:t>
            </w:r>
          </w:p>
        </w:tc>
      </w:tr>
      <w:tr>
        <w:trPr/>
        <w:tc>
          <w:p w14:paraId="00100080" w14:textId="00100081">
            <w:r>
              <w:t xml:space="preserve">Workers / Redis</w:t>
            </w:r>
          </w:p>
        </w:tc>
        <w:tc>
          <w:p w14:paraId="00100082" w14:textId="00100083">
            <w:r>
              <w:t xml:space="preserve">Optional</w:t>
            </w:r>
          </w:p>
        </w:tc>
        <w:tc>
          <w:p w14:paraId="00100084" w14:textId="00100085">
            <w:r>
              <w:t xml:space="preserve">Multi-instance event fan-out</w:t>
            </w:r>
          </w:p>
        </w:tc>
      </w:tr>
      <w:tr>
        <w:trPr/>
        <w:tc>
          <w:p w14:paraId="00100086" w14:textId="00100087">
            <w:r>
              <w:t xml:space="preserve">Observability</w:t>
            </w:r>
          </w:p>
        </w:tc>
        <w:tc>
          <w:p w14:paraId="00100088" w14:textId="00100089">
            <w:r>
              <w:t xml:space="preserve">Optional</w:t>
            </w:r>
          </w:p>
        </w:tc>
        <w:tc>
          <w:p w14:paraId="0010008A" w14:textId="0010008B">
            <w:r>
              <w:t xml:space="preserve">Prometheus / Grafana / OTEL</w:t>
            </w:r>
          </w:p>
        </w:tc>
      </w:tr>
    </w:tbl>
    <w:p w14:paraId="0010008C" w14:textId="0010008D">
      <w:pPr>
        <w:pStyle w:val="Heading1"/>
        <w:pageBreakBefore/>
        <w:spacing w:before="320" w:after="200"/>
      </w:pPr>
      <w:r>
        <w:rPr>
          <w:b/>
          <w:color w:val="B9770E"/>
          <w:sz w:val="40"/>
        </w:rPr>
        <w:t xml:space="preserve">4. FII integration — Capture / Dispatch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tcPr>
            <w:shd w:val="clear" w:fill="B9770E"/>
          </w:tcPr>
          <w:p w14:paraId="0010008E" w14:textId="0010008F">
            <w:r>
              <w:rPr>
                <w:b/>
                <w:color w:val="FFFFFF"/>
                <w:sz w:val="20"/>
              </w:rPr>
              <w:t xml:space="preserve">Flag / Step</w:t>
            </w:r>
          </w:p>
        </w:tc>
        <w:tc>
          <w:tcPr>
            <w:shd w:val="clear" w:fill="B9770E"/>
          </w:tcPr>
          <w:p w14:paraId="00100090" w14:textId="00100091">
            <w:r>
              <w:rPr>
                <w:b/>
                <w:color w:val="FFFFFF"/>
                <w:sz w:val="20"/>
              </w:rPr>
              <w:t xml:space="preserve">Behavior</w:t>
            </w:r>
          </w:p>
        </w:tc>
      </w:tr>
      <w:tr>
        <w:trPr/>
        <w:tc>
          <w:p w14:paraId="00100092" w14:textId="00100093">
            <w:r>
              <w:t xml:space="preserve">OpenDataFusion__CaptureEnabled=true</w:t>
            </w:r>
          </w:p>
        </w:tc>
        <w:tc>
          <w:p w14:paraId="00100094" w14:textId="00100095">
            <w:r>
              <w:t xml:space="preserve">Backend writes fusion_outbox with business txn</w:t>
            </w:r>
          </w:p>
        </w:tc>
      </w:tr>
      <w:tr>
        <w:trPr/>
        <w:tc>
          <w:p w14:paraId="00100096" w14:textId="00100097">
            <w:r>
              <w:t xml:space="preserve">OpenDataFusion__DispatchEnabled=true</w:t>
            </w:r>
          </w:p>
        </w:tc>
        <w:tc>
          <w:p w14:paraId="00100098" w14:textId="00100099">
            <w:r>
              <w:t xml:space="preserve">Adapter claims lease and POSTs ODF bundles</w:t>
            </w:r>
          </w:p>
        </w:tc>
      </w:tr>
      <w:tr>
        <w:trPr/>
        <w:tc>
          <w:p w14:paraId="0010009A" w14:textId="0010009B">
            <w:r>
              <w:t xml:space="preserve">Tenant / Project / Identity ready</w:t>
            </w:r>
          </w:p>
        </w:tc>
        <w:tc>
          <w:p w14:paraId="0010009C" w14:textId="0010009D">
            <w:r>
              <w:t xml:space="preserve">Prerequisite before Dispatch</w:t>
            </w:r>
          </w:p>
        </w:tc>
      </w:tr>
      <w:tr>
        <w:trPr/>
        <w:tc>
          <w:p w14:paraId="0010009E" w14:textId="0010009F">
            <w:r>
              <w:t xml:space="preserve">Preview scripts</w:t>
            </w:r>
          </w:p>
        </w:tc>
        <w:tc>
          <w:p w14:paraId="001000A0" w14:textId="001000A1">
            <w:r>
              <w:t xml:space="preserve">Start|Test-OpenDataFusionPreview.ps1 (loopback)</w:t>
            </w:r>
          </w:p>
        </w:tc>
      </w:tr>
      <w:tr>
        <w:trPr/>
        <w:tc>
          <w:p w14:paraId="001000A2" w14:textId="001000A3">
            <w:r>
              <w:t xml:space="preserve">Rollback</w:t>
            </w:r>
          </w:p>
        </w:tc>
        <w:tc>
          <w:p w14:paraId="001000A4" w14:textId="001000A5">
            <w:r>
              <w:t xml:space="preserve">Capture=false, stop adapter, keep pending outbox</w:t>
            </w:r>
          </w:p>
        </w:tc>
      </w:tr>
      <w:tr>
        <w:trPr/>
        <w:tc>
          <w:p w14:paraId="001000A6" w14:textId="001000A7">
            <w:r>
              <w:t xml:space="preserve">External IDs</w:t>
            </w:r>
          </w:p>
        </w:tc>
        <w:tc>
          <w:p w14:paraId="001000A8" w14:textId="001000A9">
            <w:r>
              <w:t xml:space="preserve">mkz:plant:* / mkz:line:* / mkz:machine:* / mkz:ts:*</w:t>
            </w:r>
          </w:p>
        </w:tc>
      </w:tr>
    </w:tbl>
    <w:p w14:paraId="001000AA" w14:textId="001000AB">
      <w:pPr>
        <w:pStyle w:val="Heading1"/>
        <w:pageBreakBefore/>
        <w:spacing w:before="320" w:after="200"/>
      </w:pPr>
      <w:r>
        <w:rPr>
          <w:b/>
          <w:color w:val="B9770E"/>
          <w:sz w:val="40"/>
        </w:rPr>
        <w:t xml:space="preserve">5. Default preview ports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tcPr>
            <w:shd w:val="clear" w:fill="B9770E"/>
          </w:tcPr>
          <w:p w14:paraId="001000AC" w14:textId="001000AD">
            <w:r>
              <w:rPr>
                <w:b/>
                <w:color w:val="FFFFFF"/>
                <w:sz w:val="20"/>
              </w:rPr>
              <w:t xml:space="preserve">Service</w:t>
            </w:r>
          </w:p>
        </w:tc>
        <w:tc>
          <w:tcPr>
            <w:shd w:val="clear" w:fill="B9770E"/>
          </w:tcPr>
          <w:p w14:paraId="001000AE" w14:textId="001000AF">
            <w:r>
              <w:rPr>
                <w:b/>
                <w:color w:val="FFFFFF"/>
                <w:sz w:val="20"/>
              </w:rPr>
              <w:t xml:space="preserve">Port</w:t>
            </w:r>
          </w:p>
        </w:tc>
      </w:tr>
      <w:tr>
        <w:trPr/>
        <w:tc>
          <w:p w14:paraId="001000B0" w14:textId="001000B1">
            <w:r>
              <w:t xml:space="preserve">ODF API</w:t>
            </w:r>
          </w:p>
        </w:tc>
        <w:tc>
          <w:p w14:paraId="001000B2" w14:textId="001000B3">
            <w:r>
              <w:t xml:space="preserve">54310</w:t>
            </w:r>
          </w:p>
        </w:tc>
      </w:tr>
      <w:tr>
        <w:trPr/>
        <w:tc>
          <w:p w14:paraId="001000B4" w14:textId="001000B5">
            <w:r>
              <w:t xml:space="preserve">ODF Web</w:t>
            </w:r>
          </w:p>
        </w:tc>
        <w:tc>
          <w:p w14:paraId="001000B6" w14:textId="001000B7">
            <w:r>
              <w:t xml:space="preserve">58088</w:t>
            </w:r>
          </w:p>
        </w:tc>
      </w:tr>
      <w:tr>
        <w:trPr/>
        <w:tc>
          <w:p w14:paraId="001000B8" w14:textId="001000B9">
            <w:r>
              <w:t xml:space="preserve">PostgreSQL</w:t>
            </w:r>
          </w:p>
        </w:tc>
        <w:tc>
          <w:p w14:paraId="001000BA" w14:textId="001000BB">
            <w:r>
              <w:t xml:space="preserve">55432</w:t>
            </w:r>
          </w:p>
        </w:tc>
      </w:tr>
      <w:tr>
        <w:trPr/>
        <w:tc>
          <w:p w14:paraId="001000BC" w14:textId="001000BD">
            <w:r>
              <w:t xml:space="preserve">Redis</w:t>
            </w:r>
          </w:p>
        </w:tc>
        <w:tc>
          <w:p w14:paraId="001000BE" w14:textId="001000BF">
            <w:r>
              <w:t xml:space="preserve">56379</w:t>
            </w:r>
          </w:p>
        </w:tc>
      </w:tr>
      <w:tr>
        <w:trPr/>
        <w:tc>
          <w:p w14:paraId="001000C0" w14:textId="001000C1">
            <w:r>
              <w:t xml:space="preserve">Grafana</w:t>
            </w:r>
          </w:p>
        </w:tc>
        <w:tc>
          <w:p w14:paraId="001000C2" w14:textId="001000C3">
            <w:r>
              <w:t xml:space="preserve">53000</w:t>
            </w:r>
          </w:p>
        </w:tc>
      </w:tr>
      <w:tr>
        <w:trPr/>
        <w:tc>
          <w:p w14:paraId="001000C4" w14:textId="001000C5">
            <w:r>
              <w:t xml:space="preserve">Prometheus</w:t>
            </w:r>
          </w:p>
        </w:tc>
        <w:tc>
          <w:p w14:paraId="001000C6" w14:textId="001000C7">
            <w:r>
              <w:t xml:space="preserve">59090</w:t>
            </w:r>
          </w:p>
        </w:tc>
      </w:tr>
    </w:tbl>
    <w:p w14:paraId="001000C8" w14:textId="001000C9">
      <w:pPr>
        <w:pStyle w:val="Heading1"/>
        <w:pageBreakBefore/>
        <w:spacing w:before="320" w:after="200"/>
      </w:pPr>
      <w:r>
        <w:rPr>
          <w:b/>
          <w:color w:val="B9770E"/>
          <w:sz w:val="40"/>
        </w:rPr>
        <w:t xml:space="preserve">6. Design principles</w:t>
      </w:r>
    </w:p>
    <w:p w14:paraId="001000CA" w14:textId="001000CB">
      <w:pPr>
        <w:pStyle w:val="Normal"/>
        <w:spacing w:after="60"/>
        <w:ind w:left="360"/>
      </w:pPr>
      <w:r>
        <w:rPr>
          <w:sz w:val="22"/>
        </w:rPr>
        <w:t xml:space="preserve">• Evidence before convenience</w:t>
      </w:r>
    </w:p>
    <w:p w14:paraId="001000CC" w14:textId="001000CD">
      <w:pPr>
        <w:pStyle w:val="Normal"/>
        <w:spacing w:after="60"/>
        <w:ind w:left="360"/>
      </w:pPr>
      <w:r>
        <w:rPr>
          <w:sz w:val="22"/>
        </w:rPr>
        <w:t xml:space="preserve">• Review before truth</w:t>
      </w:r>
    </w:p>
    <w:p w14:paraId="001000CE" w14:textId="001000CF">
      <w:pPr>
        <w:pStyle w:val="Normal"/>
        <w:spacing w:after="60"/>
        <w:ind w:left="360"/>
      </w:pPr>
      <w:r>
        <w:rPr>
          <w:sz w:val="22"/>
        </w:rPr>
        <w:t xml:space="preserve">• One source of truth (no dual-write authoritative stores)</w:t>
      </w:r>
    </w:p>
    <w:p w14:paraId="001000D0" w14:textId="001000D1">
      <w:pPr>
        <w:pStyle w:val="Normal"/>
        <w:spacing w:after="60"/>
        <w:ind w:left="360"/>
      </w:pPr>
      <w:r>
        <w:rPr>
          <w:sz w:val="22"/>
        </w:rPr>
        <w:t xml:space="preserve">• Fail closed on missing identity / policy / executor</w:t>
      </w:r>
    </w:p>
    <w:p w14:paraId="001000D2" w14:textId="001000D3">
      <w:pPr>
        <w:pStyle w:val="Normal"/>
        <w:spacing w:after="60"/>
        <w:ind w:left="360"/>
      </w:pPr>
      <w:r>
        <w:rPr>
          <w:sz w:val="22"/>
        </w:rPr>
        <w:t xml:space="preserve">• Local-first, production-aware (sqlite | postgres)</w:t>
      </w:r>
    </w:p>
    <w:p w14:paraId="001000D4" w14:textId="001000D5">
      <w:pPr>
        <w:pStyle w:val="Normal"/>
        <w:spacing w:after="60"/>
        <w:ind w:left="360"/>
      </w:pPr>
      <w:r>
        <w:rPr>
          <w:sz w:val="22"/>
        </w:rPr>
        <w:t xml:space="preserve">• Clean-room implementation (not Cognite Data Fusion)</w:t>
      </w:r>
    </w:p>
    <w:p w14:paraId="001000D6" w14:textId="001000D7">
      <w:pPr>
        <w:pStyle w:val="Heading1"/>
        <w:pageBreakBefore/>
        <w:spacing w:before="320" w:after="200"/>
      </w:pPr>
      <w:r>
        <w:rPr>
          <w:b/>
          <w:color w:val="B9770E"/>
          <w:sz w:val="40"/>
        </w:rPr>
        <w:t xml:space="preserve">7. Persistence</w:t>
      </w:r>
    </w:p>
    <w:p w14:paraId="001000D8" w14:textId="001000D9">
      <w:pPr>
        <w:pStyle w:val="Normal"/>
        <w:spacing w:after="120"/>
      </w:pPr>
      <w:r>
        <w:rPr>
          <w:sz w:val="22"/>
        </w:rPr>
        <w:t xml:space="preserve">ODF_DATA_PERSISTENCE=sqlite|postgres — one authoritative backend per process. Postgres uses forced RLS for multi-tenant data; a shared S3-compatible object store holds governed bytes. ODF_SEED=true is opt-in fixture data only.</w:t>
      </w:r>
    </w:p>
    <w:p w14:paraId="001000DA" w14:textId="001000DB">
      <w:pPr>
        <w:pStyle w:val="Heading1"/>
        <w:pageBreakBefore/>
        <w:spacing w:before="320" w:after="200"/>
      </w:pPr>
      <w:r>
        <w:rPr>
          <w:b/>
          <w:color w:val="B9770E"/>
          <w:sz w:val="40"/>
        </w:rPr>
        <w:t xml:space="preserve">8. Standalone run</w:t>
      </w:r>
    </w:p>
    <w:p w14:paraId="001000DC" w14:textId="001000DD">
      <w:pPr>
        <w:pStyle w:val="Normal"/>
        <w:spacing w:after="40"/>
      </w:pPr>
      <w:r>
        <w:rPr>
          <w:rFonts w:ascii="Consolas" w:hAnsi="Consolas" w:eastAsia="Consolas"/>
          <w:sz w:val="20"/>
        </w:rPr>
        <w:t xml:space="preserve">cd Open-Data-Fusion</w:t>
      </w:r>
    </w:p>
    <w:p w14:paraId="001000DE" w14:textId="001000DF">
      <w:pPr>
        <w:pStyle w:val="Normal"/>
        <w:spacing w:after="40"/>
      </w:pPr>
      <w:r>
        <w:rPr>
          <w:rFonts w:ascii="Consolas" w:hAnsi="Consolas" w:eastAsia="Consolas"/>
          <w:sz w:val="20"/>
        </w:rPr>
        <w:t xml:space="preserve">npm install</w:t>
      </w:r>
    </w:p>
    <w:p w14:paraId="001000E0" w14:textId="001000E1">
      <w:pPr>
        <w:pStyle w:val="Normal"/>
        <w:spacing w:after="40"/>
      </w:pPr>
      <w:r>
        <w:rPr>
          <w:rFonts w:ascii="Consolas" w:hAnsi="Consolas" w:eastAsia="Consolas"/>
          <w:sz w:val="20"/>
        </w:rPr>
        <w:t xml:space="preserve">npm run dev</w:t>
      </w:r>
    </w:p>
    <w:p w14:paraId="001000E2" w14:textId="001000E3">
      <w:pPr>
        <w:pStyle w:val="Normal"/>
        <w:spacing w:after="40"/>
      </w:pPr>
      <w:r>
        <w:rPr>
          <w:rFonts w:ascii="Consolas" w:hAnsi="Consolas" w:eastAsia="Consolas"/>
          <w:sz w:val="20"/>
        </w:rPr>
        <w:t xml:space="preserve">git submodule update --init --recursive</w:t>
      </w:r>
    </w:p>
    <w:p w14:paraId="001000E4" w14:textId="001000E5">
      <w:pPr>
        <w:pStyle w:val="Normal"/>
        <w:spacing w:after="40"/>
      </w:pPr>
      <w:r>
        <w:rPr>
          <w:rFonts w:ascii="Consolas" w:hAnsi="Consolas" w:eastAsia="Consolas"/>
          <w:sz w:val="20"/>
        </w:rPr>
        <w:t xml:space="preserve">.\infrastructure\open-data-fusion\Start-OpenDataFusionPreview.ps1</w:t>
      </w:r>
    </w:p>
    <w:p w14:paraId="001000E6" w14:textId="001000E7">
      <w:pPr>
        <w:pStyle w:val="Heading1"/>
        <w:pageBreakBefore/>
        <w:spacing w:before="320" w:after="200"/>
      </w:pPr>
      <w:r>
        <w:rPr>
          <w:b/>
          <w:color w:val="B9770E"/>
          <w:sz w:val="40"/>
        </w:rPr>
        <w:t xml:space="preserve">9. Risks and conclusion</w:t>
      </w:r>
    </w:p>
    <w:p w14:paraId="001000E8" w14:textId="001000E9">
      <w:pPr>
        <w:pStyle w:val="Normal"/>
        <w:spacing w:after="60"/>
        <w:ind w:left="360"/>
      </w:pPr>
      <w:r>
        <w:rPr>
          <w:sz w:val="22"/>
        </w:rPr>
        <w:t xml:space="preserve">• Separate Operations path vs ODF path in incident response</w:t>
      </w:r>
    </w:p>
    <w:p w14:paraId="001000EA" w14:textId="001000EB">
      <w:pPr>
        <w:pStyle w:val="Normal"/>
        <w:spacing w:after="60"/>
        <w:ind w:left="360"/>
      </w:pPr>
      <w:r>
        <w:rPr>
          <w:sz w:val="22"/>
        </w:rPr>
        <w:t xml:space="preserve">• Do not enable Dispatch before OIDC/tenant is proven</w:t>
      </w:r>
    </w:p>
    <w:p w14:paraId="001000EC" w14:textId="001000ED">
      <w:pPr>
        <w:pStyle w:val="Normal"/>
        <w:spacing w:after="60"/>
        <w:ind w:left="360"/>
      </w:pPr>
      <w:r>
        <w:rPr>
          <w:sz w:val="22"/>
        </w:rPr>
        <w:t xml:space="preserve">• Do not fork the third_party submodule for MKZ secrets</w:t>
      </w:r>
    </w:p>
    <w:p w14:paraId="001000EE" w14:textId="001000EF">
      <w:pPr>
        <w:pStyle w:val="Normal"/>
        <w:spacing w:after="60"/>
        <w:ind w:left="360"/>
      </w:pPr>
      <w:r>
        <w:rPr>
          <w:sz w:val="22"/>
        </w:rPr>
        <w:t xml:space="preserve">• ODF preview green ≠ FII production GO</w:t>
      </w:r>
    </w:p>
    <w:p w14:paraId="001000F0" w14:textId="001000F1">
      <w:pPr>
        <w:pStyle w:val="Normal"/>
        <w:spacing w:after="120"/>
      </w:pPr>
      <w:r>
        <w:rPr>
          <w:sz w:val="22"/>
        </w:rPr>
        <w:t xml:space="preserve">ODF is a secondary delivery plane with provenance, Explorer/Canvas, and governance. In FII the design is correct when Capture/Dispatch are separated and operations survive an ODF outage.</w:t>
      </w:r>
    </w:p>
    <w:p w14:paraId="001000F2" w14:textId="001000F3">
      <w:pPr>
        <w:pStyle w:val="Heading1"/>
        <w:spacing w:before="320" w:after="200"/>
      </w:pPr>
      <w:r>
        <w:rPr>
          <w:b/>
          <w:color w:val="B9770E"/>
          <w:sz w:val="40"/>
        </w:rPr>
        <w:t xml:space="preserve">Appendix — Sources</w:t>
      </w:r>
    </w:p>
    <w:p w14:paraId="001000F4" w14:textId="001000F5">
      <w:pPr>
        <w:pStyle w:val="Normal"/>
        <w:spacing w:after="60"/>
        <w:ind w:left="360"/>
      </w:pPr>
      <w:r>
        <w:rPr>
          <w:sz w:val="22"/>
        </w:rPr>
        <w:t xml:space="preserve">• Open-Data-Fusion/README.md, docs/architecture/*, docs/operations/*</w:t>
      </w:r>
    </w:p>
    <w:p w14:paraId="001000F6" w14:textId="001000F7">
      <w:pPr>
        <w:pStyle w:val="Normal"/>
        <w:spacing w:after="60"/>
        <w:ind w:left="360"/>
      </w:pPr>
      <w:r>
        <w:rPr>
          <w:sz w:val="22"/>
        </w:rPr>
        <w:t xml:space="preserve">• fusion-adapter/, infrastructure/open-data-fusion/</w:t>
      </w:r>
    </w:p>
    <w:p w14:paraId="001000F8" w14:textId="001000F9">
      <w:pPr>
        <w:pStyle w:val="Normal"/>
        <w:spacing w:after="60"/>
        <w:ind w:left="360"/>
      </w:pPr>
      <w:r>
        <w:rPr>
          <w:sz w:val="22"/>
        </w:rPr>
        <w:t xml:space="preserve">• third_party/open-data-fusion/, docs/PROJECT-GUIDE.vi.md §4.5–4.7</w:t>
      </w:r>
    </w:p>
    <w:sectPr>
      <w:headerReference w:type="default" r:id="R76337524b0584703"/>
      <w:footerReference w:type="default" r:id="R781ff689f4f943db"/>
      <w:pgSz w:w="11906" w:h="16838"/>
      <w:pgMar w:top="1440" w:right="1800" w:bottom="1440" w:left="1800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FD" w14:textId="001000FF">
    <w:pPr>
      <w:jc w:val="center"/>
    </w:pPr>
    <w:r>
      <w:rPr>
        <w:sz w:val="18"/>
      </w:rPr>
      <w:t xml:space="preserve">FII AI | Staging candidate | Page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 xml:space="preserve">1</w:t>
    </w:r>
    <w:r>
      <w:rPr>
        <w:sz w:val="18"/>
      </w:rPr>
      <w:fldChar w:fldCharType="end"/>
    </w:r>
  </w:p>
</w:ftr>
</file>

<file path=word/header1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0FA" w14:textId="001000FC">
    <w:pPr>
      <w:jc w:val="right"/>
    </w:pPr>
    <w:r>
      <w:rPr>
        <w:color w:val="666666"/>
        <w:sz w:val="18"/>
      </w:rPr>
      <w:t xml:space="preserve">FII AI | ODF | Technical Report</w:t>
    </w: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updateFields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 w:eastAsia="Calibri" w:cs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15b787f993824e15" /><Relationship Type="http://schemas.openxmlformats.org/officeDocument/2006/relationships/styles" Target="/word/styles.xml" Id="R152199b1fb574354" /><Relationship Type="http://schemas.openxmlformats.org/officeDocument/2006/relationships/theme" Target="/word/theme/theme1.xml" Id="R0418e5e2bf8e4ceb" /><Relationship Type="http://schemas.openxmlformats.org/officeDocument/2006/relationships/numbering" Target="/word/numbering.xml" Id="R2f215ab2e1154b75" /><Relationship Type="http://schemas.openxmlformats.org/officeDocument/2006/relationships/header" Target="/word/header1.xml" Id="R76337524b0584703" /><Relationship Type="http://schemas.openxmlformats.org/officeDocument/2006/relationships/footer" Target="/word/footer1.xml" Id="R781ff689f4f943d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OfficeCLI/1.0.143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2026-08-05T07:44:14Z</dcterms:created>
  <cp:lastModifiedBy>OfficeCLI</cp:lastModifiedBy>
  <dcterms:modified xsi:type="dcterms:W3CDTF">2026-08-05T07:44:14Z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1.0.143</vt:lpwstr>
  </op:property>
  <op:property fmtid="{D5CDD505-2E9C-101B-9397-08002B2CF9AE}" pid="3" name="OfficeCLI.LastModified">
    <vt:lpwstr xmlns:vt="http://schemas.openxmlformats.org/officeDocument/2006/docPropsVTypes">2026-08-05T07:44:20Z</vt:lpwstr>
  </op:property>
</op:Properties>
</file>