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1baf6caf3f34d06" /><Relationship Type="http://schemas.openxmlformats.org/package/2006/relationships/metadata/core-properties" Target="/docProps/core.xml" Id="R7db67f0b07144cc1" /><Relationship Type="http://schemas.openxmlformats.org/officeDocument/2006/relationships/extended-properties" Target="/docProps/app.xml" Id="Rdebdf27750ed4559" /><Relationship Type="http://schemas.openxmlformats.org/officeDocument/2006/relationships/custom-properties" Target="/docProps/custom.xml" Id="R9a2e8a5c8db8403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800" w:after="200"/>
        <w:jc w:val="center"/>
      </w:pPr>
      <w:r>
        <w:rPr>
          <w:b/>
          <w:color w:val="B9770E"/>
          <w:sz w:val="52"/>
        </w:rPr>
        <w:t xml:space="preserve">Open Data Fusion (ODF)</w:t>
      </w:r>
    </w:p>
    <w:p w14:paraId="00100002" w14:textId="00100003">
      <w:pPr>
        <w:pStyle w:val="Subtitle"/>
        <w:spacing w:after="280"/>
        <w:jc w:val="center"/>
      </w:pPr>
      <w:r>
        <w:rPr>
          <w:color w:val="2E86AB"/>
          <w:sz w:val="32"/>
        </w:rPr>
        <w:t xml:space="preserve">Báo cáo kỹ thuật chi tiết</w:t>
      </w:r>
    </w:p>
    <w:p w14:paraId="00100004" w14:textId="00100005">
      <w:pPr>
        <w:spacing w:after="120"/>
        <w:jc w:val="center"/>
      </w:pPr>
      <w:r>
        <w:rPr>
          <w:color w:val="555555"/>
          <w:sz w:val="22"/>
        </w:rPr>
        <w:t xml:space="preserve">FII AI / MKZ Factory Monitor — Component Technical Report</w:t>
      </w:r>
    </w:p>
    <w:p w14:paraId="00100006" w14:textId="00100007">
      <w:pPr>
        <w:spacing w:after="80"/>
        <w:jc w:val="center"/>
      </w:pPr>
      <w:r>
        <w:rPr>
          <w:sz w:val="22"/>
        </w:rPr>
        <w:t xml:space="preserve">Document date: 5 August 2026 | Language: Vietnamese</w:t>
      </w:r>
    </w:p>
    <w:p w14:paraId="00100008" w14:textId="00100009">
      <w:pPr>
        <w:spacing w:after="400"/>
        <w:jc w:val="center"/>
      </w:pPr>
      <w:r>
        <w:rPr>
          <w:b/>
          <w:color w:val="922B21"/>
          <w:sz w:val="22"/>
        </w:rPr>
        <w:t xml:space="preserve">Release posture: Staging candidate — NO-GO cho production</w:t>
      </w:r>
    </w:p>
    <w:p w14:paraId="0010000A" w14:textId="0010000B">
      <w:pPr>
        <w:pageBreakBefore/>
        <w:spacing w:after="240"/>
        <w:jc w:val="center"/>
      </w:pPr>
      <w:r>
        <w:rPr>
          <w:color w:val="666666"/>
          <w:sz w:val="20"/>
        </w:rPr>
        <w:t xml:space="preserve">Sources: source code, README, PROJECT_PLAN.md, docs/PROJECT-GUIDE.vi.md, docs/release-evidence/.</w:t>
      </w:r>
    </w:p>
    <w:p w14:paraId="0010000C" w14:textId="0010000D">
      <w:pPr>
        <w:pStyle w:val="Heading1"/>
        <w:spacing w:before="320" w:after="200"/>
      </w:pPr>
      <w:r>
        <w:rPr>
          <w:b/>
          <w:color w:val="B9770E"/>
          <w:sz w:val="40"/>
        </w:rPr>
        <w:t xml:space="preserve">Mục lục</w:t>
      </w:r>
    </w:p>
    <w:p w14:paraId="0010000E" w14:textId="0010000F">
      <w:r>
        <w:fldChar w:fldCharType="begin"/>
      </w:r>
      <w:r>
        <w:instrText xml:space="preserve"> TOC \o "1-2"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10" w14:textId="00100011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1. Tóm tắt điều hành</w:t>
      </w:r>
    </w:p>
    <w:p w14:paraId="00100012" w14:textId="00100013">
      <w:pPr>
        <w:pStyle w:val="Normal"/>
        <w:spacing w:after="120"/>
      </w:pPr>
      <w:r>
        <w:rPr>
          <w:sz w:val="22"/>
        </w:rPr>
        <w:t xml:space="preserve">Open Data Fusion (ODF) là nền tảng open-source (Apache-2.0) cho governed industrial data integration, contextualization và visual collaboration. Trong workspace FII: Open-Data-Fusion/ (product) và third_party/open-data-fusion/ (submodule pin). Pre-release — không nối OT production / không industrial control khi chưa review độc lập.</w:t>
      </w:r>
    </w:p>
    <w:p w14:paraId="00100014" w14:textId="00100015">
      <w:pPr>
        <w:pStyle w:val="Normal"/>
        <w:spacing w:after="120"/>
      </w:pPr>
      <w:r>
        <w:rPr>
          <w:sz w:val="22"/>
        </w:rPr>
        <w:t xml:space="preserve">Với FII, dữ liệu vào ODF qua Fusion Adapter + transactional outbox — ngoài MQTT hot path. Capture và Dispatch độc lập. ODF down không được dừng telemetry local.</w:t>
      </w:r>
    </w:p>
    <w:p w14:paraId="00100016" w14:textId="00100017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2. Apps và packages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B9770E"/>
          </w:tcPr>
          <w:p w14:paraId="00100018" w14:textId="00100019"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w:val="clear" w:fill="B9770E"/>
          </w:tcPr>
          <w:p w14:paraId="0010001A" w14:textId="0010001B">
            <w:r>
              <w:rPr>
                <w:b/>
                <w:color w:val="FFFFFF"/>
                <w:sz w:val="20"/>
              </w:rPr>
              <w:t xml:space="preserve">Role</w:t>
            </w:r>
          </w:p>
        </w:tc>
      </w:tr>
      <w:tr>
        <w:trPr/>
        <w:tc>
          <w:p w14:paraId="0010001C" w14:textId="0010001D">
            <w:r>
              <w:t xml:space="preserve">apps/web</w:t>
            </w:r>
          </w:p>
        </w:tc>
        <w:tc>
          <w:p w14:paraId="0010001E" w14:textId="0010001F">
            <w:r>
              <w:t xml:space="preserve">React + Vite Asset Explorer + Industrial Canvas</w:t>
            </w:r>
          </w:p>
        </w:tc>
      </w:tr>
      <w:tr>
        <w:trPr/>
        <w:tc>
          <w:p w14:paraId="00100020" w14:textId="00100021">
            <w:r>
              <w:t xml:space="preserve">apps/api</w:t>
            </w:r>
          </w:p>
        </w:tc>
        <w:tc>
          <w:p w14:paraId="00100022" w14:textId="00100023">
            <w:r>
              <w:t xml:space="preserve">TypeScript REST API, auth, industrial persistence</w:t>
            </w:r>
          </w:p>
        </w:tc>
      </w:tr>
      <w:tr>
        <w:trPr/>
        <w:tc>
          <w:p w14:paraId="00100024" w14:textId="00100025">
            <w:r>
              <w:t xml:space="preserve">apps/edge-agent</w:t>
            </w:r>
          </w:p>
        </w:tc>
        <w:tc>
          <w:p w14:paraId="00100026" w14:textId="00100027">
            <w:r>
              <w:t xml:space="preserve">CSV / PostgreSQL / OPC UA read-only collection</w:t>
            </w:r>
          </w:p>
        </w:tc>
      </w:tr>
      <w:tr>
        <w:trPr/>
        <w:tc>
          <w:p w14:paraId="00100028" w14:textId="00100029">
            <w:r>
              <w:t xml:space="preserve">apps/outbox-worker</w:t>
            </w:r>
          </w:p>
        </w:tc>
        <w:tc>
          <w:p w14:paraId="0010002A" w14:textId="0010002B">
            <w:r>
              <w:t xml:space="preserve">Postgres outbox → Redis Streams</w:t>
            </w:r>
          </w:p>
        </w:tc>
      </w:tr>
      <w:tr>
        <w:trPr/>
        <w:tc>
          <w:p w14:paraId="0010002C" w14:textId="0010002D">
            <w:r>
              <w:t xml:space="preserve">apps/pipeline-worker</w:t>
            </w:r>
          </w:p>
        </w:tc>
        <w:tc>
          <w:p w14:paraId="0010002E" w14:textId="0010002F">
            <w:r>
              <w:t xml:space="preserve">Scoped / gated pipelines</w:t>
            </w:r>
          </w:p>
        </w:tc>
      </w:tr>
      <w:tr>
        <w:trPr/>
        <w:tc>
          <w:p w14:paraId="00100030" w14:textId="00100031">
            <w:r>
              <w:t xml:space="preserve">packages/contracts</w:t>
            </w:r>
          </w:p>
        </w:tc>
        <w:tc>
          <w:p w14:paraId="00100032" w14:textId="00100033">
            <w:r>
              <w:t xml:space="preserve">Shared contracts</w:t>
            </w:r>
          </w:p>
        </w:tc>
      </w:tr>
      <w:tr>
        <w:trPr/>
        <w:tc>
          <w:p w14:paraId="00100034" w14:textId="00100035">
            <w:r>
              <w:t xml:space="preserve">packages/platform-core</w:t>
            </w:r>
          </w:p>
        </w:tc>
        <w:tc>
          <w:p w14:paraId="00100036" w14:textId="00100037">
            <w:r>
              <w:t xml:space="preserve">Modeling + platform core</w:t>
            </w:r>
          </w:p>
        </w:tc>
      </w:tr>
      <w:tr>
        <w:trPr/>
        <w:tc>
          <w:p w14:paraId="00100038" w14:textId="00100039">
            <w:r>
              <w:t xml:space="preserve">packages/postgres-runtime</w:t>
            </w:r>
          </w:p>
        </w:tc>
        <w:tc>
          <w:p w14:paraId="0010003A" w14:textId="0010003B">
            <w:r>
              <w:t xml:space="preserve">Postgres adapters + RLS runtime</w:t>
            </w:r>
          </w:p>
        </w:tc>
      </w:tr>
    </w:tbl>
    <w:p w14:paraId="0010003C" w14:textId="0010003D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3. Capability map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B9770E"/>
          </w:tcPr>
          <w:p w14:paraId="0010003E" w14:textId="0010003F">
            <w:r>
              <w:rPr>
                <w:b/>
                <w:color w:val="FFFFFF"/>
                <w:sz w:val="20"/>
              </w:rPr>
              <w:t xml:space="preserve">Area</w:t>
            </w:r>
          </w:p>
        </w:tc>
        <w:tc>
          <w:tcPr>
            <w:shd w:val="clear" w:fill="B9770E"/>
          </w:tcPr>
          <w:p w14:paraId="00100040" w14:textId="00100041">
            <w:r>
              <w:rPr>
                <w:b/>
                <w:color w:val="FFFFFF"/>
                <w:sz w:val="20"/>
              </w:rPr>
              <w:t xml:space="preserve">Status</w:t>
            </w:r>
          </w:p>
        </w:tc>
        <w:tc>
          <w:tcPr>
            <w:shd w:val="clear" w:fill="B9770E"/>
          </w:tcPr>
          <w:p w14:paraId="00100042" w14:textId="00100043">
            <w:r>
              <w:rPr>
                <w:b/>
                <w:color w:val="FFFFFF"/>
                <w:sz w:val="20"/>
              </w:rPr>
              <w:t xml:space="preserve">Ghi chú</w:t>
            </w:r>
          </w:p>
        </w:tc>
      </w:tr>
      <w:tr>
        <w:trPr/>
        <w:tc>
          <w:p w14:paraId="00100044" w14:textId="00100045">
            <w:r>
              <w:t xml:space="preserve">Asset Explorer</w:t>
            </w:r>
          </w:p>
        </w:tc>
        <w:tc>
          <w:p w14:paraId="00100046" w14:textId="00100047">
            <w:r>
              <w:t xml:space="preserve">Available</w:t>
            </w:r>
          </w:p>
        </w:tc>
        <w:tc>
          <w:p w14:paraId="00100048" w14:textId="00100049">
            <w:r>
              <w:t xml:space="preserve">Hierarchy, telemetry, relations</w:t>
            </w:r>
          </w:p>
        </w:tc>
      </w:tr>
      <w:tr>
        <w:trPr/>
        <w:tc>
          <w:p w14:paraId="0010004A" w14:textId="0010004B">
            <w:r>
              <w:t xml:space="preserve">Industrial Canvas</w:t>
            </w:r>
          </w:p>
        </w:tc>
        <w:tc>
          <w:p w14:paraId="0010004C" w14:textId="0010004D">
            <w:r>
              <w:t xml:space="preserve">Available</w:t>
            </w:r>
          </w:p>
        </w:tc>
        <w:tc>
          <w:p w14:paraId="0010004E" w14:textId="0010004F">
            <w:r>
              <w:t xml:space="preserve">Revisions, undo/redo, rollback</w:t>
            </w:r>
          </w:p>
        </w:tc>
      </w:tr>
      <w:tr>
        <w:trPr/>
        <w:tc>
          <w:p w14:paraId="00100050" w14:textId="00100051">
            <w:r>
              <w:t xml:space="preserve">Collaboration</w:t>
            </w:r>
          </w:p>
        </w:tc>
        <w:tc>
          <w:p w14:paraId="00100052" w14:textId="00100053">
            <w:r>
              <w:t xml:space="preserve">Available</w:t>
            </w:r>
          </w:p>
        </w:tc>
        <w:tc>
          <w:p w14:paraId="00100054" w14:textId="00100055">
            <w:r>
              <w:t xml:space="preserve">Roles, presence, SSE</w:t>
            </w:r>
          </w:p>
        </w:tc>
      </w:tr>
      <w:tr>
        <w:trPr/>
        <w:tc>
          <w:p w14:paraId="00100056" w14:textId="00100057">
            <w:r>
              <w:t xml:space="preserve">Ingestion</w:t>
            </w:r>
          </w:p>
        </w:tc>
        <w:tc>
          <w:p w14:paraId="00100058" w14:textId="00100059">
            <w:r>
              <w:t xml:space="preserve">Available</w:t>
            </w:r>
          </w:p>
        </w:tc>
        <w:tc>
          <w:p w14:paraId="0010005A" w14:textId="0010005B">
            <w:r>
              <w:t xml:space="preserve">Idempotent bundles + provenance</w:t>
            </w:r>
          </w:p>
        </w:tc>
      </w:tr>
      <w:tr>
        <w:trPr/>
        <w:tc>
          <w:p w14:paraId="0010005C" w14:textId="0010005D">
            <w:r>
              <w:t xml:space="preserve">Governed objects</w:t>
            </w:r>
          </w:p>
        </w:tc>
        <w:tc>
          <w:p w14:paraId="0010005E" w14:textId="0010005F">
            <w:r>
              <w:t xml:space="preserve">Available</w:t>
            </w:r>
          </w:p>
        </w:tc>
        <w:tc>
          <w:p w14:paraId="00100060" w14:textId="00100061">
            <w:r>
              <w:t xml:space="preserve">Versioned bytes + SHA-256</w:t>
            </w:r>
          </w:p>
        </w:tc>
      </w:tr>
      <w:tr>
        <w:trPr/>
        <w:tc>
          <w:p w14:paraId="00100062" w14:textId="00100063">
            <w:r>
              <w:t xml:space="preserve">Telemetry serving</w:t>
            </w:r>
          </w:p>
        </w:tc>
        <w:tc>
          <w:p w14:paraId="00100064" w14:textId="00100065">
            <w:r>
              <w:t xml:space="preserve">Available</w:t>
            </w:r>
          </w:p>
        </w:tc>
        <w:tc>
          <w:p w14:paraId="00100066" w14:textId="00100067">
            <w:r>
              <w:t xml:space="preserve">Raw / latest / aggregates</w:t>
            </w:r>
          </w:p>
        </w:tc>
      </w:tr>
      <w:tr>
        <w:trPr/>
        <w:tc>
          <w:p w14:paraId="00100068" w14:textId="00100069">
            <w:r>
              <w:t xml:space="preserve">Contextualization</w:t>
            </w:r>
          </w:p>
        </w:tc>
        <w:tc>
          <w:p w14:paraId="0010006A" w14:textId="0010006B">
            <w:r>
              <w:t xml:space="preserve">Gated</w:t>
            </w:r>
          </w:p>
        </w:tc>
        <w:tc>
          <w:p w14:paraId="0010006C" w14:textId="0010006D">
            <w:r>
              <w:t xml:space="preserve">Candidates + human review</w:t>
            </w:r>
          </w:p>
        </w:tc>
      </w:tr>
      <w:tr>
        <w:trPr/>
        <w:tc>
          <w:p w14:paraId="0010006E" w14:textId="0010006F">
            <w:r>
              <w:t xml:space="preserve">Write-back</w:t>
            </w:r>
          </w:p>
        </w:tc>
        <w:tc>
          <w:p w14:paraId="00100070" w14:textId="00100071">
            <w:r>
              <w:t xml:space="preserve">Gated</w:t>
            </w:r>
          </w:p>
        </w:tc>
        <w:tc>
          <w:p w14:paraId="00100072" w14:textId="00100073">
            <w:r>
              <w:t xml:space="preserve">Policy + approvals + external executor</w:t>
            </w:r>
          </w:p>
        </w:tc>
      </w:tr>
      <w:tr>
        <w:trPr/>
        <w:tc>
          <w:p w14:paraId="00100074" w14:textId="00100075">
            <w:r>
              <w:t xml:space="preserve">OIDC / Keycloak</w:t>
            </w:r>
          </w:p>
        </w:tc>
        <w:tc>
          <w:p w14:paraId="00100076" w14:textId="00100077">
            <w:r>
              <w:t xml:space="preserve">Optional</w:t>
            </w:r>
          </w:p>
        </w:tc>
        <w:tc>
          <w:p w14:paraId="00100078" w14:textId="00100079">
            <w:r>
              <w:t xml:space="preserve">Auth Code + PKCE</w:t>
            </w:r>
          </w:p>
        </w:tc>
      </w:tr>
      <w:tr>
        <w:trPr/>
        <w:tc>
          <w:p w14:paraId="0010007A" w14:textId="0010007B">
            <w:r>
              <w:t xml:space="preserve">Edge collection</w:t>
            </w:r>
          </w:p>
        </w:tc>
        <w:tc>
          <w:p w14:paraId="0010007C" w14:textId="0010007D">
            <w:r>
              <w:t xml:space="preserve">Optional</w:t>
            </w:r>
          </w:p>
        </w:tc>
        <w:tc>
          <w:p w14:paraId="0010007E" w14:textId="0010007F">
            <w:r>
              <w:t xml:space="preserve">Checkpointed read-only sources</w:t>
            </w:r>
          </w:p>
        </w:tc>
      </w:tr>
      <w:tr>
        <w:trPr/>
        <w:tc>
          <w:p w14:paraId="00100080" w14:textId="00100081">
            <w:r>
              <w:t xml:space="preserve">Workers / Redis</w:t>
            </w:r>
          </w:p>
        </w:tc>
        <w:tc>
          <w:p w14:paraId="00100082" w14:textId="00100083">
            <w:r>
              <w:t xml:space="preserve">Optional</w:t>
            </w:r>
          </w:p>
        </w:tc>
        <w:tc>
          <w:p w14:paraId="00100084" w14:textId="00100085">
            <w:r>
              <w:t xml:space="preserve">Multi-instance event fan-out</w:t>
            </w:r>
          </w:p>
        </w:tc>
      </w:tr>
      <w:tr>
        <w:trPr/>
        <w:tc>
          <w:p w14:paraId="00100086" w14:textId="00100087">
            <w:r>
              <w:t xml:space="preserve">Observability</w:t>
            </w:r>
          </w:p>
        </w:tc>
        <w:tc>
          <w:p w14:paraId="00100088" w14:textId="00100089">
            <w:r>
              <w:t xml:space="preserve">Optional</w:t>
            </w:r>
          </w:p>
        </w:tc>
        <w:tc>
          <w:p w14:paraId="0010008A" w14:textId="0010008B">
            <w:r>
              <w:t xml:space="preserve">Prometheus / Grafana / OTEL</w:t>
            </w:r>
          </w:p>
        </w:tc>
      </w:tr>
    </w:tbl>
    <w:p w14:paraId="0010008C" w14:textId="0010008D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4. Tích hợp FII — Capture / Dispatch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B9770E"/>
          </w:tcPr>
          <w:p w14:paraId="0010008E" w14:textId="0010008F">
            <w:r>
              <w:rPr>
                <w:b/>
                <w:color w:val="FFFFFF"/>
                <w:sz w:val="20"/>
              </w:rPr>
              <w:t xml:space="preserve">Flag / Step</w:t>
            </w:r>
          </w:p>
        </w:tc>
        <w:tc>
          <w:tcPr>
            <w:shd w:val="clear" w:fill="B9770E"/>
          </w:tcPr>
          <w:p w14:paraId="00100090" w14:textId="00100091">
            <w:r>
              <w:rPr>
                <w:b/>
                <w:color w:val="FFFFFF"/>
                <w:sz w:val="20"/>
              </w:rPr>
              <w:t xml:space="preserve">Hành vi</w:t>
            </w:r>
          </w:p>
        </w:tc>
      </w:tr>
      <w:tr>
        <w:trPr/>
        <w:tc>
          <w:p w14:paraId="00100092" w14:textId="00100093">
            <w:r>
              <w:t xml:space="preserve">OpenDataFusion__CaptureEnabled=true</w:t>
            </w:r>
          </w:p>
        </w:tc>
        <w:tc>
          <w:p w14:paraId="00100094" w14:textId="00100095">
            <w:r>
              <w:t xml:space="preserve">Backend writes fusion_outbox with business txn</w:t>
            </w:r>
          </w:p>
        </w:tc>
      </w:tr>
      <w:tr>
        <w:trPr/>
        <w:tc>
          <w:p w14:paraId="00100096" w14:textId="00100097">
            <w:r>
              <w:t xml:space="preserve">OpenDataFusion__DispatchEnabled=true</w:t>
            </w:r>
          </w:p>
        </w:tc>
        <w:tc>
          <w:p w14:paraId="00100098" w14:textId="00100099">
            <w:r>
              <w:t xml:space="preserve">Adapter claims lease and POSTs ODF bundles</w:t>
            </w:r>
          </w:p>
        </w:tc>
      </w:tr>
      <w:tr>
        <w:trPr/>
        <w:tc>
          <w:p w14:paraId="0010009A" w14:textId="0010009B">
            <w:r>
              <w:t xml:space="preserve">Tenant / Project / Identity ready</w:t>
            </w:r>
          </w:p>
        </w:tc>
        <w:tc>
          <w:p w14:paraId="0010009C" w14:textId="0010009D">
            <w:r>
              <w:t xml:space="preserve">Prerequisite before Dispatch</w:t>
            </w:r>
          </w:p>
        </w:tc>
      </w:tr>
      <w:tr>
        <w:trPr/>
        <w:tc>
          <w:p w14:paraId="0010009E" w14:textId="0010009F">
            <w:r>
              <w:t xml:space="preserve">Preview scripts</w:t>
            </w:r>
          </w:p>
        </w:tc>
        <w:tc>
          <w:p w14:paraId="001000A0" w14:textId="001000A1">
            <w:r>
              <w:t xml:space="preserve">Start|Test-OpenDataFusionPreview.ps1 (loopback)</w:t>
            </w:r>
          </w:p>
        </w:tc>
      </w:tr>
      <w:tr>
        <w:trPr/>
        <w:tc>
          <w:p w14:paraId="001000A2" w14:textId="001000A3">
            <w:r>
              <w:t xml:space="preserve">Rollback</w:t>
            </w:r>
          </w:p>
        </w:tc>
        <w:tc>
          <w:p w14:paraId="001000A4" w14:textId="001000A5">
            <w:r>
              <w:t xml:space="preserve">Capture=false, stop adapter, keep pending outbox</w:t>
            </w:r>
          </w:p>
        </w:tc>
      </w:tr>
      <w:tr>
        <w:trPr/>
        <w:tc>
          <w:p w14:paraId="001000A6" w14:textId="001000A7">
            <w:r>
              <w:t xml:space="preserve">External IDs</w:t>
            </w:r>
          </w:p>
        </w:tc>
        <w:tc>
          <w:p w14:paraId="001000A8" w14:textId="001000A9">
            <w:r>
              <w:t xml:space="preserve">mkz:plant:* / mkz:line:* / mkz:machine:* / mkz:ts:*</w:t>
            </w:r>
          </w:p>
        </w:tc>
      </w:tr>
    </w:tbl>
    <w:p w14:paraId="001000AA" w14:textId="001000AB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5. Cổng preview mặc định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B9770E"/>
          </w:tcPr>
          <w:p w14:paraId="001000AC" w14:textId="001000AD">
            <w:r>
              <w:rPr>
                <w:b/>
                <w:color w:val="FFFFFF"/>
                <w:sz w:val="20"/>
              </w:rPr>
              <w:t xml:space="preserve">Service</w:t>
            </w:r>
          </w:p>
        </w:tc>
        <w:tc>
          <w:tcPr>
            <w:shd w:val="clear" w:fill="B9770E"/>
          </w:tcPr>
          <w:p w14:paraId="001000AE" w14:textId="001000AF">
            <w:r>
              <w:rPr>
                <w:b/>
                <w:color w:val="FFFFFF"/>
                <w:sz w:val="20"/>
              </w:rPr>
              <w:t xml:space="preserve">Port</w:t>
            </w:r>
          </w:p>
        </w:tc>
      </w:tr>
      <w:tr>
        <w:trPr/>
        <w:tc>
          <w:p w14:paraId="001000B0" w14:textId="001000B1">
            <w:r>
              <w:t xml:space="preserve">ODF API</w:t>
            </w:r>
          </w:p>
        </w:tc>
        <w:tc>
          <w:p w14:paraId="001000B2" w14:textId="001000B3">
            <w:r>
              <w:t xml:space="preserve">54310</w:t>
            </w:r>
          </w:p>
        </w:tc>
      </w:tr>
      <w:tr>
        <w:trPr/>
        <w:tc>
          <w:p w14:paraId="001000B4" w14:textId="001000B5">
            <w:r>
              <w:t xml:space="preserve">ODF Web</w:t>
            </w:r>
          </w:p>
        </w:tc>
        <w:tc>
          <w:p w14:paraId="001000B6" w14:textId="001000B7">
            <w:r>
              <w:t xml:space="preserve">58088</w:t>
            </w:r>
          </w:p>
        </w:tc>
      </w:tr>
      <w:tr>
        <w:trPr/>
        <w:tc>
          <w:p w14:paraId="001000B8" w14:textId="001000B9">
            <w:r>
              <w:t xml:space="preserve">PostgreSQL</w:t>
            </w:r>
          </w:p>
        </w:tc>
        <w:tc>
          <w:p w14:paraId="001000BA" w14:textId="001000BB">
            <w:r>
              <w:t xml:space="preserve">55432</w:t>
            </w:r>
          </w:p>
        </w:tc>
      </w:tr>
      <w:tr>
        <w:trPr/>
        <w:tc>
          <w:p w14:paraId="001000BC" w14:textId="001000BD">
            <w:r>
              <w:t xml:space="preserve">Redis</w:t>
            </w:r>
          </w:p>
        </w:tc>
        <w:tc>
          <w:p w14:paraId="001000BE" w14:textId="001000BF">
            <w:r>
              <w:t xml:space="preserve">56379</w:t>
            </w:r>
          </w:p>
        </w:tc>
      </w:tr>
      <w:tr>
        <w:trPr/>
        <w:tc>
          <w:p w14:paraId="001000C0" w14:textId="001000C1">
            <w:r>
              <w:t xml:space="preserve">Grafana</w:t>
            </w:r>
          </w:p>
        </w:tc>
        <w:tc>
          <w:p w14:paraId="001000C2" w14:textId="001000C3">
            <w:r>
              <w:t xml:space="preserve">53000</w:t>
            </w:r>
          </w:p>
        </w:tc>
      </w:tr>
      <w:tr>
        <w:trPr/>
        <w:tc>
          <w:p w14:paraId="001000C4" w14:textId="001000C5">
            <w:r>
              <w:t xml:space="preserve">Prometheus</w:t>
            </w:r>
          </w:p>
        </w:tc>
        <w:tc>
          <w:p w14:paraId="001000C6" w14:textId="001000C7">
            <w:r>
              <w:t xml:space="preserve">59090</w:t>
            </w:r>
          </w:p>
        </w:tc>
      </w:tr>
    </w:tbl>
    <w:p w14:paraId="001000C8" w14:textId="001000C9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6. Nguyên tắc thiết kế</w:t>
      </w:r>
    </w:p>
    <w:p w14:paraId="001000CA" w14:textId="001000CB">
      <w:pPr>
        <w:pStyle w:val="Normal"/>
        <w:spacing w:after="60"/>
        <w:ind w:left="360"/>
      </w:pPr>
      <w:r>
        <w:rPr>
          <w:sz w:val="22"/>
        </w:rPr>
        <w:t xml:space="preserve">• Evidence before convenience</w:t>
      </w:r>
    </w:p>
    <w:p w14:paraId="001000CC" w14:textId="001000CD">
      <w:pPr>
        <w:pStyle w:val="Normal"/>
        <w:spacing w:after="60"/>
        <w:ind w:left="360"/>
      </w:pPr>
      <w:r>
        <w:rPr>
          <w:sz w:val="22"/>
        </w:rPr>
        <w:t xml:space="preserve">• Review before truth</w:t>
      </w:r>
    </w:p>
    <w:p w14:paraId="001000CE" w14:textId="001000CF">
      <w:pPr>
        <w:pStyle w:val="Normal"/>
        <w:spacing w:after="60"/>
        <w:ind w:left="360"/>
      </w:pPr>
      <w:r>
        <w:rPr>
          <w:sz w:val="22"/>
        </w:rPr>
        <w:t xml:space="preserve">• One source of truth (no dual-write authoritative stores)</w:t>
      </w:r>
    </w:p>
    <w:p w14:paraId="001000D0" w14:textId="001000D1">
      <w:pPr>
        <w:pStyle w:val="Normal"/>
        <w:spacing w:after="60"/>
        <w:ind w:left="360"/>
      </w:pPr>
      <w:r>
        <w:rPr>
          <w:sz w:val="22"/>
        </w:rPr>
        <w:t xml:space="preserve">• Fail closed on missing identity / policy / executor</w:t>
      </w:r>
    </w:p>
    <w:p w14:paraId="001000D2" w14:textId="001000D3">
      <w:pPr>
        <w:pStyle w:val="Normal"/>
        <w:spacing w:after="60"/>
        <w:ind w:left="360"/>
      </w:pPr>
      <w:r>
        <w:rPr>
          <w:sz w:val="22"/>
        </w:rPr>
        <w:t xml:space="preserve">• Local-first, production-aware (sqlite | postgres)</w:t>
      </w:r>
    </w:p>
    <w:p w14:paraId="001000D4" w14:textId="001000D5">
      <w:pPr>
        <w:pStyle w:val="Normal"/>
        <w:spacing w:after="60"/>
        <w:ind w:left="360"/>
      </w:pPr>
      <w:r>
        <w:rPr>
          <w:sz w:val="22"/>
        </w:rPr>
        <w:t xml:space="preserve">• Clean-room implementation (not Cognite Data Fusion)</w:t>
      </w:r>
    </w:p>
    <w:p w14:paraId="001000D6" w14:textId="001000D7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7. Persistence</w:t>
      </w:r>
    </w:p>
    <w:p w14:paraId="001000D8" w14:textId="001000D9">
      <w:pPr>
        <w:pStyle w:val="Normal"/>
        <w:spacing w:after="120"/>
      </w:pPr>
      <w:r>
        <w:rPr>
          <w:sz w:val="22"/>
        </w:rPr>
        <w:t xml:space="preserve">ODF_DATA_PERSISTENCE=sqlite|postgres — một backend authoritative mỗi process. Postgres dùng RLS forced cho multi-tenant; shared S3-compatible object store cho governed bytes. ODF_SEED=true chỉ fixture opt-in.</w:t>
      </w:r>
    </w:p>
    <w:p w14:paraId="001000DA" w14:textId="001000DB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8. Chạy standalone</w:t>
      </w:r>
    </w:p>
    <w:p w14:paraId="001000DC" w14:textId="001000DD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cd Open-Data-Fusion</w:t>
      </w:r>
    </w:p>
    <w:p w14:paraId="001000DE" w14:textId="001000DF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npm install</w:t>
      </w:r>
    </w:p>
    <w:p w14:paraId="001000E0" w14:textId="001000E1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npm run dev</w:t>
      </w:r>
    </w:p>
    <w:p w14:paraId="001000E2" w14:textId="001000E3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git submodule update --init --recursive</w:t>
      </w:r>
    </w:p>
    <w:p w14:paraId="001000E4" w14:textId="001000E5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.\infrastructure\open-data-fusion\Start-OpenDataFusionPreview.ps1</w:t>
      </w:r>
    </w:p>
    <w:p w14:paraId="001000E6" w14:textId="001000E7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9. Rủi ro và kết luận</w:t>
      </w:r>
    </w:p>
    <w:p w14:paraId="001000E8" w14:textId="001000E9">
      <w:pPr>
        <w:pStyle w:val="Normal"/>
        <w:spacing w:after="60"/>
        <w:ind w:left="360"/>
      </w:pPr>
      <w:r>
        <w:rPr>
          <w:sz w:val="22"/>
        </w:rPr>
        <w:t xml:space="preserve">• Tách Operations path vs ODF path trong incident response</w:t>
      </w:r>
    </w:p>
    <w:p w14:paraId="001000EA" w14:textId="001000EB">
      <w:pPr>
        <w:pStyle w:val="Normal"/>
        <w:spacing w:after="60"/>
        <w:ind w:left="360"/>
      </w:pPr>
      <w:r>
        <w:rPr>
          <w:sz w:val="22"/>
        </w:rPr>
        <w:t xml:space="preserve">• Không bật Dispatch trước OIDC/tenant proven</w:t>
      </w:r>
    </w:p>
    <w:p w14:paraId="001000EC" w14:textId="001000ED">
      <w:pPr>
        <w:pStyle w:val="Normal"/>
        <w:spacing w:after="60"/>
        <w:ind w:left="360"/>
      </w:pPr>
      <w:r>
        <w:rPr>
          <w:sz w:val="22"/>
        </w:rPr>
        <w:t xml:space="preserve">• Không sửa third_party submodule để chứa secret MKZ</w:t>
      </w:r>
    </w:p>
    <w:p w14:paraId="001000EE" w14:textId="001000EF">
      <w:pPr>
        <w:pStyle w:val="Normal"/>
        <w:spacing w:after="60"/>
        <w:ind w:left="360"/>
      </w:pPr>
      <w:r>
        <w:rPr>
          <w:sz w:val="22"/>
        </w:rPr>
        <w:t xml:space="preserve">• ODF preview green ≠ FII production GO</w:t>
      </w:r>
    </w:p>
    <w:p w14:paraId="001000F0" w14:textId="001000F1">
      <w:pPr>
        <w:pStyle w:val="Normal"/>
        <w:spacing w:after="120"/>
      </w:pPr>
      <w:r>
        <w:rPr>
          <w:sz w:val="22"/>
        </w:rPr>
        <w:t xml:space="preserve">ODF là secondary delivery plane có provenance, Explorer/Canvas và governance. Trong FII, thiết kế đúng khi Capture/Dispatch tách và operations vẫn sống nếu ODF down.</w:t>
      </w:r>
    </w:p>
    <w:p w14:paraId="001000F2" w14:textId="001000F3">
      <w:pPr>
        <w:pStyle w:val="Heading1"/>
        <w:spacing w:before="320" w:after="200"/>
      </w:pPr>
      <w:r>
        <w:rPr>
          <w:b/>
          <w:color w:val="B9770E"/>
          <w:sz w:val="40"/>
        </w:rPr>
        <w:t xml:space="preserve">Phụ lục — Nguồn</w:t>
      </w:r>
    </w:p>
    <w:p w14:paraId="001000F4" w14:textId="001000F5">
      <w:pPr>
        <w:pStyle w:val="Normal"/>
        <w:spacing w:after="60"/>
        <w:ind w:left="360"/>
      </w:pPr>
      <w:r>
        <w:rPr>
          <w:sz w:val="22"/>
        </w:rPr>
        <w:t xml:space="preserve">• Open-Data-Fusion/README.md, docs/architecture/*, docs/operations/*</w:t>
      </w:r>
    </w:p>
    <w:p w14:paraId="001000F6" w14:textId="001000F7">
      <w:pPr>
        <w:pStyle w:val="Normal"/>
        <w:spacing w:after="60"/>
        <w:ind w:left="360"/>
      </w:pPr>
      <w:r>
        <w:rPr>
          <w:sz w:val="22"/>
        </w:rPr>
        <w:t xml:space="preserve">• fusion-adapter/, infrastructure/open-data-fusion/</w:t>
      </w:r>
    </w:p>
    <w:p w14:paraId="001000F8" w14:textId="001000F9">
      <w:pPr>
        <w:pStyle w:val="Normal"/>
        <w:spacing w:after="60"/>
        <w:ind w:left="360"/>
      </w:pPr>
      <w:r>
        <w:rPr>
          <w:sz w:val="22"/>
        </w:rPr>
        <w:t xml:space="preserve">• third_party/open-data-fusion/, docs/PROJECT-GUIDE.vi.md §4.5–4.7</w:t>
      </w:r>
    </w:p>
    <w:sectPr>
      <w:headerReference w:type="default" r:id="R23e71fb99aa04d85"/>
      <w:footerReference w:type="default" r:id="R5c1a79c852a24bc1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FD" w14:textId="001000FF">
    <w:pPr>
      <w:jc w:val="center"/>
    </w:pPr>
    <w:r>
      <w:rPr>
        <w:sz w:val="18"/>
      </w:rPr>
      <w:t xml:space="preserve">FII AI | Staging candidate |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FA" w14:textId="001000FC">
    <w:pPr>
      <w:jc w:val="right"/>
    </w:pPr>
    <w:r>
      <w:rPr>
        <w:color w:val="666666"/>
        <w:sz w:val="18"/>
      </w:rPr>
      <w:t xml:space="preserve">FII AI | ODF | Báo cáo kỹ thuật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7e9371fc84a48a2" /><Relationship Type="http://schemas.openxmlformats.org/officeDocument/2006/relationships/styles" Target="/word/styles.xml" Id="Rfc7c8fa23a4f4256" /><Relationship Type="http://schemas.openxmlformats.org/officeDocument/2006/relationships/theme" Target="/word/theme/theme1.xml" Id="R3737f1cce38a447c" /><Relationship Type="http://schemas.openxmlformats.org/officeDocument/2006/relationships/numbering" Target="/word/numbering.xml" Id="Rc623b3de1d45406a" /><Relationship Type="http://schemas.openxmlformats.org/officeDocument/2006/relationships/header" Target="/word/header1.xml" Id="R23e71fb99aa04d85" /><Relationship Type="http://schemas.openxmlformats.org/officeDocument/2006/relationships/footer" Target="/word/footer1.xml" Id="R5c1a79c852a24b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2026-08-05T07:44:07Z</dcterms:created>
  <cp:lastModifiedBy>OfficeCLI</cp:lastModifiedBy>
  <dcterms:modified xsi:type="dcterms:W3CDTF">2026-08-05T07:44:07Z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2026-08-05T07:44:12Z</vt:lpwstr>
  </op:property>
</op:Properties>
</file>