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e9648bbb1f47de" /><Relationship Type="http://schemas.openxmlformats.org/package/2006/relationships/metadata/core-properties" Target="/docProps/core.xml" Id="Reb8443d91171497d" /><Relationship Type="http://schemas.openxmlformats.org/officeDocument/2006/relationships/extended-properties" Target="/docProps/app.xml" Id="Ra7694e98866f4d0c" /><Relationship Type="http://schemas.openxmlformats.org/officeDocument/2006/relationships/custom-properties" Target="/docProps/custom.xml" Id="R7f5a627c6d304b9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800" w:after="200"/>
        <w:jc w:val="center"/>
      </w:pPr>
      <w:r>
        <w:rPr>
          <w:b/>
          <w:color w:val="0E6655"/>
          <w:sz w:val="52"/>
        </w:rPr>
        <w:t xml:space="preserve">Backend — Operations API</w:t>
      </w:r>
    </w:p>
    <w:p w14:paraId="00100002" w14:textId="00100003">
      <w:pPr>
        <w:pStyle w:val="Subtitle"/>
        <w:spacing w:after="280"/>
        <w:jc w:val="center"/>
      </w:pPr>
      <w:r>
        <w:rPr>
          <w:color w:val="2E86AB"/>
          <w:sz w:val="32"/>
        </w:rPr>
        <w:t xml:space="preserve">Báo cáo kỹ thuật chi tiết</w:t>
      </w:r>
    </w:p>
    <w:p w14:paraId="00100004" w14:textId="00100005">
      <w:pPr>
        <w:spacing w:after="120"/>
        <w:jc w:val="center"/>
      </w:pPr>
      <w:r>
        <w:rPr>
          <w:color w:val="555555"/>
          <w:sz w:val="22"/>
        </w:rPr>
        <w:t xml:space="preserve">FII AI / MKZ Factory Monitor — Component Technical Report</w:t>
      </w:r>
    </w:p>
    <w:p w14:paraId="00100006" w14:textId="00100007">
      <w:pPr>
        <w:spacing w:after="80"/>
        <w:jc w:val="center"/>
      </w:pPr>
      <w:r>
        <w:rPr>
          <w:sz w:val="22"/>
        </w:rPr>
        <w:t xml:space="preserve">Document date: 5 August 2026 | Language: Vietnamese</w:t>
      </w:r>
    </w:p>
    <w:p w14:paraId="00100008" w14:textId="00100009">
      <w:pPr>
        <w:spacing w:after="400"/>
        <w:jc w:val="center"/>
      </w:pPr>
      <w:r>
        <w:rPr>
          <w:b/>
          <w:color w:val="922B21"/>
          <w:sz w:val="22"/>
        </w:rPr>
        <w:t xml:space="preserve">Release posture: Staging candidate — NO-GO cho production</w:t>
      </w:r>
    </w:p>
    <w:p w14:paraId="0010000A" w14:textId="0010000B">
      <w:pPr>
        <w:pageBreakBefore/>
        <w:spacing w:after="240"/>
        <w:jc w:val="center"/>
      </w:pPr>
      <w:r>
        <w:rPr>
          <w:color w:val="666666"/>
          <w:sz w:val="20"/>
        </w:rPr>
        <w:t xml:space="preserve">Sources: source code, README, PROJECT_PLAN.md, docs/PROJECT-GUIDE.vi.md, docs/release-evidence/.</w:t>
      </w:r>
    </w:p>
    <w:p w14:paraId="0010000C" w14:textId="0010000D">
      <w:pPr>
        <w:pStyle w:val="Heading1"/>
        <w:spacing w:before="320" w:after="200"/>
      </w:pPr>
      <w:r>
        <w:rPr>
          <w:b/>
          <w:color w:val="0E6655"/>
          <w:sz w:val="40"/>
        </w:rPr>
        <w:t xml:space="preserve">Mục lục</w:t>
      </w:r>
    </w:p>
    <w:p w14:paraId="0010000E" w14:textId="0010000F">
      <w:r>
        <w:fldChar w:fldCharType="begin"/>
      </w:r>
      <w:r>
        <w:instrText xml:space="preserve"> TOC \o "1-2"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10" w14:textId="00100011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1. Tóm tắt điều hành</w:t>
      </w:r>
    </w:p>
    <w:p w14:paraId="00100012" w14:textId="00100013">
      <w:pPr>
        <w:pStyle w:val="Normal"/>
        <w:spacing w:after="120"/>
      </w:pPr>
      <w:r>
        <w:rPr>
          <w:sz w:val="22"/>
        </w:rPr>
        <w:t xml:space="preserve">Backend FII AI là dịch vụ ASP.NET Core trên .NET 9 — trung tâm đường dữ liệu vận hành: MQTT ingest từ ClientPLC, PostgreSQL authoritative, optional Timescale dual-write, event rules/CEP, alarm lifecycle, health/prediction, REST + SignalR cho UI, ClientPLC sync, simulation/reports, và fusion_outbox khi bật ODF capture.</w:t>
      </w:r>
    </w:p>
    <w:p w14:paraId="00100014" w14:textId="00100015">
      <w:pPr>
        <w:pStyle w:val="Normal"/>
        <w:spacing w:after="120"/>
      </w:pPr>
      <w:r>
        <w:rPr>
          <w:sz w:val="22"/>
        </w:rPr>
        <w:t xml:space="preserve">Fail-closed với JWT key, MQTT encryption key, tenant id, connection string. Local green không thay managed staging gate.</w:t>
      </w:r>
    </w:p>
    <w:p w14:paraId="00100016" w14:textId="00100017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2. Controllers (REST surface)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0E6655"/>
          </w:tcPr>
          <w:p w14:paraId="00100018" w14:textId="00100019">
            <w:r>
              <w:rPr>
                <w:b/>
                <w:color w:val="FFFFFF"/>
                <w:sz w:val="20"/>
              </w:rPr>
              <w:t xml:space="preserve">Controller</w:t>
            </w:r>
          </w:p>
        </w:tc>
        <w:tc>
          <w:tcPr>
            <w:shd w:val="clear" w:fill="0E6655"/>
          </w:tcPr>
          <w:p w14:paraId="0010001A" w14:textId="0010001B">
            <w:r>
              <w:rPr>
                <w:b/>
                <w:color w:val="FFFFFF"/>
                <w:sz w:val="20"/>
              </w:rPr>
              <w:t xml:space="preserve">Domain</w:t>
            </w:r>
          </w:p>
        </w:tc>
      </w:tr>
      <w:tr>
        <w:trPr/>
        <w:tc>
          <w:p w14:paraId="0010001C" w14:textId="0010001D">
            <w:r>
              <w:t xml:space="preserve">AuthController</w:t>
            </w:r>
          </w:p>
        </w:tc>
        <w:tc>
          <w:p w14:paraId="0010001E" w14:textId="0010001F">
            <w:r>
              <w:t xml:space="preserve">Login / session / logout</w:t>
            </w:r>
          </w:p>
        </w:tc>
      </w:tr>
      <w:tr>
        <w:trPr/>
        <w:tc>
          <w:p w14:paraId="00100020" w14:textId="00100021">
            <w:r>
              <w:t xml:space="preserve">DashboardController</w:t>
            </w:r>
          </w:p>
        </w:tc>
        <w:tc>
          <w:p w14:paraId="00100022" w14:textId="00100023">
            <w:r>
              <w:t xml:space="preserve">KPI summary</w:t>
            </w:r>
          </w:p>
        </w:tc>
      </w:tr>
      <w:tr>
        <w:trPr/>
        <w:tc>
          <w:p w14:paraId="00100024" w14:textId="00100025">
            <w:r>
              <w:t xml:space="preserve">MachineController / ProductionLineController / AssetController</w:t>
            </w:r>
          </w:p>
        </w:tc>
        <w:tc>
          <w:p w14:paraId="00100026" w14:textId="00100027">
            <w:r>
              <w:t xml:space="preserve">Catalog &amp; hierarchy</w:t>
            </w:r>
          </w:p>
        </w:tc>
      </w:tr>
      <w:tr>
        <w:trPr/>
        <w:tc>
          <w:p w14:paraId="00100028" w14:textId="00100029">
            <w:r>
              <w:t xml:space="preserve">TelemetryController / TelemetryQueryController</w:t>
            </w:r>
          </w:p>
        </w:tc>
        <w:tc>
          <w:p w14:paraId="0010002A" w14:textId="0010002B">
            <w:r>
              <w:t xml:space="preserve">Live / log / query / Timescale</w:t>
            </w:r>
          </w:p>
        </w:tc>
      </w:tr>
      <w:tr>
        <w:trPr/>
        <w:tc>
          <w:p w14:paraId="0010002C" w14:textId="0010002D">
            <w:r>
              <w:t xml:space="preserve">AlarmsController / AlertController / EventLogController / EventRulesController</w:t>
            </w:r>
          </w:p>
        </w:tc>
        <w:tc>
          <w:p w14:paraId="0010002E" w14:textId="0010002F">
            <w:r>
              <w:t xml:space="preserve">Events &amp; alarms</w:t>
            </w:r>
          </w:p>
        </w:tc>
      </w:tr>
      <w:tr>
        <w:trPr/>
        <w:tc>
          <w:p w14:paraId="00100030" w14:textId="00100031">
            <w:r>
              <w:t xml:space="preserve">AssetHealthController / MachineHealthController / PredictionController / RcaController</w:t>
            </w:r>
          </w:p>
        </w:tc>
        <w:tc>
          <w:p w14:paraId="00100032" w14:textId="00100033">
            <w:r>
              <w:t xml:space="preserve">Intelligence</w:t>
            </w:r>
          </w:p>
        </w:tc>
      </w:tr>
      <w:tr>
        <w:trPr/>
        <w:tc>
          <w:p w14:paraId="00100034" w14:textId="00100035">
            <w:r>
              <w:t xml:space="preserve">SyncController</w:t>
            </w:r>
          </w:p>
        </w:tc>
        <w:tc>
          <w:p w14:paraId="00100036" w14:textId="00100037">
            <w:r>
              <w:t xml:space="preserve">ClientPLC register / upload</w:t>
            </w:r>
          </w:p>
        </w:tc>
      </w:tr>
      <w:tr>
        <w:trPr/>
        <w:tc>
          <w:p w14:paraId="00100038" w14:textId="00100039">
            <w:r>
              <w:t xml:space="preserve">UsersController / AuditLogController</w:t>
            </w:r>
          </w:p>
        </w:tc>
        <w:tc>
          <w:p w14:paraId="0010003A" w14:textId="0010003B">
            <w:r>
              <w:t xml:space="preserve">Admin</w:t>
            </w:r>
          </w:p>
        </w:tc>
      </w:tr>
      <w:tr>
        <w:trPr/>
        <w:tc>
          <w:p w14:paraId="0010003C" w14:textId="0010003D">
            <w:r>
              <w:t xml:space="preserve">ReportsController / SimulationController / ConnectorIntegrationController</w:t>
            </w:r>
          </w:p>
        </w:tc>
        <w:tc>
          <w:p w14:paraId="0010003E" w14:textId="0010003F">
            <w:r>
              <w:t xml:space="preserve">Reports &amp; integration</w:t>
            </w:r>
          </w:p>
        </w:tc>
      </w:tr>
    </w:tbl>
    <w:p w14:paraId="00100040" w14:textId="00100041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3. Services và background jobs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0E6655"/>
          </w:tcPr>
          <w:p w14:paraId="00100042" w14:textId="00100043">
            <w:r>
              <w:rPr>
                <w:b/>
                <w:color w:val="FFFFFF"/>
                <w:sz w:val="20"/>
              </w:rPr>
              <w:t xml:space="preserve">Service / Job</w:t>
            </w:r>
          </w:p>
        </w:tc>
        <w:tc>
          <w:tcPr>
            <w:shd w:val="clear" w:fill="0E6655"/>
          </w:tcPr>
          <w:p w14:paraId="00100044" w14:textId="00100045">
            <w:r>
              <w:rPr>
                <w:b/>
                <w:color w:val="FFFFFF"/>
                <w:sz w:val="20"/>
              </w:rPr>
              <w:t xml:space="preserve">Trách nhiệm</w:t>
            </w:r>
          </w:p>
        </w:tc>
      </w:tr>
      <w:tr>
        <w:trPr/>
        <w:tc>
          <w:p w14:paraId="00100046" w14:textId="00100047">
            <w:r>
              <w:t xml:space="preserve">TelemetryIngestionService + TelemetryStore</w:t>
            </w:r>
          </w:p>
        </w:tc>
        <w:tc>
          <w:p w14:paraId="00100048" w14:textId="00100049">
            <w:r>
              <w:t xml:space="preserve">Validate + persist telemetry</w:t>
            </w:r>
          </w:p>
        </w:tc>
      </w:tr>
      <w:tr>
        <w:trPr/>
        <w:tc>
          <w:p w14:paraId="0010004A" w14:textId="0010004B">
            <w:r>
              <w:t xml:space="preserve">MqttServerService</w:t>
            </w:r>
          </w:p>
        </w:tc>
        <w:tc>
          <w:p w14:paraId="0010004C" w14:textId="0010004D">
            <w:r>
              <w:t xml:space="preserve">Embedded MQTT broker (MQTTnet)</w:t>
            </w:r>
          </w:p>
        </w:tc>
      </w:tr>
      <w:tr>
        <w:trPr/>
        <w:tc>
          <w:p w14:paraId="0010004E" w14:textId="0010004F">
            <w:r>
              <w:t xml:space="preserve">EventRuleEngine</w:t>
            </w:r>
          </w:p>
        </w:tc>
        <w:tc>
          <w:p w14:paraId="00100050" w14:textId="00100051">
            <w:r>
              <w:t xml:space="preserve">Threshold rules (event-rules.json)</w:t>
            </w:r>
          </w:p>
        </w:tc>
      </w:tr>
      <w:tr>
        <w:trPr/>
        <w:tc>
          <w:p w14:paraId="00100052" w14:textId="00100053">
            <w:r>
              <w:t xml:space="preserve">AlertService</w:t>
            </w:r>
          </w:p>
        </w:tc>
        <w:tc>
          <w:p w14:paraId="00100054" w14:textId="00100055">
            <w:r>
              <w:t xml:space="preserve">Open / ack / resolve, dedup, suppression</w:t>
            </w:r>
          </w:p>
        </w:tc>
      </w:tr>
      <w:tr>
        <w:trPr/>
        <w:tc>
          <w:p w14:paraId="00100056" w14:textId="00100057">
            <w:r>
              <w:t xml:space="preserve">HealthScoringService + HealthScoringJob</w:t>
            </w:r>
          </w:p>
        </w:tc>
        <w:tc>
          <w:p w14:paraId="00100058" w14:textId="00100059">
            <w:r>
              <w:t xml:space="preserve">Multi-factor health score</w:t>
            </w:r>
          </w:p>
        </w:tc>
      </w:tr>
      <w:tr>
        <w:trPr/>
        <w:tc>
          <w:p w14:paraId="0010005A" w14:textId="0010005B">
            <w:r>
              <w:t xml:space="preserve">PredictiveService + BatchPredictionJob</w:t>
            </w:r>
          </w:p>
        </w:tc>
        <w:tc>
          <w:p w14:paraId="0010005C" w14:textId="0010005D">
            <w:r>
              <w:t xml:space="preserve">Anomaly / failure risk</w:t>
            </w:r>
          </w:p>
        </w:tc>
      </w:tr>
      <w:tr>
        <w:trPr/>
        <w:tc>
          <w:p w14:paraId="0010005E" w14:textId="0010005F">
            <w:r>
              <w:t xml:space="preserve">TimescaleTelemetryService + TimescaleBackfillRunner</w:t>
            </w:r>
          </w:p>
        </w:tc>
        <w:tc>
          <w:p w14:paraId="00100060" w14:textId="00100061">
            <w:r>
              <w:t xml:space="preserve">Dual-write + backfill</w:t>
            </w:r>
          </w:p>
        </w:tc>
      </w:tr>
      <w:tr>
        <w:trPr/>
        <w:tc>
          <w:p w14:paraId="00100062" w14:textId="00100063">
            <w:r>
              <w:t xml:space="preserve">CepStagingPublisher</w:t>
            </w:r>
          </w:p>
        </w:tc>
        <w:tc>
          <w:p w14:paraId="00100064" w14:textId="00100065">
            <w:r>
              <w:t xml:space="preserve">CEP staging events</w:t>
            </w:r>
          </w:p>
        </w:tc>
      </w:tr>
      <w:tr>
        <w:trPr/>
        <w:tc>
          <w:p w14:paraId="00100066" w14:textId="00100067">
            <w:r>
              <w:t xml:space="preserve">SyncService / SimulationService / AuditService</w:t>
            </w:r>
          </w:p>
        </w:tc>
        <w:tc>
          <w:p w14:paraId="00100068" w14:textId="00100069">
            <w:r>
              <w:t xml:space="preserve">Edge sync, demo, audit</w:t>
            </w:r>
          </w:p>
        </w:tc>
      </w:tr>
      <w:tr>
        <w:trPr/>
        <w:tc>
          <w:p w14:paraId="0010006A" w14:textId="0010006B">
            <w:r>
              <w:t xml:space="preserve">OperationalDatabaseMigrationService</w:t>
            </w:r>
          </w:p>
        </w:tc>
        <w:tc>
          <w:p w14:paraId="0010006C" w14:textId="0010006D">
            <w:r>
              <w:t xml:space="preserve">SQL migrations 0001–0006</w:t>
            </w:r>
          </w:p>
        </w:tc>
      </w:tr>
    </w:tbl>
    <w:p w14:paraId="0010006E" w14:textId="0010006F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4. Luồng telemetry</w:t>
      </w:r>
    </w:p>
    <w:p w14:paraId="00100070" w14:textId="00100071">
      <w:pPr>
        <w:pStyle w:val="Normal"/>
        <w:spacing w:after="60"/>
        <w:ind w:left="360"/>
      </w:pPr>
      <w:r>
        <w:rPr>
          <w:sz w:val="22"/>
        </w:rPr>
        <w:t xml:space="preserve">• 1. ClientPLC publish MQTT (TLS / device token / optional payload encryption)</w:t>
      </w:r>
    </w:p>
    <w:p w14:paraId="00100072" w14:textId="00100073">
      <w:pPr>
        <w:pStyle w:val="Normal"/>
        <w:spacing w:after="60"/>
        <w:ind w:left="360"/>
      </w:pPr>
      <w:r>
        <w:rPr>
          <w:sz w:val="22"/>
        </w:rPr>
        <w:t xml:space="preserve">• 2. MqttServerService auth + topic ownership</w:t>
      </w:r>
    </w:p>
    <w:p w14:paraId="00100074" w14:textId="00100075">
      <w:pPr>
        <w:pStyle w:val="Normal"/>
        <w:spacing w:after="60"/>
        <w:ind w:left="360"/>
      </w:pPr>
      <w:r>
        <w:rPr>
          <w:sz w:val="22"/>
        </w:rPr>
        <w:t xml:space="preserve">• 3. Ingest → PostgreSQL transaction</w:t>
      </w:r>
    </w:p>
    <w:p w14:paraId="00100076" w14:textId="00100077">
      <w:pPr>
        <w:pStyle w:val="Normal"/>
        <w:spacing w:after="60"/>
        <w:ind w:left="360"/>
      </w:pPr>
      <w:r>
        <w:rPr>
          <w:sz w:val="22"/>
        </w:rPr>
        <w:t xml:space="preserve">• 4. Optional Timescale dual-write</w:t>
      </w:r>
    </w:p>
    <w:p w14:paraId="00100078" w14:textId="00100079">
      <w:pPr>
        <w:pStyle w:val="Normal"/>
        <w:spacing w:after="60"/>
        <w:ind w:left="360"/>
      </w:pPr>
      <w:r>
        <w:rPr>
          <w:sz w:val="22"/>
        </w:rPr>
        <w:t xml:space="preserve">• 5. EventRuleEngine → event_log + alerts</w:t>
      </w:r>
    </w:p>
    <w:p w14:paraId="0010007A" w14:textId="0010007B">
      <w:pPr>
        <w:pStyle w:val="Normal"/>
        <w:spacing w:after="60"/>
        <w:ind w:left="360"/>
      </w:pPr>
      <w:r>
        <w:rPr>
          <w:sz w:val="22"/>
        </w:rPr>
        <w:t xml:space="preserve">• 6. Health / prediction jobs</w:t>
      </w:r>
    </w:p>
    <w:p w14:paraId="0010007C" w14:textId="0010007D">
      <w:pPr>
        <w:pStyle w:val="Normal"/>
        <w:spacing w:after="60"/>
        <w:ind w:left="360"/>
      </w:pPr>
      <w:r>
        <w:rPr>
          <w:sz w:val="22"/>
        </w:rPr>
        <w:t xml:space="preserve">• 7. UI REST + SignalR push</w:t>
      </w:r>
    </w:p>
    <w:p w14:paraId="0010007E" w14:textId="0010007F">
      <w:pPr>
        <w:pStyle w:val="Normal"/>
        <w:spacing w:after="60"/>
        <w:ind w:left="360"/>
      </w:pPr>
      <w:r>
        <w:rPr>
          <w:sz w:val="22"/>
        </w:rPr>
        <w:t xml:space="preserve">• 8. Optional fusion_outbox (CaptureEnabled)</w:t>
      </w:r>
    </w:p>
    <w:p w14:paraId="00100080" w14:textId="00100081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5. Migration lineage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0E6655"/>
          </w:tcPr>
          <w:p w14:paraId="00100082" w14:textId="00100083">
            <w:r>
              <w:rPr>
                <w:b/>
                <w:color w:val="FFFFFF"/>
                <w:sz w:val="20"/>
              </w:rPr>
              <w:t xml:space="preserve">Migration</w:t>
            </w:r>
          </w:p>
        </w:tc>
        <w:tc>
          <w:tcPr>
            <w:shd w:val="clear" w:fill="0E6655"/>
          </w:tcPr>
          <w:p w14:paraId="00100084" w14:textId="00100085">
            <w:r>
              <w:rPr>
                <w:b/>
                <w:color w:val="FFFFFF"/>
                <w:sz w:val="20"/>
              </w:rPr>
              <w:t xml:space="preserve">Nội dung</w:t>
            </w:r>
          </w:p>
        </w:tc>
      </w:tr>
      <w:tr>
        <w:trPr/>
        <w:tc>
          <w:p w14:paraId="00100086" w14:textId="00100087">
            <w:r>
              <w:t xml:space="preserve">0001_operational_baseline</w:t>
            </w:r>
          </w:p>
        </w:tc>
        <w:tc>
          <w:p w14:paraId="00100088" w14:textId="00100089">
            <w:r>
              <w:t xml:space="preserve">Lines, machines, assets, users, alarms, simulation</w:t>
            </w:r>
          </w:p>
        </w:tc>
      </w:tr>
      <w:tr>
        <w:trPr/>
        <w:tc>
          <w:p w14:paraId="0010008A" w14:textId="0010008B">
            <w:r>
              <w:t xml:space="preserve">0002_ingress_receipts_and_catalog_normalization</w:t>
            </w:r>
          </w:p>
        </w:tc>
        <w:tc>
          <w:p w14:paraId="0010008C" w14:textId="0010008D">
            <w:r>
              <w:t xml:space="preserve">Receipts + catalog normalization</w:t>
            </w:r>
          </w:p>
        </w:tc>
      </w:tr>
      <w:tr>
        <w:trPr/>
        <w:tc>
          <w:p w14:paraId="0010008E" w14:textId="0010008F">
            <w:r>
              <w:t xml:space="preserve">0003_projection_and_history_integrity</w:t>
            </w:r>
          </w:p>
        </w:tc>
        <w:tc>
          <w:p w14:paraId="00100090" w14:textId="00100091">
            <w:r>
              <w:t xml:space="preserve">Projection / history integrity</w:t>
            </w:r>
          </w:p>
        </w:tc>
      </w:tr>
      <w:tr>
        <w:trPr/>
        <w:tc>
          <w:p w14:paraId="00100092" w14:textId="00100093">
            <w:r>
              <w:t xml:space="preserve">0004_secondary_delivery_leases_and_history</w:t>
            </w:r>
          </w:p>
        </w:tc>
        <w:tc>
          <w:p w14:paraId="00100094" w14:textId="00100095">
            <w:r>
              <w:t xml:space="preserve">Outbox leases + history</w:t>
            </w:r>
          </w:p>
        </w:tc>
      </w:tr>
      <w:tr>
        <w:trPr/>
        <w:tc>
          <w:p w14:paraId="00100096" w14:textId="00100097">
            <w:r>
              <w:t xml:space="preserve">0005_approval_sequence_and_delivery_truth</w:t>
            </w:r>
          </w:p>
        </w:tc>
        <w:tc>
          <w:p w14:paraId="00100098" w14:textId="00100099">
            <w:r>
              <w:t xml:space="preserve">Approval / delivery truth</w:t>
            </w:r>
          </w:p>
        </w:tc>
      </w:tr>
      <w:tr>
        <w:trPr/>
        <w:tc>
          <w:p w14:paraId="0010009A" w14:textId="0010009B">
            <w:r>
              <w:t xml:space="preserve">0006_service_account_api_key</w:t>
            </w:r>
          </w:p>
        </w:tc>
        <w:tc>
          <w:p w14:paraId="0010009C" w14:textId="0010009D">
            <w:r>
              <w:t xml:space="preserve">Service-account API key hashes</w:t>
            </w:r>
          </w:p>
        </w:tc>
      </w:tr>
    </w:tbl>
    <w:p w14:paraId="0010009E" w14:textId="0010009F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6. Biến môi trường quan trọng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0E6655"/>
          </w:tcPr>
          <w:p w14:paraId="001000A0" w14:textId="001000A1">
            <w:r>
              <w:rPr>
                <w:b/>
                <w:color w:val="FFFFFF"/>
                <w:sz w:val="20"/>
              </w:rPr>
              <w:t xml:space="preserve">Variable</w:t>
            </w:r>
          </w:p>
        </w:tc>
        <w:tc>
          <w:tcPr>
            <w:shd w:val="clear" w:fill="0E6655"/>
          </w:tcPr>
          <w:p w14:paraId="001000A2" w14:textId="001000A3">
            <w:r>
              <w:rPr>
                <w:b/>
                <w:color w:val="FFFFFF"/>
                <w:sz w:val="20"/>
              </w:rPr>
              <w:t xml:space="preserve">Mô tả</w:t>
            </w:r>
          </w:p>
        </w:tc>
      </w:tr>
      <w:tr>
        <w:trPr/>
        <w:tc>
          <w:p w14:paraId="001000A4" w14:textId="001000A5">
            <w:r>
              <w:t xml:space="preserve">ConnectionStrings__DefaultConnection</w:t>
            </w:r>
          </w:p>
        </w:tc>
        <w:tc>
          <w:p w14:paraId="001000A6" w14:textId="001000A7">
            <w:r>
              <w:t xml:space="preserve">Operations PostgreSQL</w:t>
            </w:r>
          </w:p>
        </w:tc>
      </w:tr>
      <w:tr>
        <w:trPr/>
        <w:tc>
          <w:p w14:paraId="001000A8" w14:textId="001000A9">
            <w:r>
              <w:t xml:space="preserve">ConnectionStrings__Timescale</w:t>
            </w:r>
          </w:p>
        </w:tc>
        <w:tc>
          <w:p w14:paraId="001000AA" w14:textId="001000AB">
            <w:r>
              <w:t xml:space="preserve">Timescale URL</w:t>
            </w:r>
          </w:p>
        </w:tc>
      </w:tr>
      <w:tr>
        <w:trPr/>
        <w:tc>
          <w:p w14:paraId="001000AC" w14:textId="001000AD">
            <w:r>
              <w:t xml:space="preserve">Jwt__Key</w:t>
            </w:r>
          </w:p>
        </w:tc>
        <w:tc>
          <w:p w14:paraId="001000AE" w14:textId="001000AF">
            <w:r>
              <w:t xml:space="preserve">JWT secret (≥ 32 bytes)</w:t>
            </w:r>
          </w:p>
        </w:tc>
      </w:tr>
      <w:tr>
        <w:trPr/>
        <w:tc>
          <w:p w14:paraId="001000B0" w14:textId="001000B1">
            <w:r>
              <w:t xml:space="preserve">Jwt__TenantId</w:t>
            </w:r>
          </w:p>
        </w:tc>
        <w:tc>
          <w:p w14:paraId="001000B2" w14:textId="001000B3">
            <w:r>
              <w:t xml:space="preserve">Canonical tenant id (fail-closed)</w:t>
            </w:r>
          </w:p>
        </w:tc>
      </w:tr>
      <w:tr>
        <w:trPr/>
        <w:tc>
          <w:p w14:paraId="001000B4" w14:textId="001000B5">
            <w:r>
              <w:t xml:space="preserve">Mqtt__EncryptionKey</w:t>
            </w:r>
          </w:p>
        </w:tc>
        <w:tc>
          <w:p w14:paraId="001000B6" w14:textId="001000B7">
            <w:r>
              <w:t xml:space="preserve">MQTT payload encryption key</w:t>
            </w:r>
          </w:p>
        </w:tc>
      </w:tr>
      <w:tr>
        <w:trPr/>
        <w:tc>
          <w:p w14:paraId="001000B8" w14:textId="001000B9">
            <w:r>
              <w:t xml:space="preserve">MqttServer__Port</w:t>
            </w:r>
          </w:p>
        </w:tc>
        <w:tc>
          <w:p w14:paraId="001000BA" w14:textId="001000BB">
            <w:r>
              <w:t xml:space="preserve">Default 1883</w:t>
            </w:r>
          </w:p>
        </w:tc>
      </w:tr>
      <w:tr>
        <w:trPr/>
        <w:tc>
          <w:p w14:paraId="001000BC" w14:textId="001000BD">
            <w:r>
              <w:t xml:space="preserve">MqttServer__Tls__Enabled</w:t>
            </w:r>
          </w:p>
        </w:tc>
        <w:tc>
          <w:p w14:paraId="001000BE" w14:textId="001000BF">
            <w:r>
              <w:t xml:space="preserve">true | false</w:t>
            </w:r>
          </w:p>
        </w:tc>
      </w:tr>
      <w:tr>
        <w:trPr/>
        <w:tc>
          <w:p w14:paraId="001000C0" w14:textId="001000C1">
            <w:r>
              <w:t xml:space="preserve">Timescale__Enabled</w:t>
            </w:r>
          </w:p>
        </w:tc>
        <w:tc>
          <w:p w14:paraId="001000C2" w14:textId="001000C3">
            <w:r>
              <w:t xml:space="preserve">Dual-write switch</w:t>
            </w:r>
          </w:p>
        </w:tc>
      </w:tr>
      <w:tr>
        <w:trPr/>
        <w:tc>
          <w:p w14:paraId="001000C4" w14:textId="001000C5">
            <w:r>
              <w:t xml:space="preserve">OpenDataFusion__CaptureEnabled</w:t>
            </w:r>
          </w:p>
        </w:tc>
        <w:tc>
          <w:p w14:paraId="001000C6" w14:textId="001000C7">
            <w:r>
              <w:t xml:space="preserve">Write fusion_outbox intents</w:t>
            </w:r>
          </w:p>
        </w:tc>
      </w:tr>
    </w:tbl>
    <w:p w14:paraId="001000C8" w14:textId="001000C9">
      <w:pPr>
        <w:pStyle w:val="Normal"/>
        <w:spacing w:after="120"/>
      </w:pPr>
      <w:r>
        <w:rPr>
          <w:sz w:val="22"/>
        </w:rPr>
        <w:t xml:space="preserve">Backend không tự load file .env root; dùng env vars / user-secrets / secret manager. Nested key dùng __.</w:t>
      </w:r>
    </w:p>
    <w:p w14:paraId="001000CA" w14:textId="001000CB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7. API map định hướng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0E6655"/>
          </w:tcPr>
          <w:p w14:paraId="001000CC" w14:textId="001000CD">
            <w:r>
              <w:rPr>
                <w:b/>
                <w:color w:val="FFFFFF"/>
                <w:sz w:val="20"/>
              </w:rPr>
              <w:t xml:space="preserve">Endpoint</w:t>
            </w:r>
          </w:p>
        </w:tc>
        <w:tc>
          <w:tcPr>
            <w:shd w:val="clear" w:fill="0E6655"/>
          </w:tcPr>
          <w:p w14:paraId="001000CE" w14:textId="001000CF"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rPr/>
        <w:tc>
          <w:p w14:paraId="001000D0" w14:textId="001000D1">
            <w:r>
              <w:t xml:space="preserve">GET /api/health</w:t>
            </w:r>
          </w:p>
        </w:tc>
        <w:tc>
          <w:p w14:paraId="001000D2" w14:textId="001000D3">
            <w:r>
              <w:t xml:space="preserve">Health</w:t>
            </w:r>
          </w:p>
        </w:tc>
      </w:tr>
      <w:tr>
        <w:trPr/>
        <w:tc>
          <w:p w14:paraId="001000D4" w14:textId="001000D5">
            <w:r>
              <w:t xml:space="preserve">POST /api/auth/login</w:t>
            </w:r>
          </w:p>
        </w:tc>
        <w:tc>
          <w:p w14:paraId="001000D6" w14:textId="001000D7">
            <w:r>
              <w:t xml:space="preserve">Interactive session</w:t>
            </w:r>
          </w:p>
        </w:tc>
      </w:tr>
      <w:tr>
        <w:trPr/>
        <w:tc>
          <w:p w14:paraId="001000D8" w14:textId="001000D9">
            <w:r>
              <w:t xml:space="preserve">GET /api/dashboard/summary</w:t>
            </w:r>
          </w:p>
        </w:tc>
        <w:tc>
          <w:p w14:paraId="001000DA" w14:textId="001000DB">
            <w:r>
              <w:t xml:space="preserve">Ops KPI</w:t>
            </w:r>
          </w:p>
        </w:tc>
      </w:tr>
      <w:tr>
        <w:trPr/>
        <w:tc>
          <w:p w14:paraId="001000DC" w14:textId="001000DD">
            <w:r>
              <w:t xml:space="preserve">GET /api/machines/{id}</w:t>
            </w:r>
          </w:p>
        </w:tc>
        <w:tc>
          <w:p w14:paraId="001000DE" w14:textId="001000DF">
            <w:r>
              <w:t xml:space="preserve">Machine detail</w:t>
            </w:r>
          </w:p>
        </w:tc>
      </w:tr>
      <w:tr>
        <w:trPr/>
        <w:tc>
          <w:p w14:paraId="001000E0" w14:textId="001000E1">
            <w:r>
              <w:t xml:space="preserve">GET /api/alarms</w:t>
            </w:r>
          </w:p>
        </w:tc>
        <w:tc>
          <w:p w14:paraId="001000E2" w14:textId="001000E3">
            <w:r>
              <w:t xml:space="preserve">Alarms</w:t>
            </w:r>
          </w:p>
        </w:tc>
      </w:tr>
      <w:tr>
        <w:trPr/>
        <w:tc>
          <w:p w14:paraId="001000E4" w14:textId="001000E5">
            <w:r>
              <w:t xml:space="preserve">POST /api/alarms/{id}/acknowledge|resolve</w:t>
            </w:r>
          </w:p>
        </w:tc>
        <w:tc>
          <w:p w14:paraId="001000E6" w14:textId="001000E7">
            <w:r>
              <w:t xml:space="preserve">Alarm lifecycle</w:t>
            </w:r>
          </w:p>
        </w:tc>
      </w:tr>
      <w:tr>
        <w:trPr/>
        <w:tc>
          <w:p w14:paraId="001000E8" w14:textId="001000E9">
            <w:r>
              <w:t xml:space="preserve">GET /api/telemetry/live|log|query</w:t>
            </w:r>
          </w:p>
        </w:tc>
        <w:tc>
          <w:p w14:paraId="001000EA" w14:textId="001000EB">
            <w:r>
              <w:t xml:space="preserve">Telemetry</w:t>
            </w:r>
          </w:p>
        </w:tc>
      </w:tr>
      <w:tr>
        <w:trPr/>
        <w:tc>
          <w:p w14:paraId="001000EC" w14:textId="001000ED">
            <w:r>
              <w:t xml:space="preserve">GET /api/v1/assets/{id}/health</w:t>
            </w:r>
          </w:p>
        </w:tc>
        <w:tc>
          <w:p w14:paraId="001000EE" w14:textId="001000EF">
            <w:r>
              <w:t xml:space="preserve">Asset health</w:t>
            </w:r>
          </w:p>
        </w:tc>
      </w:tr>
      <w:tr>
        <w:trPr/>
        <w:tc>
          <w:p w14:paraId="001000F0" w14:textId="001000F1">
            <w:r>
              <w:t xml:space="preserve">POST /api/v1/predictions/anomaly</w:t>
            </w:r>
          </w:p>
        </w:tc>
        <w:tc>
          <w:p w14:paraId="001000F2" w14:textId="001000F3">
            <w:r>
              <w:t xml:space="preserve">Anomaly</w:t>
            </w:r>
          </w:p>
        </w:tc>
      </w:tr>
      <w:tr>
        <w:trPr/>
        <w:tc>
          <w:p w14:paraId="001000F4" w14:textId="001000F5">
            <w:r>
              <w:t xml:space="preserve">POST /api/v1/rca</w:t>
            </w:r>
          </w:p>
        </w:tc>
        <w:tc>
          <w:p w14:paraId="001000F6" w14:textId="001000F7">
            <w:r>
              <w:t xml:space="preserve">RCA context (gated)</w:t>
            </w:r>
          </w:p>
        </w:tc>
      </w:tr>
      <w:tr>
        <w:trPr/>
        <w:tc>
          <w:p w14:paraId="001000F8" w14:textId="001000F9">
            <w:r>
              <w:t xml:space="preserve">POST /api/sync/upload</w:t>
            </w:r>
          </w:p>
        </w:tc>
        <w:tc>
          <w:p w14:paraId="001000FA" w14:textId="001000FB">
            <w:r>
              <w:t xml:space="preserve">ClientPLC sync</w:t>
            </w:r>
          </w:p>
        </w:tc>
      </w:tr>
      <w:tr>
        <w:trPr/>
        <w:tc>
          <w:p w14:paraId="001000FC" w14:textId="001000FD">
            <w:r>
              <w:t xml:space="preserve">GET /hubs/telemetry</w:t>
            </w:r>
          </w:p>
        </w:tc>
        <w:tc>
          <w:p w14:paraId="001000FE" w14:textId="001000FF">
            <w:r>
              <w:t xml:space="preserve">SignalR hub</w:t>
            </w:r>
          </w:p>
        </w:tc>
      </w:tr>
    </w:tbl>
    <w:p w14:paraId="00100100" w14:textId="00100101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8. AuthN / AuthZ</w:t>
      </w:r>
    </w:p>
    <w:p w14:paraId="00100102" w14:textId="00100103">
      <w:pPr>
        <w:pStyle w:val="Normal"/>
        <w:spacing w:after="60"/>
        <w:ind w:left="360"/>
      </w:pPr>
      <w:r>
        <w:rPr>
          <w:sz w:val="22"/>
        </w:rPr>
        <w:t xml:space="preserve">• Interactive: HttpOnly cookie session (FII SSO/JWT)</w:t>
      </w:r>
    </w:p>
    <w:p w14:paraId="00100104" w14:textId="00100105">
      <w:pPr>
        <w:pStyle w:val="Normal"/>
        <w:spacing w:after="60"/>
        <w:ind w:left="360"/>
      </w:pPr>
      <w:r>
        <w:rPr>
          <w:sz w:val="22"/>
        </w:rPr>
        <w:t xml:space="preserve">• Service-to-service: API key, raw once, SHA-256 stored</w:t>
      </w:r>
    </w:p>
    <w:p w14:paraId="00100106" w14:textId="00100107">
      <w:pPr>
        <w:pStyle w:val="Normal"/>
        <w:spacing w:after="60"/>
        <w:ind w:left="360"/>
      </w:pPr>
      <w:r>
        <w:rPr>
          <w:sz w:val="22"/>
        </w:rPr>
        <w:t xml:space="preserve">• Roles: ADMIN, ENGINEER, GUEST — backend policy</w:t>
      </w:r>
    </w:p>
    <w:p w14:paraId="00100108" w14:textId="00100109">
      <w:pPr>
        <w:pStyle w:val="Normal"/>
        <w:spacing w:after="60"/>
        <w:ind w:left="360"/>
      </w:pPr>
      <w:r>
        <w:rPr>
          <w:sz w:val="22"/>
        </w:rPr>
        <w:t xml:space="preserve">• Rate limits + trusted ForwardedHeaders only</w:t>
      </w:r>
    </w:p>
    <w:p w14:paraId="0010010A" w14:textId="0010010B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9. Chạy và kiểm thử</w:t>
      </w:r>
    </w:p>
    <w:p w14:paraId="0010010C" w14:textId="0010010D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dotnet run --project backend/backend.csproj -- --database-preflight</w:t>
      </w:r>
    </w:p>
    <w:p w14:paraId="0010010E" w14:textId="0010010F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dotnet run --project backend/backend.csproj -- --database-migrate</w:t>
      </w:r>
    </w:p>
    <w:p w14:paraId="00100110" w14:textId="00100111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dotnet run --project backend/backend.csproj</w:t>
      </w:r>
    </w:p>
    <w:p w14:paraId="00100112" w14:textId="00100113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dotnet test backend.Tests/backend.Tests.csproj</w:t>
      </w:r>
    </w:p>
    <w:p w14:paraId="00100114" w14:textId="00100115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10. Rủi ro và kết luận</w:t>
      </w:r>
    </w:p>
    <w:p w14:paraId="00100116" w14:textId="00100117">
      <w:pPr>
        <w:pStyle w:val="Normal"/>
        <w:spacing w:after="60"/>
        <w:ind w:left="360"/>
      </w:pPr>
      <w:r>
        <w:rPr>
          <w:sz w:val="22"/>
        </w:rPr>
        <w:t xml:space="preserve">• Managed staging: HTTPS, secret manager, MQTT TLS/mTLS, backup/restore, retention</w:t>
      </w:r>
    </w:p>
    <w:p w14:paraId="00100118" w14:textId="00100119">
      <w:pPr>
        <w:pStyle w:val="Normal"/>
        <w:spacing w:after="60"/>
        <w:ind w:left="360"/>
      </w:pPr>
      <w:r>
        <w:rPr>
          <w:sz w:val="22"/>
        </w:rPr>
        <w:t xml:space="preserve">• Timescale migration lineage độc lập Operations</w:t>
      </w:r>
    </w:p>
    <w:p w14:paraId="0010011A" w14:textId="0010011B">
      <w:pPr>
        <w:pStyle w:val="Normal"/>
        <w:spacing w:after="60"/>
        <w:ind w:left="360"/>
      </w:pPr>
      <w:r>
        <w:rPr>
          <w:sz w:val="22"/>
        </w:rPr>
        <w:t xml:space="preserve">• DEFERRED rules ≠ live features</w:t>
      </w:r>
    </w:p>
    <w:p w14:paraId="0010011C" w14:textId="0010011D">
      <w:pPr>
        <w:pStyle w:val="Normal"/>
        <w:spacing w:after="120"/>
      </w:pPr>
      <w:r>
        <w:rPr>
          <w:sz w:val="22"/>
        </w:rPr>
        <w:t xml:space="preserve">Backend là trái tim operations path với thiết kế boundary-first và fail-closed. Production NO-GO đến khi managed evidence hoàn tất.</w:t>
      </w:r>
    </w:p>
    <w:p w14:paraId="0010011E" w14:textId="0010011F">
      <w:pPr>
        <w:pStyle w:val="Heading1"/>
        <w:spacing w:before="320" w:after="200"/>
      </w:pPr>
      <w:r>
        <w:rPr>
          <w:b/>
          <w:color w:val="0E6655"/>
          <w:sz w:val="40"/>
        </w:rPr>
        <w:t xml:space="preserve">Phụ lục — Nguồn</w:t>
      </w:r>
    </w:p>
    <w:p w14:paraId="00100120" w14:textId="00100121">
      <w:pPr>
        <w:pStyle w:val="Normal"/>
        <w:spacing w:after="60"/>
        <w:ind w:left="360"/>
      </w:pPr>
      <w:r>
        <w:rPr>
          <w:sz w:val="22"/>
        </w:rPr>
        <w:t xml:space="preserve">• backend/Program.cs, Controllers/, Services/, Security/, db/migrations/</w:t>
      </w:r>
    </w:p>
    <w:p w14:paraId="00100122" w14:textId="00100123">
      <w:pPr>
        <w:pStyle w:val="Normal"/>
        <w:spacing w:after="60"/>
        <w:ind w:left="360"/>
      </w:pPr>
      <w:r>
        <w:rPr>
          <w:sz w:val="22"/>
        </w:rPr>
        <w:t xml:space="preserve">• backend/Configuration/event-rules.json, OpenDataFusionCaptureOptions.cs</w:t>
      </w:r>
    </w:p>
    <w:p w14:paraId="00100124" w14:textId="00100125">
      <w:pPr>
        <w:pStyle w:val="Normal"/>
        <w:spacing w:after="60"/>
        <w:ind w:left="360"/>
      </w:pPr>
      <w:r>
        <w:rPr>
          <w:sz w:val="22"/>
        </w:rPr>
        <w:t xml:space="preserve">• fusion-contracts/, docs/PROJECT-GUIDE.vi.md</w:t>
      </w:r>
    </w:p>
    <w:sectPr>
      <w:headerReference w:type="default" r:id="Rca7bcba4f8994462"/>
      <w:footerReference w:type="default" r:id="R824ffb9dd37b4bbb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29" w14:textId="0010012B">
    <w:pPr>
      <w:jc w:val="center"/>
    </w:pPr>
    <w:r>
      <w:rPr>
        <w:sz w:val="18"/>
      </w:rPr>
      <w:t xml:space="preserve">FII AI | Staging candidate |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26" w14:textId="00100128">
    <w:pPr>
      <w:jc w:val="right"/>
    </w:pPr>
    <w:r>
      <w:rPr>
        <w:color w:val="666666"/>
        <w:sz w:val="18"/>
      </w:rPr>
      <w:t xml:space="preserve">FII AI | Backend | Báo cáo kỹ thuật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e3a723a22844620" /><Relationship Type="http://schemas.openxmlformats.org/officeDocument/2006/relationships/styles" Target="/word/styles.xml" Id="Rc20eeeaaf0614bac" /><Relationship Type="http://schemas.openxmlformats.org/officeDocument/2006/relationships/theme" Target="/word/theme/theme1.xml" Id="Rf66842ae65c540c9" /><Relationship Type="http://schemas.openxmlformats.org/officeDocument/2006/relationships/numbering" Target="/word/numbering.xml" Id="R0fe669771275408c" /><Relationship Type="http://schemas.openxmlformats.org/officeDocument/2006/relationships/header" Target="/word/header1.xml" Id="Rca7bcba4f8994462" /><Relationship Type="http://schemas.openxmlformats.org/officeDocument/2006/relationships/footer" Target="/word/footer1.xml" Id="R824ffb9dd37b4bb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2026-08-05T07:43:38Z</dcterms:created>
  <cp:lastModifiedBy>OfficeCLI</cp:lastModifiedBy>
  <dcterms:modified xsi:type="dcterms:W3CDTF">2026-08-05T07:43:38Z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2026-08-05T07:43:43Z</vt:lpwstr>
  </op:property>
</op:Properties>
</file>