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4c025dff28482a" /><Relationship Type="http://schemas.openxmlformats.org/package/2006/relationships/metadata/core-properties" Target="/docProps/core.xml" Id="R4eaa1f43485f46ae" /><Relationship Type="http://schemas.openxmlformats.org/officeDocument/2006/relationships/extended-properties" Target="/docProps/app.xml" Id="R91bcb09a45a54a5e" /><Relationship Type="http://schemas.openxmlformats.org/officeDocument/2006/relationships/custom-properties" Target="/docProps/custom.xml" Id="Rf91d0af50eac40f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800" w:after="200"/>
        <w:jc w:val="center"/>
      </w:pPr>
      <w:r>
        <w:rPr>
          <w:b/>
          <w:color w:val="6C3483"/>
          <w:sz w:val="52"/>
        </w:rPr>
        <w:t xml:space="preserve">Odysseus — AI Workspace</w:t>
      </w:r>
    </w:p>
    <w:p w14:paraId="00100002" w14:textId="00100003">
      <w:pPr>
        <w:pStyle w:val="Subtitle"/>
        <w:spacing w:after="280"/>
        <w:jc w:val="center"/>
      </w:pPr>
      <w:r>
        <w:rPr>
          <w:color w:val="2E86AB"/>
          <w:sz w:val="32"/>
        </w:rPr>
        <w:t xml:space="preserve">Detailed technical report (optional plane)</w:t>
      </w:r>
    </w:p>
    <w:p w14:paraId="00100004" w14:textId="00100005">
      <w:pPr>
        <w:spacing w:after="120"/>
        <w:jc w:val="center"/>
      </w:pPr>
      <w:r>
        <w:rPr>
          <w:color w:val="555555"/>
          <w:sz w:val="22"/>
        </w:rPr>
        <w:t xml:space="preserve">FII AI / MKZ Factory Monitor — Component Technical Report</w:t>
      </w:r>
    </w:p>
    <w:p w14:paraId="00100006" w14:textId="00100007">
      <w:pPr>
        <w:spacing w:after="80"/>
        <w:jc w:val="center"/>
      </w:pPr>
      <w:r>
        <w:rPr>
          <w:sz w:val="22"/>
        </w:rPr>
        <w:t xml:space="preserve">Document date: 5 August 2026 | Language: English</w:t>
      </w:r>
    </w:p>
    <w:p w14:paraId="00100008" w14:textId="00100009">
      <w:pPr>
        <w:spacing w:after="400"/>
        <w:jc w:val="center"/>
      </w:pPr>
      <w:r>
        <w:rPr>
          <w:b/>
          <w:color w:val="922B21"/>
          <w:sz w:val="22"/>
        </w:rPr>
        <w:t xml:space="preserve">Release posture: Staging candidate — NO-GO for production</w:t>
      </w:r>
    </w:p>
    <w:p w14:paraId="0010000A" w14:textId="0010000B">
      <w:pPr>
        <w:pageBreakBefore/>
        <w:spacing w:after="240"/>
        <w:jc w:val="center"/>
      </w:pPr>
      <w:r>
        <w:rPr>
          <w:color w:val="666666"/>
          <w:sz w:val="20"/>
        </w:rPr>
        <w:t xml:space="preserve">Sources: source code, README, PROJECT_PLAN.md, docs/PROJECT-GUIDE.vi.md, docs/release-evidence/.</w:t>
      </w:r>
    </w:p>
    <w:p w14:paraId="0010000C" w14:textId="0010000D">
      <w:pPr>
        <w:pStyle w:val="Heading1"/>
        <w:spacing w:before="320" w:after="200"/>
      </w:pPr>
      <w:r>
        <w:rPr>
          <w:b/>
          <w:color w:val="6C3483"/>
          <w:sz w:val="40"/>
        </w:rPr>
        <w:t xml:space="preserve">Contents</w:t>
      </w:r>
    </w:p>
    <w:p w14:paraId="0010000E" w14:textId="0010000F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1. Executive summary</w:t>
      </w:r>
    </w:p>
    <w:p w14:paraId="00100012" w14:textId="00100013">
      <w:pPr>
        <w:pStyle w:val="Normal"/>
        <w:spacing w:after="120"/>
      </w:pPr>
      <w:r>
        <w:rPr>
          <w:sz w:val="22"/>
        </w:rPr>
        <w:t xml:space="preserve">Odysseus is a self-hosted AI workspace (chat, agents, research, documents, email, notes, calendar, local models, MCP). In the FII monorepo it is OPTIONAL — outside core operations, no direct factory DB access, and it must never block the MQTT hot path.</w:t>
      </w:r>
    </w:p>
    <w:p w14:paraId="00100014" w14:textId="00100015">
      <w:pPr>
        <w:pStyle w:val="Normal"/>
        <w:spacing w:after="120"/>
      </w:pPr>
      <w:r>
        <w:rPr>
          <w:sz w:val="22"/>
        </w:rPr>
        <w:t xml:space="preserve">FII integration uses the /api/mkz/* REST bridge (admin-only) and a PLC MCP server that reads the backend via MKZ_BACKEND_URL. The fii-chat profile trims personal packs to focus on chat + factory Q&amp;A. License AGPL-3.0-or-later. Default port 7000.</w:t>
      </w:r>
    </w:p>
    <w:p w14:paraId="00100016" w14:textId="00100017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2. Boundaries with FII</w:t>
      </w:r>
    </w:p>
    <w:p w14:paraId="00100018" w14:textId="00100019">
      <w:pPr>
        <w:pStyle w:val="Normal"/>
        <w:spacing w:after="60"/>
        <w:ind w:left="360"/>
      </w:pPr>
      <w:r>
        <w:rPr>
          <w:sz w:val="22"/>
        </w:rPr>
        <w:t xml:space="preserve">• Data path: Odysseus → HTTP REST backend → PostgreSQL (never direct DB)</w:t>
      </w:r>
    </w:p>
    <w:p w14:paraId="0010001A" w14:textId="0010001B">
      <w:pPr>
        <w:pStyle w:val="Normal"/>
        <w:spacing w:after="60"/>
        <w:ind w:left="360"/>
      </w:pPr>
      <w:r>
        <w:rPr>
          <w:sz w:val="22"/>
        </w:rPr>
        <w:t xml:space="preserve">• OPENAI_API_KEY ≠ MKZ_BACKEND_TOKEN — separate secrets</w:t>
      </w:r>
    </w:p>
    <w:p w14:paraId="0010001C" w14:textId="0010001D">
      <w:pPr>
        <w:pStyle w:val="Normal"/>
        <w:spacing w:after="60"/>
        <w:ind w:left="360"/>
      </w:pPr>
      <w:r>
        <w:rPr>
          <w:sz w:val="22"/>
        </w:rPr>
        <w:t xml:space="preserve">• FII audit logs are not exposed through the bridge</w:t>
      </w:r>
    </w:p>
    <w:p w14:paraId="0010001E" w14:textId="0010001F">
      <w:pPr>
        <w:pStyle w:val="Normal"/>
        <w:spacing w:after="60"/>
        <w:ind w:left="360"/>
      </w:pPr>
      <w:r>
        <w:rPr>
          <w:sz w:val="22"/>
        </w:rPr>
        <w:t xml:space="preserve">• AUTH_ENABLED=false is trusted-local only</w:t>
      </w:r>
    </w:p>
    <w:p w14:paraId="00100020" w14:textId="00100021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3. Bridge endpoint table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6C3483"/>
          </w:tcPr>
          <w:p w14:paraId="00100022" w14:textId="00100023">
            <w:r>
              <w:rPr>
                <w:b/>
                <w:color w:val="FFFFFF"/>
                <w:sz w:val="20"/>
              </w:rPr>
              <w:t xml:space="preserve">Endpoint</w:t>
            </w:r>
          </w:p>
        </w:tc>
        <w:tc>
          <w:tcPr>
            <w:shd w:val="clear" w:fill="6C3483"/>
          </w:tcPr>
          <w:p w14:paraId="00100024" w14:textId="00100025"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rPr/>
        <w:tc>
          <w:p w14:paraId="00100026" w14:textId="00100027">
            <w:r>
              <w:t xml:space="preserve">GET /api/mkz/health</w:t>
            </w:r>
          </w:p>
        </w:tc>
        <w:tc>
          <w:p w14:paraId="00100028" w14:textId="00100029">
            <w:r>
              <w:t xml:space="preserve">Backend reachability</w:t>
            </w:r>
          </w:p>
        </w:tc>
      </w:tr>
      <w:tr>
        <w:trPr/>
        <w:tc>
          <w:p w14:paraId="0010002A" w14:textId="0010002B">
            <w:r>
              <w:t xml:space="preserve">GET /api/mkz/dashboard</w:t>
            </w:r>
          </w:p>
        </w:tc>
        <w:tc>
          <w:p w14:paraId="0010002C" w14:textId="0010002D">
            <w:r>
              <w:t xml:space="preserve">Dashboard KPIs</w:t>
            </w:r>
          </w:p>
        </w:tc>
      </w:tr>
      <w:tr>
        <w:trPr/>
        <w:tc>
          <w:p w14:paraId="0010002E" w14:textId="0010002F">
            <w:r>
              <w:t xml:space="preserve">GET /api/mkz/machines</w:t>
            </w:r>
          </w:p>
        </w:tc>
        <w:tc>
          <w:p w14:paraId="00100030" w14:textId="00100031">
            <w:r>
              <w:t xml:space="preserve">Machine list</w:t>
            </w:r>
          </w:p>
        </w:tc>
      </w:tr>
      <w:tr>
        <w:trPr/>
        <w:tc>
          <w:p w14:paraId="00100032" w14:textId="00100033">
            <w:r>
              <w:t xml:space="preserve">GET /api/mkz/production-lines</w:t>
            </w:r>
          </w:p>
        </w:tc>
        <w:tc>
          <w:p w14:paraId="00100034" w14:textId="00100035">
            <w:r>
              <w:t xml:space="preserve">Production lines</w:t>
            </w:r>
          </w:p>
        </w:tc>
      </w:tr>
      <w:tr>
        <w:trPr/>
        <w:tc>
          <w:p w14:paraId="00100036" w14:textId="00100037">
            <w:r>
              <w:t xml:space="preserve">GET /api/mkz/alarms</w:t>
            </w:r>
          </w:p>
        </w:tc>
        <w:tc>
          <w:p w14:paraId="00100038" w14:textId="00100039">
            <w:r>
              <w:t xml:space="preserve">Alarms</w:t>
            </w:r>
          </w:p>
        </w:tc>
      </w:tr>
      <w:tr>
        <w:trPr/>
        <w:tc>
          <w:p w14:paraId="0010003A" w14:textId="0010003B">
            <w:r>
              <w:t xml:space="preserve">GET /api/mkz/reports/production</w:t>
            </w:r>
          </w:p>
        </w:tc>
        <w:tc>
          <w:p w14:paraId="0010003C" w14:textId="0010003D">
            <w:r>
              <w:t xml:space="preserve">Production report</w:t>
            </w:r>
          </w:p>
        </w:tc>
      </w:tr>
      <w:tr>
        <w:trPr/>
        <w:tc>
          <w:p w14:paraId="0010003E" w14:textId="0010003F">
            <w:r>
              <w:t xml:space="preserve">GET /api/mkz/telemetry</w:t>
            </w:r>
          </w:p>
        </w:tc>
        <w:tc>
          <w:p w14:paraId="00100040" w14:textId="00100041">
            <w:r>
              <w:t xml:space="preserve">Live / recent telemetry</w:t>
            </w:r>
          </w:p>
        </w:tc>
      </w:tr>
      <w:tr>
        <w:trPr/>
        <w:tc>
          <w:p w14:paraId="00100042" w14:textId="00100043">
            <w:r>
              <w:t xml:space="preserve">GET /api/mkz/system-info</w:t>
            </w:r>
          </w:p>
        </w:tc>
        <w:tc>
          <w:p w14:paraId="00100044" w14:textId="00100045">
            <w:r>
              <w:t xml:space="preserve">Bridge routing info</w:t>
            </w:r>
          </w:p>
        </w:tc>
      </w:tr>
    </w:tbl>
    <w:p w14:paraId="00100046" w14:textId="00100047">
      <w:pPr>
        <w:pStyle w:val="Normal"/>
        <w:spacing w:after="120"/>
      </w:pPr>
      <w:r>
        <w:rPr>
          <w:sz w:val="22"/>
        </w:rPr>
        <w:t xml:space="preserve">Unauthenticated /api/mkz/health returns HTTP 401 even on localhost. /api/mkz/gateway/... has a separate policy.</w:t>
      </w:r>
    </w:p>
    <w:p w14:paraId="00100048" w14:textId="00100049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4. FII chat environment variables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6C3483"/>
          </w:tcPr>
          <w:p w14:paraId="0010004A" w14:textId="0010004B">
            <w:r>
              <w:rPr>
                <w:b/>
                <w:color w:val="FFFFFF"/>
                <w:sz w:val="20"/>
              </w:rPr>
              <w:t xml:space="preserve">Variable</w:t>
            </w:r>
          </w:p>
        </w:tc>
        <w:tc>
          <w:tcPr>
            <w:shd w:val="clear" w:fill="6C3483"/>
          </w:tcPr>
          <w:p w14:paraId="0010004C" w14:textId="0010004D">
            <w:r>
              <w:rPr>
                <w:b/>
                <w:color w:val="FFFFFF"/>
                <w:sz w:val="20"/>
              </w:rPr>
              <w:t xml:space="preserve">Role</w:t>
            </w:r>
          </w:p>
        </w:tc>
      </w:tr>
      <w:tr>
        <w:trPr/>
        <w:tc>
          <w:p w14:paraId="0010004E" w14:textId="0010004F">
            <w:r>
              <w:t xml:space="preserve">ODYSSEUS_PROFILE=fii-chat</w:t>
            </w:r>
          </w:p>
        </w:tc>
        <w:tc>
          <w:p w14:paraId="00100050" w14:textId="00100051">
            <w:r>
              <w:t xml:space="preserve">Skip email/gallery/calendar packs</w:t>
            </w:r>
          </w:p>
        </w:tc>
      </w:tr>
      <w:tr>
        <w:trPr/>
        <w:tc>
          <w:p w14:paraId="00100052" w14:textId="00100053">
            <w:r>
              <w:t xml:space="preserve">CHROMADB_DISABLED=true</w:t>
            </w:r>
          </w:p>
        </w:tc>
        <w:tc>
          <w:p w14:paraId="00100054" w14:textId="00100055">
            <w:r>
              <w:t xml:space="preserve">Chat without vector store spam</w:t>
            </w:r>
          </w:p>
        </w:tc>
      </w:tr>
      <w:tr>
        <w:trPr/>
        <w:tc>
          <w:p w14:paraId="00100056" w14:textId="00100057">
            <w:r>
              <w:t xml:space="preserve">HF_HUB_DISABLE_XET=1</w:t>
            </w:r>
          </w:p>
        </w:tc>
        <w:tc>
          <w:p w14:paraId="00100058" w14:textId="00100059">
            <w:r>
              <w:t xml:space="preserve">Avoid FastEmbed download hang (dev)</w:t>
            </w:r>
          </w:p>
        </w:tc>
      </w:tr>
      <w:tr>
        <w:trPr/>
        <w:tc>
          <w:p w14:paraId="0010005A" w14:textId="0010005B">
            <w:r>
              <w:t xml:space="preserve">MKZ_BACKEND_URL</w:t>
            </w:r>
          </w:p>
        </w:tc>
        <w:tc>
          <w:p w14:paraId="0010005C" w14:textId="0010005D">
            <w:r>
              <w:t xml:space="preserve">FII backend base URL</w:t>
            </w:r>
          </w:p>
        </w:tc>
      </w:tr>
      <w:tr>
        <w:trPr/>
        <w:tc>
          <w:p w14:paraId="0010005E" w14:textId="0010005F">
            <w:r>
              <w:t xml:space="preserve">MKZ_BACKEND_TOKEN</w:t>
            </w:r>
          </w:p>
        </w:tc>
        <w:tc>
          <w:p w14:paraId="00100060" w14:textId="00100061">
            <w:r>
              <w:t xml:space="preserve">Optional backend auth (HTTPS if remote)</w:t>
            </w:r>
          </w:p>
        </w:tc>
      </w:tr>
      <w:tr>
        <w:trPr/>
        <w:tc>
          <w:p w14:paraId="00100062" w14:textId="00100063">
            <w:r>
              <w:t xml:space="preserve">FII_SSO_ENABLED=true</w:t>
            </w:r>
          </w:p>
        </w:tc>
        <w:tc>
          <w:p w14:paraId="00100064" w14:textId="00100065">
            <w:r>
              <w:t xml:space="preserve">SSO integration with FII</w:t>
            </w:r>
          </w:p>
        </w:tc>
      </w:tr>
      <w:tr>
        <w:trPr/>
        <w:tc>
          <w:p w14:paraId="00100066" w14:textId="00100067">
            <w:r>
              <w:t xml:space="preserve">OPENAI_API_KEY</w:t>
            </w:r>
          </w:p>
        </w:tc>
        <w:tc>
          <w:p w14:paraId="00100068" w14:textId="00100069">
            <w:r>
              <w:t xml:space="preserve">Hosted model provider only (server-side)</w:t>
            </w:r>
          </w:p>
        </w:tc>
      </w:tr>
      <w:tr>
        <w:trPr/>
        <w:tc>
          <w:p w14:paraId="0010006A" w14:textId="0010006B">
            <w:r>
              <w:t xml:space="preserve">AUTH_ENABLED</w:t>
            </w:r>
          </w:p>
        </w:tc>
        <w:tc>
          <w:p w14:paraId="0010006C" w14:textId="0010006D">
            <w:r>
              <w:t xml:space="preserve">Must stay true outside trusted-local</w:t>
            </w:r>
          </w:p>
        </w:tc>
      </w:tr>
    </w:tbl>
    <w:p w14:paraId="0010006E" w14:textId="0010006F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5. Internal architecture</w:t>
      </w:r>
    </w:p>
    <w:p w14:paraId="00100070" w14:textId="00100071">
      <w:pPr>
        <w:pStyle w:val="Normal"/>
        <w:spacing w:after="60"/>
        <w:ind w:left="360"/>
      </w:pPr>
      <w:r>
        <w:rPr>
          <w:sz w:val="22"/>
        </w:rPr>
        <w:t xml:space="preserve">• app.py / launcher — FastAPI + uvicorn</w:t>
      </w:r>
    </w:p>
    <w:p w14:paraId="00100072" w14:textId="00100073">
      <w:pPr>
        <w:pStyle w:val="Normal"/>
        <w:spacing w:after="60"/>
        <w:ind w:left="360"/>
      </w:pPr>
      <w:r>
        <w:rPr>
          <w:sz w:val="22"/>
        </w:rPr>
        <w:t xml:space="preserve">• core/ — auth, database, session, FII SSO helper</w:t>
      </w:r>
    </w:p>
    <w:p w14:paraId="00100074" w14:textId="00100075">
      <w:pPr>
        <w:pStyle w:val="Normal"/>
        <w:spacing w:after="60"/>
        <w:ind w:left="360"/>
      </w:pPr>
      <w:r>
        <w:rPr>
          <w:sz w:val="22"/>
        </w:rPr>
        <w:t xml:space="preserve">• routes/ — chat, models, memory, MCP, mkz_*, documents, research</w:t>
      </w:r>
    </w:p>
    <w:p w14:paraId="00100076" w14:textId="00100077">
      <w:pPr>
        <w:pStyle w:val="Normal"/>
        <w:spacing w:after="60"/>
        <w:ind w:left="360"/>
      </w:pPr>
      <w:r>
        <w:rPr>
          <w:sz w:val="22"/>
        </w:rPr>
        <w:t xml:space="preserve">• src/ — LLM core, agent tools, RAG, MCP manager, security</w:t>
      </w:r>
    </w:p>
    <w:p w14:paraId="00100078" w14:textId="00100079">
      <w:pPr>
        <w:pStyle w:val="Normal"/>
        <w:spacing w:after="60"/>
        <w:ind w:left="360"/>
      </w:pPr>
      <w:r>
        <w:rPr>
          <w:sz w:val="22"/>
        </w:rPr>
        <w:t xml:space="preserve">• mcp_servers/ — email, image_gen, memory, rag, plc_mcp_server</w:t>
      </w:r>
    </w:p>
    <w:p w14:paraId="0010007A" w14:textId="0010007B">
      <w:pPr>
        <w:pStyle w:val="Normal"/>
        <w:spacing w:after="60"/>
        <w:ind w:left="360"/>
      </w:pPr>
      <w:r>
        <w:rPr>
          <w:sz w:val="22"/>
        </w:rPr>
        <w:t xml:space="preserve">• static/ — SPA UI</w:t>
      </w:r>
    </w:p>
    <w:p w14:paraId="0010007C" w14:textId="0010007D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6. Product capabilities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6C3483"/>
          </w:tcPr>
          <w:p w14:paraId="0010007E" w14:textId="0010007F">
            <w:r>
              <w:rPr>
                <w:b/>
                <w:color w:val="FFFFFF"/>
                <w:sz w:val="20"/>
              </w:rPr>
              <w:t xml:space="preserve">Area</w:t>
            </w:r>
          </w:p>
        </w:tc>
        <w:tc>
          <w:tcPr>
            <w:shd w:val="clear" w:fill="6C3483"/>
          </w:tcPr>
          <w:p w14:paraId="00100080" w14:textId="00100081">
            <w:r>
              <w:rPr>
                <w:b/>
                <w:color w:val="FFFFFF"/>
                <w:sz w:val="20"/>
              </w:rPr>
              <w:t xml:space="preserve">Status in FII</w:t>
            </w:r>
          </w:p>
        </w:tc>
      </w:tr>
      <w:tr>
        <w:trPr/>
        <w:tc>
          <w:p w14:paraId="00100082" w14:textId="00100083">
            <w:r>
              <w:t xml:space="preserve">Chat + Agents + MCP</w:t>
            </w:r>
          </w:p>
        </w:tc>
        <w:tc>
          <w:p w14:paraId="00100084" w14:textId="00100085">
            <w:r>
              <w:t xml:space="preserve">Core for fii-chat</w:t>
            </w:r>
          </w:p>
        </w:tc>
      </w:tr>
      <w:tr>
        <w:trPr/>
        <w:tc>
          <w:p w14:paraId="00100086" w14:textId="00100087">
            <w:r>
              <w:t xml:space="preserve">Factory REST bridge</w:t>
            </w:r>
          </w:p>
        </w:tc>
        <w:tc>
          <w:p w14:paraId="00100088" w14:textId="00100089">
            <w:r>
              <w:t xml:space="preserve">Admin-only integration</w:t>
            </w:r>
          </w:p>
        </w:tc>
      </w:tr>
      <w:tr>
        <w:trPr/>
        <w:tc>
          <w:p w14:paraId="0010008A" w14:textId="0010008B">
            <w:r>
              <w:t xml:space="preserve">PLC MCP server</w:t>
            </w:r>
          </w:p>
        </w:tc>
        <w:tc>
          <w:p w14:paraId="0010008C" w14:textId="0010008D">
            <w:r>
              <w:t xml:space="preserve">Read-only via backend</w:t>
            </w:r>
          </w:p>
        </w:tc>
      </w:tr>
      <w:tr>
        <w:trPr/>
        <w:tc>
          <w:p w14:paraId="0010008E" w14:textId="0010008F">
            <w:r>
              <w:t xml:space="preserve">RAG / Chroma</w:t>
            </w:r>
          </w:p>
        </w:tc>
        <w:tc>
          <w:p w14:paraId="00100090" w14:textId="00100091">
            <w:r>
              <w:t xml:space="preserve">Optional (disabled by default in fii-chat)</w:t>
            </w:r>
          </w:p>
        </w:tc>
      </w:tr>
      <w:tr>
        <w:trPr/>
        <w:tc>
          <w:p w14:paraId="00100092" w14:textId="00100093">
            <w:r>
              <w:t xml:space="preserve">Email / Gallery / Calendar</w:t>
            </w:r>
          </w:p>
        </w:tc>
        <w:tc>
          <w:p w14:paraId="00100094" w14:textId="00100095">
            <w:r>
              <w:t xml:space="preserve">Disabled in fii-chat profile</w:t>
            </w:r>
          </w:p>
        </w:tc>
      </w:tr>
      <w:tr>
        <w:trPr/>
        <w:tc>
          <w:p w14:paraId="00100096" w14:textId="00100097">
            <w:r>
              <w:t xml:space="preserve">Deep Research / Documents</w:t>
            </w:r>
          </w:p>
        </w:tc>
        <w:tc>
          <w:p w14:paraId="00100098" w14:textId="00100099">
            <w:r>
              <w:t xml:space="preserve">Available upstream features</w:t>
            </w:r>
          </w:p>
        </w:tc>
      </w:tr>
      <w:tr>
        <w:trPr/>
        <w:tc>
          <w:p w14:paraId="0010009A" w14:textId="0010009B">
            <w:r>
              <w:t xml:space="preserve">Shell / tools</w:t>
            </w:r>
          </w:p>
        </w:tc>
        <w:tc>
          <w:p w14:paraId="0010009C" w14:textId="0010009D">
            <w:r>
              <w:t xml:space="preserve">Policy-gated; not for OT write</w:t>
            </w:r>
          </w:p>
        </w:tc>
      </w:tr>
    </w:tbl>
    <w:p w14:paraId="0010009E" w14:textId="0010009F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7. Local run</w:t>
      </w:r>
    </w:p>
    <w:p w14:paraId="001000A0" w14:textId="001000A1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cd Odysseus</w:t>
      </w:r>
    </w:p>
    <w:p w14:paraId="001000A2" w14:textId="001000A3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.\launch-windows.ps1</w:t>
      </w:r>
    </w:p>
    <w:p w14:paraId="001000A4" w14:textId="001000A5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# or: .\venv\Scripts\python.exe -m uvicorn app:app --host 127.0.0.1 --port 7000</w:t>
      </w:r>
    </w:p>
    <w:p w14:paraId="001000A6" w14:textId="001000A7">
      <w:pPr>
        <w:pStyle w:val="Normal"/>
        <w:spacing w:after="120"/>
      </w:pPr>
      <w:r>
        <w:rPr>
          <w:sz w:val="22"/>
        </w:rPr>
        <w:t xml:space="preserve">Docker: docker compose up -d --build → http://localhost:7000</w:t>
      </w:r>
    </w:p>
    <w:p w14:paraId="001000A8" w14:textId="001000A9">
      <w:pPr>
        <w:pStyle w:val="Heading1"/>
        <w:pageBreakBefore/>
        <w:spacing w:before="320" w:after="200"/>
      </w:pPr>
      <w:r>
        <w:rPr>
          <w:b/>
          <w:color w:val="6C3483"/>
          <w:sz w:val="40"/>
        </w:rPr>
        <w:t xml:space="preserve">8. Risks and conclusion</w:t>
      </w:r>
    </w:p>
    <w:p w14:paraId="001000AA" w14:textId="001000AB">
      <w:pPr>
        <w:pStyle w:val="Normal"/>
        <w:spacing w:after="60"/>
        <w:ind w:left="360"/>
      </w:pPr>
      <w:r>
        <w:rPr>
          <w:sz w:val="22"/>
        </w:rPr>
        <w:t xml:space="preserve">• Odysseus outages must not fail the operations path</w:t>
      </w:r>
    </w:p>
    <w:p w14:paraId="001000AC" w14:textId="001000AD">
      <w:pPr>
        <w:pStyle w:val="Normal"/>
        <w:spacing w:after="60"/>
        <w:ind w:left="360"/>
      </w:pPr>
      <w:r>
        <w:rPr>
          <w:sz w:val="22"/>
        </w:rPr>
        <w:t xml:space="preserve">• Admin-only bridge limits multi-user least privilege</w:t>
      </w:r>
    </w:p>
    <w:p w14:paraId="001000AE" w14:textId="001000AF">
      <w:pPr>
        <w:pStyle w:val="Normal"/>
        <w:spacing w:after="60"/>
        <w:ind w:left="360"/>
      </w:pPr>
      <w:r>
        <w:rPr>
          <w:sz w:val="22"/>
        </w:rPr>
        <w:t xml:space="preserve">• Hallucination risk — sensor truth remains UI/backend</w:t>
      </w:r>
    </w:p>
    <w:p w14:paraId="001000B0" w14:textId="001000B1">
      <w:pPr>
        <w:pStyle w:val="Normal"/>
        <w:spacing w:after="60"/>
        <w:ind w:left="360"/>
      </w:pPr>
      <w:r>
        <w:rPr>
          <w:sz w:val="22"/>
        </w:rPr>
        <w:t xml:space="preserve">• AGPL implications if distributing modifications</w:t>
      </w:r>
    </w:p>
    <w:p w14:paraId="001000B2" w14:textId="001000B3">
      <w:pPr>
        <w:pStyle w:val="Normal"/>
        <w:spacing w:after="120"/>
      </w:pPr>
      <w:r>
        <w:rPr>
          <w:sz w:val="22"/>
        </w:rPr>
        <w:t xml:space="preserve">Odysseus adds an AI/chat/RAG plane but is not the factory monitoring core. FII production go-live is independent of Odysseus readiness.</w:t>
      </w:r>
    </w:p>
    <w:p w14:paraId="001000B4" w14:textId="001000B5">
      <w:pPr>
        <w:pStyle w:val="Heading1"/>
        <w:spacing w:before="320" w:after="200"/>
      </w:pPr>
      <w:r>
        <w:rPr>
          <w:b/>
          <w:color w:val="6C3483"/>
          <w:sz w:val="40"/>
        </w:rPr>
        <w:t xml:space="preserve">Appendix — Sources</w:t>
      </w:r>
    </w:p>
    <w:p w14:paraId="001000B6" w14:textId="001000B7">
      <w:pPr>
        <w:pStyle w:val="Normal"/>
        <w:spacing w:after="60"/>
        <w:ind w:left="360"/>
      </w:pPr>
      <w:r>
        <w:rPr>
          <w:sz w:val="22"/>
        </w:rPr>
        <w:t xml:space="preserve">• Odysseus/README.md, INTEGRATION.md, docs/setup.md, THREAT_MODEL.md</w:t>
      </w:r>
    </w:p>
    <w:p w14:paraId="001000B8" w14:textId="001000B9">
      <w:pPr>
        <w:pStyle w:val="Normal"/>
        <w:spacing w:after="60"/>
        <w:ind w:left="360"/>
      </w:pPr>
      <w:r>
        <w:rPr>
          <w:sz w:val="22"/>
        </w:rPr>
        <w:t xml:space="preserve">• routes/mkz_routes.py, mcp_servers/plc_mcp_server.py</w:t>
      </w:r>
    </w:p>
    <w:p w14:paraId="001000BA" w14:textId="001000BB">
      <w:pPr>
        <w:pStyle w:val="Normal"/>
        <w:spacing w:after="60"/>
        <w:ind w:left="360"/>
      </w:pPr>
      <w:r>
        <w:rPr>
          <w:sz w:val="22"/>
        </w:rPr>
        <w:t xml:space="preserve">• scripts/sync_mkz_to_odysseus.py, verify_mkz_rag.py</w:t>
      </w:r>
    </w:p>
    <w:sectPr>
      <w:headerReference w:type="default" r:id="Rfa0af56b666b47fe"/>
      <w:footerReference w:type="default" r:id="Rd67310bdba5d452a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F" w14:textId="001000C1">
    <w:pPr>
      <w:jc w:val="center"/>
    </w:pPr>
    <w:r>
      <w:rPr>
        <w:sz w:val="18"/>
      </w:rPr>
      <w:t xml:space="preserve">FII AI | Staging candidate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BC" w14:textId="001000BE">
    <w:pPr>
      <w:jc w:val="right"/>
    </w:pPr>
    <w:r>
      <w:rPr>
        <w:color w:val="666666"/>
        <w:sz w:val="18"/>
      </w:rPr>
      <w:t xml:space="preserve">FII AI | Odysseus | Technical Report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d3e154f55de4bb3" /><Relationship Type="http://schemas.openxmlformats.org/officeDocument/2006/relationships/styles" Target="/word/styles.xml" Id="Rcfb48fd0546740b9" /><Relationship Type="http://schemas.openxmlformats.org/officeDocument/2006/relationships/theme" Target="/word/theme/theme1.xml" Id="R8b8a739d351c4155" /><Relationship Type="http://schemas.openxmlformats.org/officeDocument/2006/relationships/numbering" Target="/word/numbering.xml" Id="R02aaa00f8d5e40a6" /><Relationship Type="http://schemas.openxmlformats.org/officeDocument/2006/relationships/header" Target="/word/header1.xml" Id="Rfa0af56b666b47fe" /><Relationship Type="http://schemas.openxmlformats.org/officeDocument/2006/relationships/footer" Target="/word/footer1.xml" Id="Rd67310bdba5d45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2026-08-05T07:44:00Z</dcterms:created>
  <cp:lastModifiedBy>OfficeCLI</cp:lastModifiedBy>
  <dcterms:modified xsi:type="dcterms:W3CDTF">2026-08-05T07:44:00Z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2026-08-05T07:44:05Z</vt:lpwstr>
  </op:property>
</op:Properties>
</file>