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2.png" ContentType="image/png"/>
  <Override PartName="/word/media/rId64.png" ContentType="image/png"/>
  <Override PartName="/word/media/rId33.png" ContentType="image/png"/>
  <Override PartName="/word/media/rId26.png" ContentType="image/png"/>
  <Override PartName="/word/media/rId61.png" ContentType="image/png"/>
  <Override PartName="/word/media/rId93.png" ContentType="image/png"/>
  <Override PartName="/word/media/rId45.png" ContentType="image/png"/>
  <Override PartName="/word/media/image1.emf" ContentType="image/x-emf"/>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변동성</w:t>
      </w:r>
      <w:r>
        <w:t xml:space="preserve"> </w:t>
      </w:r>
      <w:r>
        <w:t xml:space="preserve">예측을</w:t>
      </w:r>
      <w:r>
        <w:t xml:space="preserve"> </w:t>
      </w:r>
      <w:r>
        <w:t xml:space="preserve">결합한</w:t>
      </w:r>
      <w:r>
        <w:t xml:space="preserve"> </w:t>
      </w:r>
      <w:r>
        <w:t xml:space="preserve">블랙-리터만</w:t>
      </w:r>
      <w:r>
        <w:t xml:space="preserve"> </w:t>
      </w:r>
      <w:r>
        <w:t xml:space="preserve">저변동성</w:t>
      </w:r>
      <w:r>
        <w:t xml:space="preserve"> </w:t>
      </w:r>
      <w:r>
        <w:t xml:space="preserve">포트폴리오</w:t>
      </w:r>
      <w:r>
        <w:t xml:space="preserve"> </w:t>
      </w:r>
      <w:r>
        <w:t xml:space="preserve">전략</w:t>
      </w:r>
    </w:p>
    <w:p>
      <w:pPr>
        <w:jc w:val="center"/>
      </w:pPr>
      <w:r>
        <w:rPr>
          <w:rFonts w:ascii="Times New Roman" w:hAnsi="Times New Roman" w:eastAsia="바탕" w:cs="Times New Roman"/>
          <w:b/>
          <w:bCs/>
          <w:sz w:val="28"/>
          <w:szCs w:val="28"/>
        </w:rPr>
        <w:t xml:space="preserve">[Title in English — 작성 필요]</w:t>
      </w:r>
    </w:p>
    <w:p>
      <w:pPr>
        <w:pStyle w:val="Author"/>
      </w:pPr>
      <w:r>
        <w:t xml:space="preserve">서윤범,</w:t>
      </w:r>
      <w:r>
        <w:t xml:space="preserve"> </w:t>
      </w:r>
      <w:r>
        <w:t xml:space="preserve">김하연,</w:t>
      </w:r>
      <w:r>
        <w:t xml:space="preserve"> </w:t>
      </w:r>
      <w:r>
        <w:t xml:space="preserve">김재천,</w:t>
      </w:r>
      <w:r>
        <w:t xml:space="preserve"> </w:t>
      </w:r>
      <w:r>
        <w:t xml:space="preserve">김윤서,</w:t>
      </w:r>
      <w:r>
        <w:t xml:space="preserve"> </w:t>
      </w:r>
      <w:r>
        <w:t xml:space="preserve">서정욱</w:t>
      </w:r>
    </w:p>
    <w:p>
      <w:pPr>
        <w:jc w:val="center"/>
      </w:pPr>
      <w:r>
        <w:rPr>
          <w:rFonts w:ascii="Times New Roman" w:hAnsi="Times New Roman" w:eastAsia="바탕" w:cs="Times New Roman"/>
          <w:sz w:val="22"/>
          <w:szCs w:val="22"/>
        </w:rPr>
        <w:t xml:space="preserve">[저자 소속(국문/영문) 및 E-mail — 작성 필요]</w:t>
      </w:r>
    </w:p>
    <w:p>
      <w:pPr>
        <w:jc w:val="center"/>
      </w:pPr>
      <w:r>
        <w:rPr>
          <w:rFonts w:ascii="Times New Roman" w:hAnsi="Times New Roman" w:eastAsia="바탕" w:cs="Times New Roman"/>
          <w:sz w:val="22"/>
          <w:szCs w:val="22"/>
        </w:rPr>
        <w:t xml:space="preserve">교신저자: 서정욱 / Department of Applied Artificial Intelligence, Hanyang University, 55, Hanyangdaehak-ro, Ansan-si, 15588, Republic of Korea / E-mail: sju02051@hanyang.ac.kr</w:t>
      </w:r>
    </w:p>
    <w:p>
      <w:pPr/>
      <w:r>
        <w:rPr>
          <w:rFonts w:ascii="Times New Roman" w:hAnsi="Times New Roman" w:eastAsia="바탕" w:cs="Times New Roman"/>
          <w:b/>
          <w:bCs/>
          <w:sz w:val="22"/>
          <w:szCs w:val="22"/>
        </w:rPr>
        <w:t xml:space="preserve">Acknowledgement (사사)</w:t>
      </w:r>
    </w:p>
    <w:p>
      <w:pPr/>
      <w:r>
        <w:rPr>
          <w:rFonts w:ascii="Times New Roman" w:hAnsi="Times New Roman" w:eastAsia="바탕" w:cs="Times New Roman"/>
          <w:sz w:val="22"/>
          <w:szCs w:val="22"/>
        </w:rPr>
        <w:t xml:space="preserve">[지원기관이 있는 경우 사사 표기 — 작성 필요]</w:t>
      </w:r>
    </w:p>
    <w:p>
      <w:pPr/>
      <w:r>
        <w:rPr>
          <w:rFonts w:ascii="Times New Roman" w:hAnsi="Times New Roman" w:eastAsia="바탕" w:cs="Times New Roman"/>
          <w:b/>
          <w:bCs/>
          <w:sz w:val="22"/>
          <w:szCs w:val="22"/>
        </w:rPr>
        <w:t xml:space="preserve">국문초록</w:t>
      </w:r>
    </w:p>
    <w:p>
      <w:pPr>
        <w:pStyle w:val="Abstract"/>
      </w:pPr>
      <w:r>
        <w:t xml:space="preserve">블랙-리터만(Black-Litterman,</w:t>
      </w:r>
      <w:r>
        <w:t xml:space="preserve"> </w:t>
      </w:r>
      <w:r>
        <w:t xml:space="preserve">BL)</w:t>
      </w:r>
      <w:r>
        <w:t xml:space="preserve"> </w:t>
      </w:r>
      <w:r>
        <w:t xml:space="preserve">모형은</w:t>
      </w:r>
      <w:r>
        <w:t xml:space="preserve"> </w:t>
      </w:r>
      <w:r>
        <w:t xml:space="preserve">시장</w:t>
      </w:r>
      <w:r>
        <w:t xml:space="preserve"> </w:t>
      </w:r>
      <w:r>
        <w:t xml:space="preserve">균형에</w:t>
      </w:r>
      <w:r>
        <w:t xml:space="preserve"> </w:t>
      </w:r>
      <w:r>
        <w:t xml:space="preserve">투자자</w:t>
      </w:r>
      <w:r>
        <w:t xml:space="preserve"> </w:t>
      </w:r>
      <w:r>
        <w:t xml:space="preserve">뷰를</w:t>
      </w:r>
      <w:r>
        <w:t xml:space="preserve"> </w:t>
      </w:r>
      <w:r>
        <w:t xml:space="preserve">결합하여</w:t>
      </w:r>
      <w:r>
        <w:t xml:space="preserve"> </w:t>
      </w:r>
      <w:r>
        <w:t xml:space="preserve">평균-분산</w:t>
      </w:r>
      <w:r>
        <w:t xml:space="preserve"> </w:t>
      </w:r>
      <w:r>
        <w:t xml:space="preserve">최적화의</w:t>
      </w:r>
      <w:r>
        <w:t xml:space="preserve"> </w:t>
      </w:r>
      <w:r>
        <w:t xml:space="preserve">추정</w:t>
      </w:r>
      <w:r>
        <w:t xml:space="preserve"> </w:t>
      </w:r>
      <w:r>
        <w:t xml:space="preserve">오차</w:t>
      </w:r>
      <w:r>
        <w:t xml:space="preserve"> </w:t>
      </w:r>
      <w:r>
        <w:t xml:space="preserve">민감성을</w:t>
      </w:r>
      <w:r>
        <w:t xml:space="preserve"> </w:t>
      </w:r>
      <w:r>
        <w:t xml:space="preserve">완화하지만,</w:t>
      </w:r>
      <w:r>
        <w:t xml:space="preserve"> </w:t>
      </w:r>
      <w:r>
        <w:t xml:space="preserve">뷰가</w:t>
      </w:r>
      <w:r>
        <w:t xml:space="preserve"> </w:t>
      </w:r>
      <w:r>
        <w:t xml:space="preserve">전문가의</w:t>
      </w:r>
      <w:r>
        <w:t xml:space="preserve"> </w:t>
      </w:r>
      <w:r>
        <w:t xml:space="preserve">주관에</w:t>
      </w:r>
      <w:r>
        <w:t xml:space="preserve"> </w:t>
      </w:r>
      <w:r>
        <w:t xml:space="preserve">의존한다는</w:t>
      </w:r>
      <w:r>
        <w:t xml:space="preserve"> </w:t>
      </w:r>
      <w:r>
        <w:t xml:space="preserve">한계를</w:t>
      </w:r>
      <w:r>
        <w:t xml:space="preserve"> </w:t>
      </w:r>
      <w:r>
        <w:t xml:space="preserve">갖는다.</w:t>
      </w:r>
      <w:r>
        <w:t xml:space="preserve"> </w:t>
      </w:r>
      <w:r>
        <w:t xml:space="preserve">이를</w:t>
      </w:r>
      <w:r>
        <w:t xml:space="preserve"> </w:t>
      </w:r>
      <w:r>
        <w:t xml:space="preserve">보완하기</w:t>
      </w:r>
      <w:r>
        <w:t xml:space="preserve"> </w:t>
      </w:r>
      <w:r>
        <w:t xml:space="preserve">위한</w:t>
      </w:r>
      <w:r>
        <w:t xml:space="preserve"> </w:t>
      </w:r>
      <w:r>
        <w:t xml:space="preserve">머신러닝</w:t>
      </w:r>
      <w:r>
        <w:t xml:space="preserve"> </w:t>
      </w:r>
      <w:r>
        <w:t xml:space="preserve">기반</w:t>
      </w:r>
      <w:r>
        <w:t xml:space="preserve"> </w:t>
      </w:r>
      <w:r>
        <w:t xml:space="preserve">BL</w:t>
      </w:r>
      <w:r>
        <w:t xml:space="preserve"> </w:t>
      </w:r>
      <w:r>
        <w:t xml:space="preserve">응용</w:t>
      </w:r>
      <w:r>
        <w:t xml:space="preserve"> </w:t>
      </w:r>
      <w:r>
        <w:t xml:space="preserve">연구가</w:t>
      </w:r>
      <w:r>
        <w:t xml:space="preserve"> </w:t>
      </w:r>
      <w:r>
        <w:t xml:space="preserve">활발하나</w:t>
      </w:r>
      <w:r>
        <w:t xml:space="preserve"> </w:t>
      </w:r>
      <w:r>
        <w:t xml:space="preserve">대부분</w:t>
      </w:r>
      <w:r>
        <w:t xml:space="preserve"> </w:t>
      </w:r>
      <w:r>
        <w:t xml:space="preserve">수익률</w:t>
      </w:r>
      <w:r>
        <w:t xml:space="preserve"> </w:t>
      </w:r>
      <w:r>
        <w:t xml:space="preserve">예측에</w:t>
      </w:r>
      <w:r>
        <w:t xml:space="preserve"> </w:t>
      </w:r>
      <w:r>
        <w:t xml:space="preserve">집중되어</w:t>
      </w:r>
      <w:r>
        <w:t xml:space="preserve"> </w:t>
      </w:r>
      <w:r>
        <w:t xml:space="preserve">있고,</w:t>
      </w:r>
      <w:r>
        <w:t xml:space="preserve"> </w:t>
      </w:r>
      <w:r>
        <w:t xml:space="preserve">변동성</w:t>
      </w:r>
      <w:r>
        <w:t xml:space="preserve"> </w:t>
      </w:r>
      <w:r>
        <w:t xml:space="preserve">예측을</w:t>
      </w:r>
      <w:r>
        <w:t xml:space="preserve"> </w:t>
      </w:r>
      <w:r>
        <w:t xml:space="preserve">직접</w:t>
      </w:r>
      <w:r>
        <w:t xml:space="preserve"> </w:t>
      </w:r>
      <w:r>
        <w:t xml:space="preserve">뷰로</w:t>
      </w:r>
      <w:r>
        <w:t xml:space="preserve"> </w:t>
      </w:r>
      <w:r>
        <w:t xml:space="preserve">활용하는</w:t>
      </w:r>
      <w:r>
        <w:t xml:space="preserve"> </w:t>
      </w:r>
      <w:r>
        <w:t xml:space="preserve">연구는</w:t>
      </w:r>
      <w:r>
        <w:t xml:space="preserve"> </w:t>
      </w:r>
      <w:r>
        <w:t xml:space="preserve">제한적이다.</w:t>
      </w:r>
      <w:r>
        <w:t xml:space="preserve"> </w:t>
      </w:r>
      <w:r>
        <w:t xml:space="preserve">본</w:t>
      </w:r>
      <w:r>
        <w:t xml:space="preserve"> </w:t>
      </w:r>
      <w:r>
        <w:t xml:space="preserve">연구는</w:t>
      </w:r>
      <w:r>
        <w:t xml:space="preserve"> </w:t>
      </w:r>
      <w:r>
        <w:t xml:space="preserve">인공신경망(ANN)</w:t>
      </w:r>
      <w:r>
        <w:t xml:space="preserve"> </w:t>
      </w:r>
      <w:r>
        <w:t xml:space="preserve">기반</w:t>
      </w:r>
      <w:r>
        <w:t xml:space="preserve"> </w:t>
      </w:r>
      <w:r>
        <w:t xml:space="preserve">변동성</w:t>
      </w:r>
      <w:r>
        <w:t xml:space="preserve"> </w:t>
      </w:r>
      <w:r>
        <w:t xml:space="preserve">예측을</w:t>
      </w:r>
      <w:r>
        <w:t xml:space="preserve"> </w:t>
      </w:r>
      <w:r>
        <w:t xml:space="preserve">BL</w:t>
      </w:r>
      <w:r>
        <w:t xml:space="preserve"> </w:t>
      </w:r>
      <w:r>
        <w:t xml:space="preserve">뷰로</w:t>
      </w:r>
      <w:r>
        <w:t xml:space="preserve"> </w:t>
      </w:r>
      <w:r>
        <w:t xml:space="preserve">결합한</w:t>
      </w:r>
      <w:r>
        <w:t xml:space="preserve"> </w:t>
      </w:r>
      <w:r>
        <w:t xml:space="preserve">Pyo</w:t>
      </w:r>
      <w:r>
        <w:t xml:space="preserve"> </w:t>
      </w:r>
      <w:r>
        <w:t xml:space="preserve">and</w:t>
      </w:r>
      <w:r>
        <w:t xml:space="preserve"> </w:t>
      </w:r>
      <w:r>
        <w:t xml:space="preserve">Lee</w:t>
      </w:r>
      <w:r>
        <w:t xml:space="preserve"> </w:t>
      </w:r>
      <w:r>
        <w:t xml:space="preserve">(2018)의</w:t>
      </w:r>
      <w:r>
        <w:t xml:space="preserve"> </w:t>
      </w:r>
      <w:r>
        <w:t xml:space="preserve">프레임워크를</w:t>
      </w:r>
      <w:r>
        <w:t xml:space="preserve"> </w:t>
      </w:r>
      <w:r>
        <w:t xml:space="preserve">출발점으로,</w:t>
      </w:r>
      <w:r>
        <w:t xml:space="preserve"> </w:t>
      </w:r>
      <w:r>
        <w:t xml:space="preserve">두</w:t>
      </w:r>
      <w:r>
        <w:t xml:space="preserve"> </w:t>
      </w:r>
      <w:r>
        <w:t xml:space="preserve">축으로</w:t>
      </w:r>
      <w:r>
        <w:t xml:space="preserve"> </w:t>
      </w:r>
      <w:r>
        <w:t xml:space="preserve">확장한다:</w:t>
      </w:r>
      <w:r>
        <w:t xml:space="preserve"> </w:t>
      </w:r>
      <w:r>
        <w:t xml:space="preserve">(1)</w:t>
      </w:r>
      <w:r>
        <w:t xml:space="preserve"> </w:t>
      </w:r>
      <w:r>
        <w:t xml:space="preserve">단순</w:t>
      </w:r>
      <w:r>
        <w:t xml:space="preserve"> </w:t>
      </w:r>
      <w:r>
        <w:t xml:space="preserve">ANN을</w:t>
      </w:r>
      <w:r>
        <w:t xml:space="preserve"> </w:t>
      </w:r>
      <w:r>
        <w:t xml:space="preserve">LSTM과</w:t>
      </w:r>
      <w:r>
        <w:t xml:space="preserve"> </w:t>
      </w:r>
      <w:r>
        <w:t xml:space="preserve">HAR의</w:t>
      </w:r>
      <w:r>
        <w:t xml:space="preserve"> </w:t>
      </w:r>
      <w:r>
        <w:t xml:space="preserve">앙상블로</w:t>
      </w:r>
      <w:r>
        <w:t xml:space="preserve"> </w:t>
      </w:r>
      <w:r>
        <w:t xml:space="preserve">대체하여</w:t>
      </w:r>
      <w:r>
        <w:t xml:space="preserve"> </w:t>
      </w:r>
      <w:r>
        <w:t xml:space="preserve">시계열</w:t>
      </w:r>
      <w:r>
        <w:t xml:space="preserve"> </w:t>
      </w:r>
      <w:r>
        <w:t xml:space="preserve">의존</w:t>
      </w:r>
      <w:r>
        <w:t xml:space="preserve"> </w:t>
      </w:r>
      <w:r>
        <w:t xml:space="preserve">구조를</w:t>
      </w:r>
      <w:r>
        <w:t xml:space="preserve"> </w:t>
      </w:r>
      <w:r>
        <w:t xml:space="preserve">반영하고,</w:t>
      </w:r>
      <w:r>
        <w:t xml:space="preserve"> </w:t>
      </w:r>
      <w:r>
        <w:t xml:space="preserve">(2)</w:t>
      </w:r>
      <w:r>
        <w:t xml:space="preserve"> </w:t>
      </w:r>
      <w:r>
        <w:t xml:space="preserve">BL의</w:t>
      </w:r>
      <w:r>
        <w:t xml:space="preserve"> </w:t>
      </w:r>
      <w:r>
        <w:t xml:space="preserve">네</w:t>
      </w:r>
      <w:r>
        <w:t xml:space="preserve"> </w:t>
      </w:r>
      <w:r>
        <w:t xml:space="preserve">입력</w:t>
      </w:r>
      <w:r>
        <w:t xml:space="preserve"> </w:t>
      </w:r>
      <w:r>
        <w:t xml:space="preserve">슬롯</w:t>
      </w:r>
      <w:r>
        <w:t xml:space="preserve"> </w:t>
      </w:r>
      <w:r>
        <w:t xml:space="preserve">(</w:t>
      </w:r>
      <m:oMath>
        <m:r>
          <m:rPr>
            <m:sty m:val="b"/>
          </m:rPr>
          <m:t>p</m:t>
        </m:r>
        <m:r>
          <m:t>,</m:t>
        </m:r>
        <m:r>
          <m:t>q</m:t>
        </m:r>
        <m:r>
          <m:t>,</m:t>
        </m:r>
        <m:r>
          <m:t>ω</m:t>
        </m:r>
        <m:r>
          <m:t>,</m:t>
        </m:r>
        <m:sSub>
          <m:e>
            <m:r>
              <m:rPr>
                <m:sty m:val="b"/>
              </m:rPr>
              <m:t>w</m:t>
            </m:r>
          </m:e>
          <m:sub>
            <m:r>
              <m:t>m</m:t>
            </m:r>
            <m:r>
              <m:t>k</m:t>
            </m:r>
            <m:r>
              <m:t>t</m:t>
            </m:r>
          </m:sub>
        </m:sSub>
      </m:oMath>
      <w:r>
        <w:t xml:space="preserve">)</w:t>
      </w:r>
      <w:r>
        <w:t xml:space="preserve"> </w:t>
      </w:r>
      <w:r>
        <w:t xml:space="preserve">을</w:t>
      </w:r>
      <w:r>
        <w:t xml:space="preserve"> </w:t>
      </w:r>
      <w:r>
        <w:t xml:space="preserve">각각</w:t>
      </w:r>
      <w:r>
        <w:t xml:space="preserve"> </w:t>
      </w:r>
      <w:r>
        <w:t xml:space="preserve">복수의</w:t>
      </w:r>
      <w:r>
        <w:t xml:space="preserve"> </w:t>
      </w:r>
      <w:r>
        <w:t xml:space="preserve">후보로</w:t>
      </w:r>
      <w:r>
        <w:t xml:space="preserve"> </w:t>
      </w:r>
      <w:r>
        <w:t xml:space="preserve">정의해</w:t>
      </w:r>
      <w:r>
        <w:t xml:space="preserve"> </w:t>
      </w:r>
      <w:r>
        <w:t xml:space="preserve">곱집합으로</w:t>
      </w:r>
      <w:r>
        <w:t xml:space="preserve"> </w:t>
      </w:r>
      <w:r>
        <w:t xml:space="preserve">결합한</w:t>
      </w:r>
      <w:r>
        <w:t xml:space="preserve"> </w:t>
      </w:r>
      <w:r>
        <w:t xml:space="preserve">90개</w:t>
      </w:r>
      <w:r>
        <w:t xml:space="preserve"> </w:t>
      </w:r>
      <w:r>
        <w:t xml:space="preserve">슬롯</w:t>
      </w:r>
      <w:r>
        <w:t xml:space="preserve"> </w:t>
      </w:r>
      <w:r>
        <w:t xml:space="preserve">조합을</w:t>
      </w:r>
      <w:r>
        <w:t xml:space="preserve"> </w:t>
      </w:r>
      <w:r>
        <w:t xml:space="preserve">체계적으로</w:t>
      </w:r>
      <w:r>
        <w:t xml:space="preserve"> </w:t>
      </w:r>
      <w:r>
        <w:t xml:space="preserve">탐색한다.</w:t>
      </w:r>
      <w:r>
        <w:t xml:space="preserve"> </w:t>
      </w:r>
      <w:r>
        <w:t xml:space="preserve">2010–2025년</w:t>
      </w:r>
      <w:r>
        <w:t xml:space="preserve"> </w:t>
      </w:r>
      <w:r>
        <w:t xml:space="preserve">S&amp;P</w:t>
      </w:r>
      <w:r>
        <w:t xml:space="preserve"> </w:t>
      </w:r>
      <w:r>
        <w:t xml:space="preserve">500</w:t>
      </w:r>
      <w:r>
        <w:t xml:space="preserve"> </w:t>
      </w:r>
      <w:r>
        <w:t xml:space="preserve">617</w:t>
      </w:r>
      <w:r>
        <w:t xml:space="preserve"> </w:t>
      </w:r>
      <w:r>
        <w:t xml:space="preserve">종목,</w:t>
      </w:r>
      <w:r>
        <w:t xml:space="preserve"> </w:t>
      </w:r>
      <w:r>
        <w:t xml:space="preserve">192개월</w:t>
      </w:r>
      <w:r>
        <w:t xml:space="preserve"> </w:t>
      </w:r>
      <w:r>
        <w:t xml:space="preserve">실증</w:t>
      </w:r>
      <w:r>
        <w:t xml:space="preserve"> </w:t>
      </w:r>
      <w:r>
        <w:t xml:space="preserve">분석에서</w:t>
      </w:r>
      <w:r>
        <w:t xml:space="preserve"> </w:t>
      </w:r>
      <w:r>
        <w:t xml:space="preserve">LSTM-HAR</w:t>
      </w:r>
      <w:r>
        <w:t xml:space="preserve"> </w:t>
      </w:r>
      <w:r>
        <w:t xml:space="preserve">앙상블은</w:t>
      </w:r>
      <w:r>
        <w:t xml:space="preserve"> </w:t>
      </w:r>
      <w:r>
        <w:t xml:space="preserve">ANN</w:t>
      </w:r>
      <w:r>
        <w:t xml:space="preserve"> </w:t>
      </w:r>
      <w:r>
        <w:t xml:space="preserve">대비</w:t>
      </w:r>
      <w:r>
        <w:t xml:space="preserve"> </w:t>
      </w:r>
      <w:r>
        <w:t xml:space="preserve">변동성</w:t>
      </w:r>
      <w:r>
        <w:t xml:space="preserve"> </w:t>
      </w:r>
      <w:r>
        <w:t xml:space="preserve">예측</w:t>
      </w:r>
      <w:r>
        <w:t xml:space="preserve"> </w:t>
      </w:r>
      <w:r>
        <w:t xml:space="preserve">정확도에서</w:t>
      </w:r>
      <w:r>
        <w:t xml:space="preserve"> </w:t>
      </w:r>
      <w:r>
        <w:t xml:space="preserve">일관된</w:t>
      </w:r>
      <w:r>
        <w:t xml:space="preserve"> </w:t>
      </w:r>
      <w:r>
        <w:t xml:space="preserve">우위를</w:t>
      </w:r>
      <w:r>
        <w:t xml:space="preserve"> </w:t>
      </w:r>
      <w:r>
        <w:t xml:space="preserve">보였으며</w:t>
      </w:r>
      <w:r>
        <w:t xml:space="preserve"> </w:t>
      </w:r>
      <w:r>
        <w:t xml:space="preserve">특히</w:t>
      </w:r>
      <w:r>
        <w:t xml:space="preserve"> </w:t>
      </w:r>
      <w:r>
        <w:t xml:space="preserve">COVID-19가</w:t>
      </w:r>
      <w:r>
        <w:t xml:space="preserve"> </w:t>
      </w:r>
      <w:r>
        <w:t xml:space="preserve">포함된</w:t>
      </w:r>
      <w:r>
        <w:t xml:space="preserve"> </w:t>
      </w:r>
      <w:r>
        <w:t xml:space="preserve">위기</w:t>
      </w:r>
      <w:r>
        <w:t xml:space="preserve"> </w:t>
      </w:r>
      <w:r>
        <w:t xml:space="preserve">구간(R3)에서</w:t>
      </w:r>
      <w:r>
        <w:t xml:space="preserve"> </w:t>
      </w:r>
      <w:r>
        <w:t xml:space="preserve">격차가</w:t>
      </w:r>
      <w:r>
        <w:t xml:space="preserve"> </w:t>
      </w:r>
      <w:r>
        <w:t xml:space="preserve">가장</w:t>
      </w:r>
      <w:r>
        <w:t xml:space="preserve"> </w:t>
      </w:r>
      <w:r>
        <w:t xml:space="preserve">크게</w:t>
      </w:r>
      <w:r>
        <w:t xml:space="preserve"> </w:t>
      </w:r>
      <w:r>
        <w:t xml:space="preserve">확대되었다.</w:t>
      </w:r>
      <w:r>
        <w:t xml:space="preserve"> </w:t>
      </w:r>
      <w:r>
        <w:t xml:space="preserve">이</w:t>
      </w:r>
      <w:r>
        <w:t xml:space="preserve"> </w:t>
      </w:r>
      <w:r>
        <w:t xml:space="preserve">예측</w:t>
      </w:r>
      <w:r>
        <w:t xml:space="preserve"> </w:t>
      </w:r>
      <w:r>
        <w:t xml:space="preserve">우위가</w:t>
      </w:r>
      <w:r>
        <w:t xml:space="preserve"> </w:t>
      </w:r>
      <w:r>
        <w:t xml:space="preserve">포트폴리오</w:t>
      </w:r>
      <w:r>
        <w:t xml:space="preserve"> </w:t>
      </w:r>
      <w:r>
        <w:t xml:space="preserve">성과로</w:t>
      </w:r>
      <w:r>
        <w:t xml:space="preserve"> </w:t>
      </w:r>
      <w:r>
        <w:t xml:space="preserve">전이되기</w:t>
      </w:r>
      <w:r>
        <w:t xml:space="preserve"> </w:t>
      </w:r>
      <w:r>
        <w:t xml:space="preserve">위해서는</w:t>
      </w:r>
      <w:r>
        <w:t xml:space="preserve"> </w:t>
      </w:r>
      <w:r>
        <w:t xml:space="preserve">뷰</w:t>
      </w:r>
      <w:r>
        <w:t xml:space="preserve"> </w:t>
      </w:r>
      <w:r>
        <w:t xml:space="preserve">포트폴리오의</w:t>
      </w:r>
      <w:r>
        <w:t xml:space="preserve"> </w:t>
      </w:r>
      <w:r>
        <w:t xml:space="preserve">대형주</w:t>
      </w:r>
      <w:r>
        <w:t xml:space="preserve"> </w:t>
      </w:r>
      <w:r>
        <w:t xml:space="preserve">비중</w:t>
      </w:r>
      <w:r>
        <w:t xml:space="preserve"> </w:t>
      </w:r>
      <w:r>
        <w:t xml:space="preserve">집중</w:t>
      </w:r>
      <w:r>
        <w:t xml:space="preserve"> </w:t>
      </w:r>
      <w:r>
        <w:t xml:space="preserve">완화(</w:t>
      </w:r>
      <m:oMath>
        <m:sSup>
          <m:e>
            <m:r>
              <m:rPr>
                <m:sty m:val="b"/>
              </m:rPr>
              <m:t>p</m:t>
            </m:r>
          </m:e>
          <m:sup>
            <m:r>
              <m:rPr>
                <m:sty m:val="p"/>
              </m:rPr>
              <m:t>e</m:t>
            </m:r>
            <m:r>
              <m:rPr>
                <m:sty m:val="p"/>
              </m:rPr>
              <m:t>q</m:t>
            </m:r>
          </m:sup>
        </m:sSup>
        <m:r>
          <m:t>,</m:t>
        </m:r>
        <m:sSup>
          <m:e>
            <m:r>
              <m:rPr>
                <m:sty m:val="b"/>
              </m:rPr>
              <m:t>p</m:t>
            </m:r>
          </m:e>
          <m:sup>
            <m:r>
              <m:rPr>
                <m:sty m:val="p"/>
              </m:rPr>
              <m:t>r</m:t>
            </m:r>
            <m:r>
              <m:rPr>
                <m:sty m:val="p"/>
              </m:rPr>
              <m:t>p</m:t>
            </m:r>
          </m:sup>
        </m:sSup>
      </m:oMath>
      <w:r>
        <w:t xml:space="preserve">)</w:t>
      </w:r>
      <w:r>
        <w:t xml:space="preserve"> </w:t>
      </w:r>
      <w:r>
        <w:t xml:space="preserve">가</w:t>
      </w:r>
      <w:r>
        <w:t xml:space="preserve"> </w:t>
      </w:r>
      <w:r>
        <w:t xml:space="preserve">결정적임을</w:t>
      </w:r>
      <w:r>
        <w:t xml:space="preserve"> </w:t>
      </w:r>
      <w:r>
        <w:t xml:space="preserve">확인하였다.</w:t>
      </w:r>
      <w:r>
        <w:t xml:space="preserve"> </w:t>
      </w:r>
      <w:r>
        <w:t xml:space="preserve">본</w:t>
      </w:r>
      <w:r>
        <w:t xml:space="preserve"> </w:t>
      </w:r>
      <w:r>
        <w:t xml:space="preserve">연구가</w:t>
      </w:r>
      <w:r>
        <w:t xml:space="preserve"> </w:t>
      </w:r>
      <w:r>
        <w:t xml:space="preserve">제안하는</w:t>
      </w:r>
      <w:r>
        <w:t xml:space="preserve"> </w:t>
      </w:r>
      <w:r>
        <w:t xml:space="preserve">두</w:t>
      </w:r>
      <w:r>
        <w:t xml:space="preserve"> </w:t>
      </w:r>
      <w:r>
        <w:t xml:space="preserve">슬롯</w:t>
      </w:r>
      <w:r>
        <w:t xml:space="preserve"> </w:t>
      </w:r>
      <w:r>
        <w:t xml:space="preserve">옵션</w:t>
      </w:r>
      <w:r>
        <w:t xml:space="preserve"> </w:t>
      </w:r>
      <w:r>
        <w:t xml:space="preserve">—</w:t>
      </w:r>
      <w:r>
        <w:t xml:space="preserve"> </w:t>
      </w:r>
      <w:r>
        <w:t xml:space="preserve">모든</w:t>
      </w:r>
      <w:r>
        <w:t xml:space="preserve"> </w:t>
      </w:r>
      <w:r>
        <w:t xml:space="preserve">시장</w:t>
      </w:r>
      <w:r>
        <w:t xml:space="preserve"> </w:t>
      </w:r>
      <w:r>
        <w:t xml:space="preserve">국면에서</w:t>
      </w:r>
      <w:r>
        <w:t xml:space="preserve"> </w:t>
      </w:r>
      <w:r>
        <w:t xml:space="preserve">저변동</w:t>
      </w:r>
      <w:r>
        <w:t xml:space="preserve"> </w:t>
      </w:r>
      <w:r>
        <w:t xml:space="preserve">뷰를</w:t>
      </w:r>
      <w:r>
        <w:t xml:space="preserve"> </w:t>
      </w:r>
      <w:r>
        <w:t xml:space="preserve">일관되게</w:t>
      </w:r>
      <w:r>
        <w:t xml:space="preserve"> </w:t>
      </w:r>
      <w:r>
        <w:t xml:space="preserve">유지하는</w:t>
      </w:r>
      <w:r>
        <w:t xml:space="preserve"> </w:t>
      </w:r>
      <w:r>
        <w:t xml:space="preserve">Ensemble-defensive</w:t>
      </w:r>
      <w:r>
        <w:t xml:space="preserve"> </w:t>
      </w:r>
      <w:r>
        <w:t xml:space="preserve">(Sharpe</w:t>
      </w:r>
      <w:r>
        <w:t xml:space="preserve"> </w:t>
      </w:r>
      <w:r>
        <w:t xml:space="preserve">1.04–1.07)</w:t>
      </w:r>
      <w:r>
        <w:t xml:space="preserve"> </w:t>
      </w:r>
      <w:r>
        <w:t xml:space="preserve">와</w:t>
      </w:r>
      <w:r>
        <w:t xml:space="preserve"> </w:t>
      </w:r>
      <w:r>
        <w:t xml:space="preserve">강세장</w:t>
      </w:r>
      <w:r>
        <w:t xml:space="preserve"> </w:t>
      </w:r>
      <w:r>
        <w:t xml:space="preserve">적응을</w:t>
      </w:r>
      <w:r>
        <w:t xml:space="preserve"> </w:t>
      </w:r>
      <w:r>
        <w:t xml:space="preserve">허용하는</w:t>
      </w:r>
      <w:r>
        <w:t xml:space="preserve"> </w:t>
      </w:r>
      <w:r>
        <w:t xml:space="preserve">Ensemble-adaptive</w:t>
      </w:r>
      <w:r>
        <w:t xml:space="preserve"> </w:t>
      </w:r>
      <w:r>
        <w:t xml:space="preserve">(Sharpe</w:t>
      </w:r>
      <w:r>
        <w:t xml:space="preserve"> </w:t>
      </w:r>
      <w:r>
        <w:t xml:space="preserve">1.05–1.10)</w:t>
      </w:r>
      <w:r>
        <w:t xml:space="preserve"> </w:t>
      </w:r>
      <w:r>
        <w:t xml:space="preserve">—</w:t>
      </w:r>
      <w:r>
        <w:t xml:space="preserve"> </w:t>
      </w:r>
      <w:r>
        <w:t xml:space="preserve">는</w:t>
      </w:r>
      <w:r>
        <w:t xml:space="preserve"> </w:t>
      </w:r>
      <w:r>
        <w:t xml:space="preserve">편측</w:t>
      </w:r>
      <w:r>
        <w:t xml:space="preserve"> </w:t>
      </w:r>
      <w:r>
        <w:t xml:space="preserve">20bp</w:t>
      </w:r>
      <w:r>
        <w:t xml:space="preserve"> </w:t>
      </w:r>
      <w:r>
        <w:t xml:space="preserve">거래비용</w:t>
      </w:r>
      <w:r>
        <w:t xml:space="preserve"> </w:t>
      </w:r>
      <w:r>
        <w:t xml:space="preserve">차감</w:t>
      </w:r>
      <w:r>
        <w:t xml:space="preserve"> </w:t>
      </w:r>
      <w:r>
        <w:t xml:space="preserve">후에도</w:t>
      </w:r>
      <w:r>
        <w:t xml:space="preserve"> </w:t>
      </w:r>
      <w:r>
        <w:t xml:space="preserve">SPY</w:t>
      </w:r>
      <w:r>
        <w:t xml:space="preserve"> </w:t>
      </w:r>
      <w:r>
        <w:t xml:space="preserve">(0.93),</w:t>
      </w:r>
      <w:r>
        <w:t xml:space="preserve"> </w:t>
      </w:r>
      <m:oMath>
        <m:r>
          <m:t>1</m:t>
        </m:r>
        <m:r>
          <m:t>/</m:t>
        </m:r>
        <m:r>
          <m:t>N</m:t>
        </m:r>
      </m:oMath>
      <w:r>
        <w:t xml:space="preserve"> </w:t>
      </w:r>
      <w:r>
        <w:t xml:space="preserve">(0.86),</w:t>
      </w:r>
      <w:r>
        <w:t xml:space="preserve"> </w:t>
      </w:r>
      <w:r>
        <w:t xml:space="preserve">Risk</w:t>
      </w:r>
      <w:r>
        <w:t xml:space="preserve"> </w:t>
      </w:r>
      <w:r>
        <w:t xml:space="preserve">Parity</w:t>
      </w:r>
      <w:r>
        <w:t xml:space="preserve"> </w:t>
      </w:r>
      <w:r>
        <w:t xml:space="preserve">(0.89),</w:t>
      </w:r>
      <w:r>
        <w:t xml:space="preserve"> </w:t>
      </w:r>
      <w:r>
        <w:t xml:space="preserve">ANN-anchor</w:t>
      </w:r>
      <w:r>
        <w:t xml:space="preserve"> </w:t>
      </w:r>
      <w:r>
        <w:t xml:space="preserve">(0.95)</w:t>
      </w:r>
      <w:r>
        <w:t xml:space="preserve"> </w:t>
      </w:r>
      <w:r>
        <w:t xml:space="preserve">를</w:t>
      </w:r>
      <w:r>
        <w:t xml:space="preserve"> </w:t>
      </w:r>
      <w:r>
        <w:t xml:space="preserve">모두</w:t>
      </w:r>
      <w:r>
        <w:t xml:space="preserve"> </w:t>
      </w:r>
      <w:r>
        <w:t xml:space="preserve">상회한다.</w:t>
      </w:r>
      <w:r>
        <w:t xml:space="preserve"> </w:t>
      </w:r>
      <w:r>
        <w:t xml:space="preserve">본</w:t>
      </w:r>
      <w:r>
        <w:t xml:space="preserve"> </w:t>
      </w:r>
      <w:r>
        <w:t xml:space="preserve">연구는</w:t>
      </w:r>
      <w:r>
        <w:t xml:space="preserve"> </w:t>
      </w:r>
      <w:r>
        <w:t xml:space="preserve">90</w:t>
      </w:r>
      <w:r>
        <w:t xml:space="preserve"> </w:t>
      </w:r>
      <w:r>
        <w:t xml:space="preserve">슬롯의</w:t>
      </w:r>
      <w:r>
        <w:t xml:space="preserve"> </w:t>
      </w:r>
      <w:r>
        <w:t xml:space="preserve">차원별</w:t>
      </w:r>
      <w:r>
        <w:t xml:space="preserve"> </w:t>
      </w:r>
      <w:r>
        <w:t xml:space="preserve">주변</w:t>
      </w:r>
      <w:r>
        <w:t xml:space="preserve"> </w:t>
      </w:r>
      <w:r>
        <w:t xml:space="preserve">분포와</w:t>
      </w:r>
      <w:r>
        <w:t xml:space="preserve"> </w:t>
      </w:r>
      <w:r>
        <w:t xml:space="preserve">국면별</w:t>
      </w:r>
      <w:r>
        <w:t xml:space="preserve"> </w:t>
      </w:r>
      <w:r>
        <w:t xml:space="preserve">결과</w:t>
      </w:r>
      <w:r>
        <w:t xml:space="preserve"> </w:t>
      </w:r>
      <w:r>
        <w:t xml:space="preserve">분석을</w:t>
      </w:r>
      <w:r>
        <w:t xml:space="preserve"> </w:t>
      </w:r>
      <w:r>
        <w:t xml:space="preserve">통해</w:t>
      </w:r>
      <w:r>
        <w:t xml:space="preserve"> </w:t>
      </w:r>
      <w:r>
        <w:t xml:space="preserve">변동성</w:t>
      </w:r>
      <w:r>
        <w:t xml:space="preserve"> </w:t>
      </w:r>
      <w:r>
        <w:t xml:space="preserve">기반</w:t>
      </w:r>
      <w:r>
        <w:t xml:space="preserve"> </w:t>
      </w:r>
      <w:r>
        <w:t xml:space="preserve">BL</w:t>
      </w:r>
      <w:r>
        <w:t xml:space="preserve"> </w:t>
      </w:r>
      <w:r>
        <w:t xml:space="preserve">저변동</w:t>
      </w:r>
      <w:r>
        <w:t xml:space="preserve"> </w:t>
      </w:r>
      <w:r>
        <w:t xml:space="preserve">전략의</w:t>
      </w:r>
      <w:r>
        <w:t xml:space="preserve"> </w:t>
      </w:r>
      <w:r>
        <w:t xml:space="preserve">운용</w:t>
      </w:r>
      <w:r>
        <w:t xml:space="preserve"> </w:t>
      </w:r>
      <w:r>
        <w:t xml:space="preserve">목표별</w:t>
      </w:r>
      <w:r>
        <w:t xml:space="preserve"> </w:t>
      </w:r>
      <w:r>
        <w:t xml:space="preserve">슬롯</w:t>
      </w:r>
      <w:r>
        <w:t xml:space="preserve"> </w:t>
      </w:r>
      <w:r>
        <w:t xml:space="preserve">선택</w:t>
      </w:r>
      <w:r>
        <w:t xml:space="preserve"> </w:t>
      </w:r>
      <w:r>
        <w:t xml:space="preserve">근거를</w:t>
      </w:r>
      <w:r>
        <w:t xml:space="preserve"> </w:t>
      </w:r>
      <w:r>
        <w:t xml:space="preserve">제시한다.</w:t>
      </w:r>
    </w:p>
    <w:p>
      <w:pPr/>
      <w:r>
        <w:rPr>
          <w:b/>
        </w:rPr>
        <w:t xml:space="preserve">주제어:</w:t>
      </w:r>
      <w:r>
        <w:t xml:space="preserve"> </w:t>
      </w:r>
      <w:r>
        <w:t xml:space="preserve">블랙-리터만, 변동성 예측, LSTM, HAR, 앙상블, 저변동 포트폴리오</w:t>
      </w:r>
    </w:p>
    <w:p>
      <w:pPr/>
      <w:r>
        <w:rPr>
          <w:rFonts w:ascii="Times New Roman" w:hAnsi="Times New Roman" w:eastAsia="바탕" w:cs="Times New Roman"/>
          <w:b/>
          <w:bCs/>
          <w:sz w:val="22"/>
          <w:szCs w:val="22"/>
        </w:rPr>
        <w:t xml:space="preserve">Abstract</w:t>
      </w:r>
    </w:p>
    <w:p>
      <w:r>
        <w:rPr>
          <w:rFonts w:ascii="Times New Roman" w:hAnsi="Times New Roman" w:eastAsia="바탕" w:cs="Times New Roman"/>
          <w:sz w:val="22"/>
          <w:szCs w:val="22"/>
        </w:rPr>
        <w:t xml:space="preserve">The Black-Litterman (BL) model mitigates the estimation-error sensitivity of mean-variance optimization (MVO) by combining market equilibrium with investor views, yet its dependence on expert-formed views remains a persistent limitation. Although a growing body of research applies machine learning to the BL model, most efforts have concentrated on return forecasting; the direct integration of volatility forecasts into BL views remains underexplored. Building on the framework of Pyo and Lee (2018), which incorporates an artificial neural network (ANN)–based volatility forecast as a BL view, this study extends the approach along two complementary dimensions. First, we replace the single ANN with a performance-weighted LSTM–HAR ensemble to capture the multi-scale and sequential dependence structure of volatility. Second, we define the four BL input slots (p, q, ω, w</w:t>
      </w:r>
      <w:r>
        <w:rPr>
          <w:rFonts w:ascii="Times New Roman" w:hAnsi="Times New Roman" w:eastAsia="바탕" w:cs="Times New Roman"/>
          <w:sz w:val="22"/>
          <w:szCs w:val="22"/>
          <w:vertAlign w:val="subscript"/>
        </w:rPr>
        <w:t xml:space="preserve">mkt</w:t>
      </w:r>
      <w:r>
        <w:rPr>
          <w:rFonts w:ascii="Times New Roman" w:hAnsi="Times New Roman" w:eastAsia="바탕" w:cs="Times New Roman"/>
          <w:sz w:val="22"/>
          <w:szCs w:val="22"/>
        </w:rPr>
        <w:t xml:space="preserve">) as candidate sets and systematically explore the 90 combinations formed by their Cartesian product. In an empirical study of 617 S&amp;P 500 constituents from 2010 to 2025 (192 months), the LSTM–HAR ensemble consistently outperforms the ANN in volatility forecasting accuracy, with the largest gap observed during the crisis regime (R3), which includes the COVID-19 period. Translating this forecasting advantage into portfolio performance, however, depends critically on mitigating the large-cap concentration of the view portfolio through equal (p</w:t>
      </w:r>
      <w:r>
        <w:rPr>
          <w:rFonts w:ascii="Times New Roman" w:hAnsi="Times New Roman" w:eastAsia="바탕" w:cs="Times New Roman"/>
          <w:sz w:val="22"/>
          <w:szCs w:val="22"/>
          <w:vertAlign w:val="superscript"/>
        </w:rPr>
        <w:t xml:space="preserve">eq</w:t>
      </w:r>
      <w:r>
        <w:rPr>
          <w:rFonts w:ascii="Times New Roman" w:hAnsi="Times New Roman" w:eastAsia="바탕" w:cs="Times New Roman"/>
          <w:sz w:val="22"/>
          <w:szCs w:val="22"/>
        </w:rPr>
        <w:t xml:space="preserve">) or risk-parity (p</w:t>
      </w:r>
      <w:r>
        <w:rPr>
          <w:rFonts w:ascii="Times New Roman" w:hAnsi="Times New Roman" w:eastAsia="바탕" w:cs="Times New Roman"/>
          <w:sz w:val="22"/>
          <w:szCs w:val="22"/>
          <w:vertAlign w:val="superscript"/>
        </w:rPr>
        <w:t xml:space="preserve">rp</w:t>
      </w:r>
      <w:r>
        <w:rPr>
          <w:rFonts w:ascii="Times New Roman" w:hAnsi="Times New Roman" w:eastAsia="바탕" w:cs="Times New Roman"/>
          <w:sz w:val="22"/>
          <w:szCs w:val="22"/>
        </w:rPr>
        <w:t xml:space="preserve">) weighting. The two slot configurations proposed in this study—Ensemble-defensive (Sharpe 1.04–1.07), which maintains a consistent low-volatility view across market regimes, and Ensemble-adaptive (Sharpe 1.05–1.10), which adapts to bull-market regimes—outperform SPY (Sharpe 0.93), the 1/N portfolio (0.86), the Risk Parity portfolio (0.89), and the ANN-anchor (0.95) even after accounting for one-sided transaction costs of 20 basis points (bps). By examining dimension-wise marginal distributions across the 90 slots and regime-conditional performance, this study provides operational guidance for objective-specific slot selection in BL low-volatility strategies driven by volatility forecasts.</w:t>
      </w:r>
    </w:p>
    <w:p>
      <w:pPr/>
      <w:r>
        <w:rPr>
          <w:rFonts w:ascii="Times New Roman" w:hAnsi="Times New Roman" w:eastAsia="바탕" w:cs="Times New Roman"/>
          <w:b/>
          <w:bCs/>
          <w:sz w:val="22"/>
          <w:szCs w:val="22"/>
        </w:rPr>
        <w:t xml:space="preserve">Key Words</w:t>
      </w:r>
    </w:p>
    <w:p>
      <w:r>
        <w:rPr>
          <w:rFonts w:ascii="Times New Roman" w:hAnsi="Times New Roman" w:eastAsia="바탕" w:cs="Times New Roman"/>
          <w:sz w:val="22"/>
          <w:szCs w:val="22"/>
        </w:rPr>
        <w:t xml:space="preserve">Black-Litterman model; volatility forecasting; LSTM; HAR; low-volatility portfolio</w:t>
      </w:r>
    </w:p>
    <w:p>
      <w:pPr>
        <w:pStyle w:val="1"/>
      </w:pPr>
      <w:bookmarkStart w:id="20" w:name="서론"/>
      <w:r>
        <w:t xml:space="preserve">서론</w:t>
      </w:r>
      <w:bookmarkEnd w:id="20"/>
    </w:p>
    <w:p>
      <w:pPr/>
      <w:r>
        <w:t xml:space="preserve">마코위츠의 평균-분산 최적화(Mean-Variance Optimization, MVO, Markowitz, 1952) 이래로 포트폴리오 구성 이론은 기대수익률과 위험의 절충을 다루는 방법론을 다수 발전시켜왔다. 그러나 MVO는 입력값의 추정 오차에 극도로 민감하여, 최적해가 표본 외에서 불안정하고 입력값의 작은 변화에도 극단적인 가중치를 산출한다는 한계가 지적되어 왔다. 이러한 한계에 대응하기 위해 수축(shrinkage) 추정(Ledoit &amp; Wolf, 2004), 베이지안 접근 등 다양한 후속 연구가 제안되어 왔다. 그 중 Black and Litterman (1992)이 제안한 블랙-리터만 모형(Black-Litterman, BL) 은 시장 균형 수익률을 사전 분포로 두고 투자자의 견해(뷰, view)를 결합해 사후 기대수익률을 도출하는 베이지안 방법론으로, 추정 오차를 완화하면서도 투자 전문가의 견해를 반영하여 포트폴리오 가중치를 설정할 수 있어 폭넓게 연구되어왔다. 그러나 이 견해가 전문가의 주관적 판단에 의존한다는 한계가 존재한다.</w:t>
      </w:r>
    </w:p>
    <w:p>
      <w:pPr/>
      <w:r>
        <w:t xml:space="preserve">앞선 한계를 해결하기 위해, 투자자의 뷰를 머신러닝 기반으로 예측하는 다수의 연구가 진행되어 왔다. BL 프레임워크의 핵심은 포트폴리오 뷰</w:t>
      </w:r>
      <w:r>
        <w:t xml:space="preserve"> </w:t>
      </w:r>
      <m:oMath>
        <m:r>
          <m:rPr>
            <m:sty m:val="b"/>
          </m:rPr>
          <m:t>p</m:t>
        </m:r>
      </m:oMath>
      <w:r>
        <w:t xml:space="preserve">와 기대수익률 뷰</w:t>
      </w:r>
      <w:r>
        <w:t xml:space="preserve"> </w:t>
      </w:r>
      <m:oMath>
        <m:r>
          <m:t>q</m:t>
        </m:r>
      </m:oMath>
      <w:r>
        <w:t xml:space="preserve">의 설정에 있으며, 머신러닝 기반 BL 응용 연구는 주로</w:t>
      </w:r>
      <w:r>
        <w:t xml:space="preserve"> </w:t>
      </w:r>
      <m:oMath>
        <m:r>
          <m:t>q</m:t>
        </m:r>
      </m:oMath>
      <w:r>
        <w:t xml:space="preserve">를 트리 기반, 신경망, LLM 등의 모형으로 예측하여 뷰로 주입하는 방식을 취해왔다([barua2023using? — bib 누락]; [su2026objective? — bib 누락]; [lee2025llm? — bib 누락]). 이들은 머신러닝 기반 수익률 예측이 BL 프레임워크의 뷰 정량화에 효과적으로 활용될 수 있음을 보였다.</w:t>
      </w:r>
    </w:p>
    <w:p>
      <w:pPr/>
      <w:r>
        <w:t xml:space="preserve">한편 BL의 뷰는 반드시 기대수익률에 국한될 필요는 없다. 자산의 변동성 또한 포트폴리오 구성에서 중요한 요소이며, Baker et al. (2011), Frazzini and Pedersen (2014), Blitz and van Vliet (2007) 등이 보고한 저위험 이상현상(저베타, 저변동 종목이 위험 대비 우수한 수익을 보이는 현상)은 변동성을 직접 뷰로 활용할 수 있는 근거를 제공한다. 다만, 본 연구는 이상현상 자체의 검증이 아닌, 현상의 존재를 출발점으로 BL 프레임워크 내에서 변동성을 신호로서 효과적으로 활용하는 방법에 초점을 둔다.</w:t>
      </w:r>
    </w:p>
    <w:p>
      <w:pPr/>
      <w:r>
        <w:t xml:space="preserve">변동성 기반의 머신러닝 접근은 수익률 기반 응용 연구 대비 비교적 부족한 영역으로 남아있으며, 이 관점에서 Pyo and Lee (2018)는 인공신경망(Artificial Neural Network, ANN) 기반 변동성 예측을 활용해 종목을 저위험·고위험으로 분류하고, BL 뷰로 결합하는 방법을 KOSPI 200에 적용하여 BL 기반 포트폴리오가 샤프 비율(Sharpe ratio) 0.70을 달성하여 시가총액 비중(0.36) 및 시장 지수(0.59) 대비 우위를 보였다.</w:t>
      </w:r>
    </w:p>
    <w:p>
      <w:pPr/>
      <w:r>
        <w:t xml:space="preserve">그러나 이 방식에는 두 가지 측면에서 추가 검토의 여지를 남긴다. 첫째, ANN 기반의 단순한 변동성 예측은 시계열 구조에 특화된 모형 구조가 아니며, 변동성의 다중 시간 척도(Corsi, 2009)와 순차적 의존성을 모형 차원에서 직접 반영하지 못해 예측 정확도에 한계가 있다. 둘째, BL 프레임워크의 운영 핵심인 포트폴리오 뷰</w:t>
      </w:r>
      <w:r>
        <w:t xml:space="preserve"> </w:t>
      </w:r>
      <m:oMath>
        <m:r>
          <m:rPr>
            <m:sty m:val="b"/>
          </m:rPr>
          <m:t>p</m:t>
        </m:r>
      </m:oMath>
      <w:r>
        <w:t xml:space="preserve">와 기대수익률 뷰</w:t>
      </w:r>
      <w:r>
        <w:t xml:space="preserve"> </w:t>
      </w:r>
      <m:oMath>
        <m:r>
          <m:t>q</m:t>
        </m:r>
      </m:oMath>
      <w:r>
        <w:t xml:space="preserve">의 구성이 저변동성(Low-Volatility) 포트폴리오 성과에 미치는 영향이 체계적으로 검토되지 않았다. 일반적 포트폴리오 구성 연구에서 [demiguel2009optimal? — bib 누락], Maillard et al. (2010) 등은 시가총액 대비 동일 가중(equal-weighted, eq)·리스크 패리티(risk parity, rp)가 포트폴리오 효율성 측면에서 우위를 보일 수 있음을 보고하였다. 또한, 기대수익률 뷰</w:t>
      </w:r>
      <w:r>
        <w:t xml:space="preserve"> </w:t>
      </w:r>
      <m:oMath>
        <m:r>
          <m:t>q</m:t>
        </m:r>
      </m:oMath>
      <w:r>
        <w:t xml:space="preserve">를 Fama-French 회귀 기반 예측값으로 산출하였으나, 해당 예측값의 부호와 크기가 저변동 포트폴리오의 성과에 미치는 영향에 대해서는 체계적인 비교·분석이 미비한 실정이다.</w:t>
      </w:r>
    </w:p>
    <w:p>
      <w:pPr/>
      <w:r>
        <w:t xml:space="preserve">본 연구는 위 두 영역에 대해 다음과 같이 기여한다. 먼저, LSTM(Long Short-Term Memory)과 HAR(Heterogeneous Autoregressive) 앙상블 모형을 적용하여 변동성의 다중 시간 척도와 순차적 의존성을 동시에 반영하는 예측 구조를 제안한다. 다음으로, BL 프레임워크의 네 가지 핵심 슬롯(</w:t>
      </w:r>
      <m:oMath>
        <m:r>
          <m:rPr>
            <m:sty m:val="b"/>
          </m:rPr>
          <m:t>p</m:t>
        </m:r>
        <m:r>
          <m:t>,</m:t>
        </m:r>
        <m:r>
          <m:t>q</m:t>
        </m:r>
        <m:r>
          <m:t>,</m:t>
        </m:r>
        <m:r>
          <m:t>ω</m:t>
        </m:r>
      </m:oMath>
      <w:r>
        <w:t xml:space="preserve">,</w:t>
      </w:r>
      <w:r>
        <w:t xml:space="preserve"> </w:t>
      </w:r>
      <m:oMath>
        <m:sSub>
          <m:e>
            <m:r>
              <m:rPr>
                <m:sty m:val="b"/>
              </m:rPr>
              <m:t>w</m:t>
            </m:r>
          </m:e>
          <m:sub>
            <m:r>
              <m:t>m</m:t>
            </m:r>
            <m:r>
              <m:t>k</m:t>
            </m:r>
            <m:r>
              <m:t>t</m:t>
            </m:r>
          </m:sub>
        </m:sSub>
      </m:oMath>
      <w:r>
        <w:t xml:space="preserve">)에 걸쳐 90개 조합을 체계적으로 탐색함으로써, 저변동 전략의 효과를 극대화할 수 있는 최적의 포트폴리오 슬롯 설정을 제시한다. 이는 비시계열 모형과 고정된 슬롯 구성에 의존했던 선행 연구(Pyo &amp; Lee, 2018)를 예측 모형과 포트폴리오 구조 설계라는 두 가지 축 모두에서 유의미하게 확장하였다는 점에서 차별성을 갖는다.</w:t>
      </w:r>
    </w:p>
    <w:p>
      <w:pPr/>
      <w:r>
        <w:t xml:space="preserve">본 연구는 다음과 같은 순서로 구성된다. 2절에서는 변동성 예측 및 BL 응용에 관한 선행 연구를 검토하고, 3절에서는 본 연구의 변동성 예측 모형과 BL 프레임워크의 구조 및 슬롯 구성을 기술한다. 4절에서는 실증 분석 결과를 제시하고, 마지막 5절에서는 연구 결론과 한계점을 논의한다.</w:t>
      </w:r>
    </w:p>
    <w:p>
      <w:pPr>
        <w:pStyle w:val="1"/>
      </w:pPr>
      <w:bookmarkStart w:id="21" w:name="sec:related_work"/>
      <w:r>
        <w:t xml:space="preserve">선행 연구</w:t>
      </w:r>
      <w:bookmarkEnd w:id="21"/>
    </w:p>
    <w:p>
      <w:pPr>
        <w:pStyle w:val="2"/>
      </w:pPr>
      <w:bookmarkStart w:id="22" w:name="subsec:bl_review"/>
      <w:r>
        <w:t xml:space="preserve">블랙-리터만</w:t>
      </w:r>
      <w:bookmarkEnd w:id="22"/>
    </w:p>
    <w:p>
      <w:pPr/>
      <w:r>
        <w:t xml:space="preserve">블랙-리터만 모형(Black–Litterman, BL, Black &amp; Litterman, 1992) 은 시장 균형 수익률과 투자자의 뷰를 베이지안 방식으로 결합하는 포트폴리오 최적화 프레임워크로, MVO가 갖는 추정 오차 민감성을 완화하는 데 효과적이다. 모형은 이차 효용 최대화 문제의 역산으로 도출되는 시장 균형 초과수익률 벡터</w:t>
      </w:r>
      <w:r>
        <w:t xml:space="preserve"> </w:t>
      </w:r>
      <m:oMath>
        <m:r>
          <m:rPr>
            <m:sty m:val="b"/>
          </m:rPr>
          <m:t>π</m:t>
        </m:r>
      </m:oMath>
      <w:r>
        <w:t xml:space="preserve">에서 출발한다.</w:t>
      </w:r>
    </w:p>
    <w:p>
      <w:pPr/>
      <m:oMathPara>
        <m:oMathParaPr>
          <m:jc m:val="center"/>
        </m:oMathParaPr>
        <m:oMath>
          <m:m>
            <m:mPr>
              <m:baseJc m:val="center"/>
              <m:plcHide m:val="1"/>
              <m:mcs>
                <m:mc>
                  <m:mcPr>
                    <m:mcJc m:val="right"/>
                    <m:count m:val="1"/>
                  </m:mcPr>
                </m:mc>
                <m:mc>
                  <m:mcPr>
                    <m:mcJc m:val="left"/>
                    <m:count m:val="1"/>
                  </m:mcPr>
                </m:mc>
              </m:mcs>
            </m:mPr>
            <m:mr>
              <m:e/>
              <m:e>
                <m:r>
                  <m:rPr>
                    <m:sty m:val="b"/>
                  </m:rPr>
                  <m:t>π</m:t>
                </m:r>
                <m:r>
                  <m:t>=</m:t>
                </m:r>
                <m:r>
                  <m:t>λ</m:t>
                </m:r>
                <m:r>
                  <m:rPr>
                    <m:sty m:val="b"/>
                  </m:rPr>
                  <m:t>Σ</m:t>
                </m:r>
                <m:sSub>
                  <m:e>
                    <m:r>
                      <m:rPr>
                        <m:sty m:val="b"/>
                      </m:rPr>
                      <m:t>w</m:t>
                    </m:r>
                  </m:e>
                  <m:sub>
                    <m:r>
                      <m:t>m</m:t>
                    </m:r>
                    <m:r>
                      <m:t>k</m:t>
                    </m:r>
                    <m:r>
                      <m:t>t</m:t>
                    </m:r>
                  </m:sub>
                </m:sSub>
                <m:r>
                  <m:t>  </m:t>
                </m:r>
                <m:r>
                  <m:t>(</m:t>
                </m:r>
                <m:r>
                  <m:t>1</m:t>
                </m:r>
                <m:r>
                  <m:t>)</m:t>
                </m:r>
              </m:e>
            </m:mr>
          </m:m>
        </m:oMath>
      </m:oMathPara>
    </w:p>
    <w:p>
      <w:pPr/>
      <w:r>
        <w:t xml:space="preserve">여기서</w:t>
      </w:r>
      <w:r>
        <w:t xml:space="preserve"> </w:t>
      </w:r>
      <m:oMath>
        <m:r>
          <m:rPr>
            <m:sty m:val="b"/>
          </m:rPr>
          <m:t>π</m:t>
        </m:r>
        <m:r>
          <m:t>∈</m:t>
        </m:r>
        <m:sSup>
          <m:e>
            <m:r>
              <m:rPr>
                <m:sty m:val="p"/>
                <m:scr m:val="double-struck"/>
              </m:rPr>
              <m:t>R</m:t>
            </m:r>
          </m:e>
          <m:sup>
            <m:r>
              <m:t>n</m:t>
            </m:r>
            <m:r>
              <m:t>×</m:t>
            </m:r>
            <m:r>
              <m:t>1</m:t>
            </m:r>
          </m:sup>
        </m:sSup>
      </m:oMath>
      <w:r>
        <w:t xml:space="preserve">은 균형 초과수익률 벡터,</w:t>
      </w:r>
      <w:r>
        <w:t xml:space="preserve"> </w:t>
      </w:r>
      <m:oMath>
        <m:r>
          <m:rPr>
            <m:sty m:val="b"/>
          </m:rPr>
          <m:t>Σ</m:t>
        </m:r>
        <m:r>
          <m:t>∈</m:t>
        </m:r>
        <m:sSup>
          <m:e>
            <m:r>
              <m:rPr>
                <m:sty m:val="p"/>
                <m:scr m:val="double-struck"/>
              </m:rPr>
              <m:t>R</m:t>
            </m:r>
          </m:e>
          <m:sup>
            <m:r>
              <m:t>n</m:t>
            </m:r>
            <m:r>
              <m:t>×</m:t>
            </m:r>
            <m:r>
              <m:t>n</m:t>
            </m:r>
          </m:sup>
        </m:sSup>
      </m:oMath>
      <w:r>
        <w:t xml:space="preserve">은 초과수익률 공분산 행렬,</w:t>
      </w:r>
      <w:r>
        <w:t xml:space="preserve"> </w:t>
      </w:r>
      <m:oMath>
        <m:sSub>
          <m:e>
            <m:r>
              <m:rPr>
                <m:sty m:val="b"/>
              </m:rPr>
              <m:t>w</m:t>
            </m:r>
          </m:e>
          <m:sub>
            <m:r>
              <m:t>m</m:t>
            </m:r>
            <m:r>
              <m:t>k</m:t>
            </m:r>
            <m:r>
              <m:t>t</m:t>
            </m:r>
          </m:sub>
        </m:sSub>
        <m:r>
          <m:t>∈</m:t>
        </m:r>
        <m:sSup>
          <m:e>
            <m:r>
              <m:rPr>
                <m:sty m:val="p"/>
                <m:scr m:val="double-struck"/>
              </m:rPr>
              <m:t>R</m:t>
            </m:r>
          </m:e>
          <m:sup>
            <m:r>
              <m:t>n</m:t>
            </m:r>
            <m:r>
              <m:t>×</m:t>
            </m:r>
            <m:r>
              <m:t>1</m:t>
            </m:r>
          </m:sup>
        </m:sSup>
      </m:oMath>
      <w:r>
        <w:t xml:space="preserve">은 시장 비중 벡터,</w:t>
      </w:r>
      <w:r>
        <w:t xml:space="preserve"> </w:t>
      </w:r>
      <m:oMath>
        <m:r>
          <m:t>λ</m:t>
        </m:r>
      </m:oMath>
      <w:r>
        <w:t xml:space="preserve">는 시장 위험회피계수이다.</w:t>
      </w:r>
      <w:r>
        <w:t xml:space="preserve"> </w:t>
      </w:r>
      <m:oMath>
        <m:r>
          <m:t>λ</m:t>
        </m:r>
      </m:oMath>
      <w:r>
        <w:t xml:space="preserve">는 모형 외부에서 주어지는 하이퍼파라미터로, He and Litterman (1999)은 미국 주식시장의 역사적 위험-수익 관계로부터</w:t>
      </w:r>
      <w:r>
        <w:t xml:space="preserve"> </w:t>
      </w:r>
      <m:oMath>
        <m:r>
          <m:t>λ</m:t>
        </m:r>
        <m:r>
          <m:t>≈</m:t>
        </m:r>
        <m:r>
          <m:t>2.5</m:t>
        </m:r>
      </m:oMath>
      <w:r>
        <w:t xml:space="preserve">를 제안하였으며, 이후 BL 응용 문헌의 표준값으로 널리 채택되었다. 공분산 행렬</w:t>
      </w:r>
      <w:r>
        <w:t xml:space="preserve"> </w:t>
      </w:r>
      <m:oMath>
        <m:r>
          <m:rPr>
            <m:sty m:val="b"/>
          </m:rPr>
          <m:t>Σ</m:t>
        </m:r>
      </m:oMath>
      <w:r>
        <w:t xml:space="preserve">의 추정은 자산 수</w:t>
      </w:r>
      <w:r>
        <w:t xml:space="preserve"> </w:t>
      </w:r>
      <m:oMath>
        <m:r>
          <m:t>n</m:t>
        </m:r>
      </m:oMath>
      <w:r>
        <w:t xml:space="preserve">이 표본 길이</w:t>
      </w:r>
      <w:r>
        <w:t xml:space="preserve"> </w:t>
      </w:r>
      <m:oMath>
        <m:r>
          <m:t>T</m:t>
        </m:r>
      </m:oMath>
      <w:r>
        <w:t xml:space="preserve"> </w:t>
      </w:r>
      <w:r>
        <w:t xml:space="preserve">에 비해 클 때 표본 공분산이 큰 추정 오차를 갖는다는 문제가 알려져 있다. Ledoit and Wolf (2004)는 표본 공분산을 구조화된 타깃과 선형 결합하는 수축(shrinkage) 추정량을 제안하여 이 문제를 완화하였으며, 이후 고차원 포트폴리오 추정에서 폭넓게 활용되어 왔다.</w:t>
      </w:r>
    </w:p>
    <w:p>
      <w:pPr/>
      <w:r>
        <w:t xml:space="preserve">사전 분포(prior)는 다음과 같이 설정된다.</w:t>
      </w:r>
    </w:p>
    <w:p>
      <w:pPr/>
      <m:oMathPara>
        <m:oMathParaPr>
          <m:jc m:val="center"/>
        </m:oMathParaPr>
        <m:oMath>
          <m:m>
            <m:mPr>
              <m:baseJc m:val="center"/>
              <m:plcHide m:val="1"/>
              <m:mcs>
                <m:mc>
                  <m:mcPr>
                    <m:mcJc m:val="right"/>
                    <m:count m:val="1"/>
                  </m:mcPr>
                </m:mc>
              </m:mcs>
            </m:mPr>
            <m:mr>
              <m:e>
                <m:r>
                  <m:rPr>
                    <m:sty m:val="b"/>
                  </m:rPr>
                  <m:t>μ</m:t>
                </m:r>
                <m:r>
                  <m:t>∼</m:t>
                </m:r>
                <m:r>
                  <m:t>N</m:t>
                </m:r>
                <m:r>
                  <m:t>(</m:t>
                </m:r>
                <m:r>
                  <m:rPr>
                    <m:sty m:val="b"/>
                  </m:rPr>
                  <m:t>π</m:t>
                </m:r>
                <m:r>
                  <m:t>,</m:t>
                </m:r>
                <m:r>
                  <m:t>τ</m:t>
                </m:r>
                <m:r>
                  <m:rPr>
                    <m:sty m:val="b"/>
                  </m:rPr>
                  <m:t>Σ</m:t>
                </m:r>
                <m:r>
                  <m:t>)</m:t>
                </m:r>
                <m:r>
                  <m:t>  </m:t>
                </m:r>
                <m:r>
                  <m:t>(</m:t>
                </m:r>
                <m:r>
                  <m:t>2</m:t>
                </m:r>
                <m:r>
                  <m:t>)</m:t>
                </m:r>
              </m:e>
            </m:mr>
          </m:m>
        </m:oMath>
      </m:oMathPara>
    </w:p>
    <w:p>
      <w:pPr/>
      <m:oMath>
        <m:r>
          <m:t>τ</m:t>
        </m:r>
      </m:oMath>
      <w:r>
        <w:t xml:space="preserve">는 사전 분포의 불확실성을 조절하며, He and Litterman (1999)은 사전 분포에 약한 신뢰도를 부여할 때</w:t>
      </w:r>
      <w:r>
        <w:t xml:space="preserve"> </w:t>
      </w:r>
      <m:oMath>
        <m:r>
          <m:t>τ</m:t>
        </m:r>
      </m:oMath>
      <w:r>
        <w:t xml:space="preserve">를 작은 값(0.025)으로 두는 관행을 확립하였다.</w:t>
      </w:r>
    </w:p>
    <w:p>
      <w:pPr/>
      <w:r>
        <w:t xml:space="preserve">투자자의 뷰는 다음과 같이 표현된다.</w:t>
      </w:r>
    </w:p>
    <w:p>
      <w:pPr/>
      <m:oMathPara>
        <m:oMathParaPr>
          <m:jc m:val="center"/>
        </m:oMathParaPr>
        <m:oMath>
          <m:m>
            <m:mPr>
              <m:baseJc m:val="center"/>
              <m:plcHide m:val="1"/>
              <m:mcs>
                <m:mc>
                  <m:mcPr>
                    <m:mcJc m:val="right"/>
                    <m:count m:val="1"/>
                  </m:mcPr>
                </m:mc>
              </m:mcs>
            </m:mPr>
            <m:mr>
              <m:e>
                <m:r>
                  <m:t>q</m:t>
                </m:r>
                <m:r>
                  <m:t>|</m:t>
                </m:r>
                <m:r>
                  <m:rPr>
                    <m:sty m:val="b"/>
                  </m:rPr>
                  <m:t>μ</m:t>
                </m:r>
                <m:r>
                  <m:t>∼</m:t>
                </m:r>
                <m:r>
                  <m:t>N</m:t>
                </m:r>
                <m:r>
                  <m:t>(</m:t>
                </m:r>
                <m:r>
                  <m:rPr>
                    <m:sty m:val="b"/>
                  </m:rPr>
                  <m:t>p</m:t>
                </m:r>
                <m:r>
                  <m:rPr>
                    <m:sty m:val="b"/>
                  </m:rPr>
                  <m:t>μ</m:t>
                </m:r>
                <m:r>
                  <m:t>,</m:t>
                </m:r>
                <m:r>
                  <m:t>ω</m:t>
                </m:r>
                <m:r>
                  <m:t>)</m:t>
                </m:r>
                <m:r>
                  <m:t>  </m:t>
                </m:r>
                <m:r>
                  <m:t>(</m:t>
                </m:r>
                <m:r>
                  <m:t>3</m:t>
                </m:r>
                <m:r>
                  <m:t>)</m:t>
                </m:r>
              </m:e>
            </m:mr>
          </m:m>
        </m:oMath>
      </m:oMathPara>
    </w:p>
    <w:p>
      <w:pPr/>
      <w:r>
        <w:t xml:space="preserve">여기서</w:t>
      </w:r>
      <w:r>
        <w:t xml:space="preserve"> </w:t>
      </w:r>
      <m:oMath>
        <m:r>
          <m:rPr>
            <m:sty m:val="b"/>
          </m:rPr>
          <m:t>p</m:t>
        </m:r>
        <m:r>
          <m:t>∈</m:t>
        </m:r>
        <m:sSup>
          <m:e>
            <m:r>
              <m:t>R</m:t>
            </m:r>
          </m:e>
          <m:sup>
            <m:r>
              <m:t>1</m:t>
            </m:r>
            <m:r>
              <m:t>×</m:t>
            </m:r>
            <m:r>
              <m:t>n</m:t>
            </m:r>
          </m:sup>
        </m:sSup>
      </m:oMath>
      <w:r>
        <w:t xml:space="preserve">은 뷰 포트폴리오 가중치 벡터,</w:t>
      </w:r>
      <w:r>
        <w:t xml:space="preserve"> </w:t>
      </w:r>
      <m:oMath>
        <m:r>
          <m:t>q</m:t>
        </m:r>
        <m:r>
          <m:t>∈</m:t>
        </m:r>
        <m:r>
          <m:t>R</m:t>
        </m:r>
      </m:oMath>
      <w:r>
        <w:t xml:space="preserve">은 단일 상대 뷰의 기대수익률 스칼라,</w:t>
      </w:r>
      <w:r>
        <w:t xml:space="preserve"> </w:t>
      </w:r>
      <m:oMath>
        <m:r>
          <m:t>ω</m:t>
        </m:r>
        <m:r>
          <m:t>∈</m:t>
        </m:r>
        <m:r>
          <m:t>R</m:t>
        </m:r>
      </m:oMath>
      <w:r>
        <w:t xml:space="preserve">는 뷰의 불확실성을 나타내는 스칼라다.</w:t>
      </w:r>
      <w:r>
        <w:t xml:space="preserve"> </w:t>
      </w:r>
      <m:oMath>
        <m:r>
          <m:t>ω</m:t>
        </m:r>
      </m:oMath>
      <w:r>
        <w:t xml:space="preserve">의 구체적 형태는 BL 응용 문헌에서 다양하게 논의되었으며, He and Litterman (1999)은</w:t>
      </w:r>
      <w:r>
        <w:t xml:space="preserve"> </w:t>
      </w:r>
      <m:oMath>
        <m:r>
          <m:t>ω</m:t>
        </m:r>
        <m:r>
          <m:t>=</m:t>
        </m:r>
        <m:r>
          <m:t>τ</m:t>
        </m:r>
        <m:r>
          <m:rPr>
            <m:sty m:val="b"/>
          </m:rPr>
          <m:t>p</m:t>
        </m:r>
        <m:r>
          <m:rPr>
            <m:sty m:val="b"/>
          </m:rPr>
          <m:t>Σ</m:t>
        </m:r>
        <m:sSup>
          <m:e>
            <m:r>
              <m:rPr>
                <m:sty m:val="b"/>
              </m:rPr>
              <m:t>p</m:t>
            </m:r>
          </m:e>
          <m:sup>
            <m:r>
              <m:t>⊤</m:t>
            </m:r>
          </m:sup>
        </m:sSup>
      </m:oMath>
      <w:r>
        <w:t xml:space="preserve">와 같이 사전 분포의 공분산에 비례하는 형태를 표준으로 제시하였다.</w:t>
      </w:r>
    </w:p>
    <w:p>
      <w:pPr/>
      <w:r>
        <w:t xml:space="preserve">사전 분포와 뷰 우도를 결합하면 사후 기대수익률과 공분산은 다음과 같이 도출된다.</w:t>
      </w:r>
    </w:p>
    <w:p>
      <w:pPr/>
      <m:oMathPara>
        <m:oMathParaPr>
          <m:jc m:val="center"/>
        </m:oMathParaPr>
        <m:oMath>
          <m:m>
            <m:mPr>
              <m:baseJc m:val="center"/>
              <m:plcHide m:val="1"/>
              <m:mcs>
                <m:mc>
                  <m:mcPr>
                    <m:mcJc m:val="right"/>
                    <m:count m:val="1"/>
                  </m:mcPr>
                </m:mc>
                <m:mc>
                  <m:mcPr>
                    <m:mcJc m:val="left"/>
                    <m:count m:val="1"/>
                  </m:mcPr>
                </m:mc>
              </m:mcs>
            </m:mPr>
            <m:mr>
              <m:e/>
              <m:e>
                <m:sSub>
                  <m:e>
                    <m:r>
                      <m:rPr>
                        <m:sty m:val="b"/>
                      </m:rPr>
                      <m:t>Σ</m:t>
                    </m:r>
                  </m:e>
                  <m:sub>
                    <m:r>
                      <m:t>B</m:t>
                    </m:r>
                    <m:r>
                      <m:t>L</m:t>
                    </m:r>
                  </m:sub>
                </m:sSub>
                <m:r>
                  <m:t>=</m:t>
                </m:r>
                <m:r>
                  <m:t>[</m:t>
                </m:r>
                <m:r>
                  <m:t>(</m:t>
                </m:r>
                <m:r>
                  <m:t>τ</m:t>
                </m:r>
                <m:r>
                  <m:rPr>
                    <m:sty m:val="b"/>
                  </m:rPr>
                  <m:t>Σ</m:t>
                </m:r>
                <m:sSup>
                  <m:e>
                    <m:r>
                      <m:t>)</m:t>
                    </m:r>
                  </m:e>
                  <m:sup>
                    <m:r>
                      <m:t>−</m:t>
                    </m:r>
                    <m:r>
                      <m:t>1</m:t>
                    </m:r>
                  </m:sup>
                </m:sSup>
                <m:r>
                  <m:t>+</m:t>
                </m:r>
                <m:sSup>
                  <m:e>
                    <m:r>
                      <m:rPr>
                        <m:sty m:val="b"/>
                      </m:rPr>
                      <m:t>p</m:t>
                    </m:r>
                  </m:e>
                  <m:sup>
                    <m:r>
                      <m:t>⊤</m:t>
                    </m:r>
                  </m:sup>
                </m:sSup>
                <m:sSup>
                  <m:e>
                    <m:r>
                      <m:t>ω</m:t>
                    </m:r>
                  </m:e>
                  <m:sup>
                    <m:r>
                      <m:t>−</m:t>
                    </m:r>
                    <m:r>
                      <m:t>1</m:t>
                    </m:r>
                  </m:sup>
                </m:sSup>
                <m:r>
                  <m:rPr>
                    <m:sty m:val="b"/>
                  </m:rPr>
                  <m:t>p</m:t>
                </m:r>
                <m:sSup>
                  <m:e>
                    <m:r>
                      <m:t>]</m:t>
                    </m:r>
                  </m:e>
                  <m:sup>
                    <m:r>
                      <m:t>−</m:t>
                    </m:r>
                    <m:r>
                      <m:t>1</m:t>
                    </m:r>
                  </m:sup>
                </m:sSup>
                <m:r>
                  <m:t>  </m:t>
                </m:r>
                <m:r>
                  <m:t>(</m:t>
                </m:r>
                <m:r>
                  <m:t>4</m:t>
                </m:r>
                <m:r>
                  <m:t>)</m:t>
                </m:r>
              </m:e>
            </m:mr>
            <m:mr>
              <m:e/>
              <m:e>
                <m:sSub>
                  <m:e>
                    <m:r>
                      <m:rPr>
                        <m:sty m:val="b"/>
                      </m:rPr>
                      <m:t>μ</m:t>
                    </m:r>
                  </m:e>
                  <m:sub>
                    <m:r>
                      <m:t>B</m:t>
                    </m:r>
                    <m:r>
                      <m:t>L</m:t>
                    </m:r>
                  </m:sub>
                </m:sSub>
                <m:r>
                  <m:t>=</m:t>
                </m:r>
                <m:r>
                  <m:t>[</m:t>
                </m:r>
                <m:r>
                  <m:t>(</m:t>
                </m:r>
                <m:r>
                  <m:t>τ</m:t>
                </m:r>
                <m:r>
                  <m:rPr>
                    <m:sty m:val="b"/>
                  </m:rPr>
                  <m:t>Σ</m:t>
                </m:r>
                <m:sSup>
                  <m:e>
                    <m:r>
                      <m:t>)</m:t>
                    </m:r>
                  </m:e>
                  <m:sup>
                    <m:r>
                      <m:t>−</m:t>
                    </m:r>
                    <m:r>
                      <m:t>1</m:t>
                    </m:r>
                  </m:sup>
                </m:sSup>
                <m:r>
                  <m:t>+</m:t>
                </m:r>
                <m:sSup>
                  <m:e>
                    <m:r>
                      <m:rPr>
                        <m:sty m:val="b"/>
                      </m:rPr>
                      <m:t>p</m:t>
                    </m:r>
                  </m:e>
                  <m:sup>
                    <m:r>
                      <m:t>⊤</m:t>
                    </m:r>
                  </m:sup>
                </m:sSup>
                <m:sSup>
                  <m:e>
                    <m:r>
                      <m:t>ω</m:t>
                    </m:r>
                  </m:e>
                  <m:sup>
                    <m:r>
                      <m:t>−</m:t>
                    </m:r>
                    <m:r>
                      <m:t>1</m:t>
                    </m:r>
                  </m:sup>
                </m:sSup>
                <m:r>
                  <m:rPr>
                    <m:sty m:val="b"/>
                  </m:rPr>
                  <m:t>p</m:t>
                </m:r>
                <m:sSup>
                  <m:e>
                    <m:r>
                      <m:t>]</m:t>
                    </m:r>
                  </m:e>
                  <m:sup>
                    <m:r>
                      <m:t>−</m:t>
                    </m:r>
                    <m:r>
                      <m:t>1</m:t>
                    </m:r>
                  </m:sup>
                </m:sSup>
                <m:r>
                  <m:t>[</m:t>
                </m:r>
                <m:r>
                  <m:t>(</m:t>
                </m:r>
                <m:r>
                  <m:t>τ</m:t>
                </m:r>
                <m:r>
                  <m:rPr>
                    <m:sty m:val="b"/>
                  </m:rPr>
                  <m:t>Σ</m:t>
                </m:r>
                <m:sSup>
                  <m:e>
                    <m:r>
                      <m:t>)</m:t>
                    </m:r>
                  </m:e>
                  <m:sup>
                    <m:r>
                      <m:t>−</m:t>
                    </m:r>
                    <m:r>
                      <m:t>1</m:t>
                    </m:r>
                  </m:sup>
                </m:sSup>
                <m:r>
                  <m:rPr>
                    <m:sty m:val="b"/>
                  </m:rPr>
                  <m:t>π</m:t>
                </m:r>
                <m:r>
                  <m:t>+</m:t>
                </m:r>
                <m:sSup>
                  <m:e>
                    <m:r>
                      <m:rPr>
                        <m:sty m:val="b"/>
                      </m:rPr>
                      <m:t>p</m:t>
                    </m:r>
                  </m:e>
                  <m:sup>
                    <m:r>
                      <m:t>⊤</m:t>
                    </m:r>
                  </m:sup>
                </m:sSup>
                <m:sSup>
                  <m:e>
                    <m:r>
                      <m:t>ω</m:t>
                    </m:r>
                  </m:e>
                  <m:sup>
                    <m:r>
                      <m:t>−</m:t>
                    </m:r>
                    <m:r>
                      <m:t>1</m:t>
                    </m:r>
                  </m:sup>
                </m:sSup>
                <m:r>
                  <m:t>q</m:t>
                </m:r>
                <m:r>
                  <m:t>]</m:t>
                </m:r>
                <m:r>
                  <m:t>  </m:t>
                </m:r>
                <m:r>
                  <m:t>(</m:t>
                </m:r>
                <m:r>
                  <m:t>5</m:t>
                </m:r>
                <m:r>
                  <m:t>)</m:t>
                </m:r>
              </m:e>
            </m:mr>
          </m:m>
        </m:oMath>
      </m:oMathPara>
    </w:p>
    <w:p>
      <w:pPr/>
      <w:r>
        <w:t xml:space="preserve">최적 포트폴리오 비중은 다음을 풀어 산출한다.</w:t>
      </w:r>
    </w:p>
    <w:p>
      <w:pPr/>
      <m:oMathPara>
        <m:oMathParaPr>
          <m:jc m:val="center"/>
        </m:oMathParaPr>
        <m:oMath>
          <m:m>
            <m:mPr>
              <m:baseJc m:val="center"/>
              <m:plcHide m:val="1"/>
              <m:mcs>
                <m:mc>
                  <m:mcPr>
                    <m:mcJc m:val="right"/>
                    <m:count m:val="1"/>
                  </m:mcPr>
                </m:mc>
              </m:mcs>
            </m:mPr>
            <m:mr>
              <m:e>
                <m:limLow>
                  <m:e>
                    <m:r>
                      <m:rPr>
                        <m:nor/>
                        <m:sty m:val="p"/>
                      </m:rPr>
                      <m:t>min</m:t>
                    </m:r>
                  </m:e>
                  <m:lim>
                    <m:r>
                      <m:rPr>
                        <m:sty m:val="b"/>
                      </m:rPr>
                      <m:t>w</m:t>
                    </m:r>
                  </m:lim>
                </m:limLow>
                <m:f>
                  <m:fPr>
                    <m:type m:val="bar"/>
                  </m:fPr>
                  <m:num>
                    <m:r>
                      <m:t>1</m:t>
                    </m:r>
                  </m:num>
                  <m:den>
                    <m:r>
                      <m:t>2</m:t>
                    </m:r>
                  </m:den>
                </m:f>
                <m:r>
                  <m:t>λ</m:t>
                </m:r>
                <m:sSup>
                  <m:e>
                    <m:r>
                      <m:rPr>
                        <m:sty m:val="b"/>
                      </m:rPr>
                      <m:t>w</m:t>
                    </m:r>
                  </m:e>
                  <m:sup>
                    <m:r>
                      <m:t>⊤</m:t>
                    </m:r>
                  </m:sup>
                </m:sSup>
                <m:sSub>
                  <m:e>
                    <m:r>
                      <m:rPr>
                        <m:sty m:val="b"/>
                      </m:rPr>
                      <m:t>Σ</m:t>
                    </m:r>
                  </m:e>
                  <m:sub>
                    <m:r>
                      <m:t>B</m:t>
                    </m:r>
                    <m:r>
                      <m:t>L</m:t>
                    </m:r>
                  </m:sub>
                </m:sSub>
                <m:r>
                  <m:rPr>
                    <m:sty m:val="b"/>
                  </m:rPr>
                  <m:t>w</m:t>
                </m:r>
                <m:r>
                  <m:t>−</m:t>
                </m:r>
                <m:sSup>
                  <m:e>
                    <m:r>
                      <m:rPr>
                        <m:sty m:val="b"/>
                      </m:rPr>
                      <m:t>w</m:t>
                    </m:r>
                  </m:e>
                  <m:sup>
                    <m:r>
                      <m:t>⊤</m:t>
                    </m:r>
                  </m:sup>
                </m:sSup>
                <m:sSub>
                  <m:e>
                    <m:r>
                      <m:rPr>
                        <m:sty m:val="b"/>
                      </m:rPr>
                      <m:t>μ</m:t>
                    </m:r>
                  </m:e>
                  <m:sub>
                    <m:r>
                      <m:t>B</m:t>
                    </m:r>
                    <m:r>
                      <m:t>L</m:t>
                    </m:r>
                  </m:sub>
                </m:sSub>
                <m:r>
                  <m:t>  </m:t>
                </m:r>
                <m:r>
                  <m:t>(</m:t>
                </m:r>
                <m:r>
                  <m:t>6</m:t>
                </m:r>
                <m:r>
                  <m:t>)</m:t>
                </m:r>
              </m:e>
            </m:mr>
            <m:mr>
              <m:e>
                <m:r>
                  <m:rPr>
                    <m:nor/>
                    <m:sty m:val="p"/>
                  </m:rPr>
                  <m:t>s.t.</m:t>
                </m:r>
                <m:r>
                  <m:t> </m:t>
                </m:r>
                <m:nary>
                  <m:naryPr>
                    <m:chr m:val="∑"/>
                    <m:limLoc m:val="undOvr"/>
                    <m:subHide m:val="0"/>
                    <m:supHide m:val="0"/>
                  </m:naryPr>
                  <m:sub>
                    <m:r>
                      <m:t>i</m:t>
                    </m:r>
                    <m:r>
                      <m:t>=</m:t>
                    </m:r>
                    <m:r>
                      <m:t>1</m:t>
                    </m:r>
                  </m:sub>
                  <m:sup>
                    <m:r>
                      <m:t>n</m:t>
                    </m:r>
                  </m:sup>
                  <m:e>
                    <m:sSub>
                      <m:e>
                        <m:r>
                          <m:t>w</m:t>
                        </m:r>
                      </m:e>
                      <m:sub>
                        <m:r>
                          <m:t>i</m:t>
                        </m:r>
                      </m:sub>
                    </m:sSub>
                  </m:e>
                </m:nary>
                <m:r>
                  <m:t>=</m:t>
                </m:r>
                <m:r>
                  <m:t>1</m:t>
                </m:r>
              </m:e>
            </m:mr>
          </m:m>
        </m:oMath>
      </m:oMathPara>
    </w:p>
    <w:p>
      <w:pPr>
        <w:pStyle w:val="2"/>
      </w:pPr>
      <w:bookmarkStart w:id="23" w:name="subsec:vol_pred_review"/>
      <w:r>
        <w:t xml:space="preserve">변동성 예측 모형</w:t>
      </w:r>
      <w:bookmarkEnd w:id="23"/>
    </w:p>
    <w:p>
      <w:pPr/>
      <w:r>
        <w:t xml:space="preserve">금융 자산의 변동성은 시계열적으로 특정 구조가 지속되는 ’변동성 군집성(volatility clustering)’과 시차가 길어져도 자기상관이 천천히 감소하는 ’장기 의존성(long-memory)’을 보인다([cont2001? — bib 누락]). 본 절에서는 이러한 변동성 시계열 구조에 널리 활용되어 온 선형 모형인 HAR(Müller et al., 1997)과 비선형 시퀀스 학습에 특화된 딥러닝 모형인 LSTM(Hochreiter &amp; Schmidhuber, 1997)의 구조를 기술한다. 아울러 서로 다른 가정에 기반한 두 모형의 예측값을 결합함으로써 동적 적응성(dynamic adaptability)을 확보하는 앙상블 접근법의 이론적 배경을 정리한다.</w:t>
      </w:r>
    </w:p>
    <w:p>
      <w:pPr>
        <w:pStyle w:val="3"/>
      </w:pPr>
      <w:bookmarkStart w:id="24" w:name="subsubsec:har_review"/>
      <w:r>
        <w:t xml:space="preserve">HAR</w:t>
      </w:r>
      <w:bookmarkEnd w:id="24"/>
    </w:p>
    <w:p>
      <w:pPr/>
      <w:r>
        <w:t xml:space="preserve">Müller et al. (1997)은 시장 참여자의 의사결정 시간 지평(time horizon)이 단기·중기·장기로 이질적이라는 ’이질적 시장 가정(Heterogeneous Market Hypothesis)’을 제안하였다. 이 가정에 따르면, 변동성의 장기 의존 구조는 서로 다른 시간 척도를 가진 거래 행동이 중첩된 결과로 해석된다.</w:t>
      </w:r>
      <w:r>
        <w:t xml:space="preserve"> </w:t>
      </w:r>
      <w:r>
        <w:t xml:space="preserve">Corsi (2009)은 이를 단순 선형 회귀 형태로 구현한 HAR 모형을 개발하였다. HAR 모형은 시차(lag)를 개별적으로 나열하는 대신, 단기(1일), 중기(5일), 장기(22일) 누적 평균 실현분산(Realized Volatility, RV)을 입력 변수로 사용한다. 이를 통해 단 네 개의 모수(parameter)만으로도 복잡한 자기상관 구조를 효과적으로 근사한다는 장점이 있다.</w:t>
      </w:r>
    </w:p>
    <w:p>
      <w:pPr/>
      <m:oMathPara>
        <m:oMathParaPr>
          <m:jc m:val="center"/>
        </m:oMathParaPr>
        <m:oMath>
          <m:r>
            <m:rPr>
              <m:nor/>
              <m:sty m:val="p"/>
            </m:rPr>
            <m:t>log</m:t>
          </m:r>
          <m:r>
            <m:t>R</m:t>
          </m:r>
          <m:sSub>
            <m:e>
              <m:r>
                <m:t>V</m:t>
              </m:r>
            </m:e>
            <m:sub>
              <m:r>
                <m:t>h</m:t>
              </m:r>
              <m:r>
                <m:t>,</m:t>
              </m:r>
              <m:r>
                <m:t>t</m:t>
              </m:r>
              <m:r>
                <m:t>+</m:t>
              </m:r>
              <m:r>
                <m:t>h</m:t>
              </m:r>
            </m:sub>
          </m:sSub>
          <m:r>
            <m:t>=</m:t>
          </m:r>
          <m:sSub>
            <m:e>
              <m:r>
                <m:t>β</m:t>
              </m:r>
            </m:e>
            <m:sub>
              <m:r>
                <m:t>0</m:t>
              </m:r>
            </m:sub>
          </m:sSub>
          <m:r>
            <m:t>+</m:t>
          </m:r>
          <m:sSub>
            <m:e>
              <m:r>
                <m:t>β</m:t>
              </m:r>
            </m:e>
            <m:sub>
              <m:r>
                <m:t>d</m:t>
              </m:r>
            </m:sub>
          </m:sSub>
          <m:r>
            <m:rPr>
              <m:nor/>
              <m:sty m:val="p"/>
            </m:rPr>
            <m:t>log</m:t>
          </m:r>
          <m:r>
            <m:t>R</m:t>
          </m:r>
          <m:sSub>
            <m:e>
              <m:r>
                <m:t>V</m:t>
              </m:r>
            </m:e>
            <m:sub>
              <m:r>
                <m:t>d</m:t>
              </m:r>
              <m:r>
                <m:t>,</m:t>
              </m:r>
              <m:r>
                <m:t>t</m:t>
              </m:r>
            </m:sub>
          </m:sSub>
          <m:r>
            <m:t>+</m:t>
          </m:r>
          <m:sSub>
            <m:e>
              <m:r>
                <m:t>β</m:t>
              </m:r>
            </m:e>
            <m:sub>
              <m:r>
                <m:t>w</m:t>
              </m:r>
            </m:sub>
          </m:sSub>
          <m:r>
            <m:rPr>
              <m:nor/>
              <m:sty m:val="p"/>
            </m:rPr>
            <m:t>log</m:t>
          </m:r>
          <m:r>
            <m:t>R</m:t>
          </m:r>
          <m:sSub>
            <m:e>
              <m:r>
                <m:t>V</m:t>
              </m:r>
            </m:e>
            <m:sub>
              <m:r>
                <m:t>w</m:t>
              </m:r>
              <m:r>
                <m:t>,</m:t>
              </m:r>
              <m:r>
                <m:t>t</m:t>
              </m:r>
            </m:sub>
          </m:sSub>
          <m:r>
            <m:t>+</m:t>
          </m:r>
          <m:sSub>
            <m:e>
              <m:r>
                <m:t>β</m:t>
              </m:r>
            </m:e>
            <m:sub>
              <m:r>
                <m:t>m</m:t>
              </m:r>
            </m:sub>
          </m:sSub>
          <m:r>
            <m:rPr>
              <m:nor/>
              <m:sty m:val="p"/>
            </m:rPr>
            <m:t>log</m:t>
          </m:r>
          <m:r>
            <m:t>R</m:t>
          </m:r>
          <m:sSub>
            <m:e>
              <m:r>
                <m:t>V</m:t>
              </m:r>
            </m:e>
            <m:sub>
              <m:r>
                <m:t>m</m:t>
              </m:r>
              <m:r>
                <m:t>,</m:t>
              </m:r>
              <m:r>
                <m:t>t</m:t>
              </m:r>
            </m:sub>
          </m:sSub>
          <m:r>
            <m:t>  </m:t>
          </m:r>
          <m:r>
            <m:t>(</m:t>
          </m:r>
          <m:r>
            <m:t>7</m:t>
          </m:r>
          <m:r>
            <m:t>)</m:t>
          </m:r>
        </m:oMath>
      </m:oMathPara>
    </w:p>
    <w:p>
      <w:pPr/>
      <w:r>
        <w:t xml:space="preserve">여기에서</w:t>
      </w:r>
      <w:r>
        <w:t xml:space="preserve"> </w:t>
      </w:r>
      <m:oMath>
        <m:r>
          <m:t>(</m:t>
        </m:r>
        <m:r>
          <m:t>R</m:t>
        </m:r>
        <m:sSub>
          <m:e>
            <m:r>
              <m:t>V</m:t>
            </m:r>
          </m:e>
          <m:sub>
            <m:r>
              <m:t>d</m:t>
            </m:r>
          </m:sub>
        </m:sSub>
        <m:r>
          <m:t>,</m:t>
        </m:r>
        <m:r>
          <m:t>R</m:t>
        </m:r>
        <m:sSub>
          <m:e>
            <m:r>
              <m:t>V</m:t>
            </m:r>
          </m:e>
          <m:sub>
            <m:r>
              <m:t>w</m:t>
            </m:r>
          </m:sub>
        </m:sSub>
        <m:r>
          <m:t>,</m:t>
        </m:r>
        <m:r>
          <m:t>R</m:t>
        </m:r>
        <m:sSub>
          <m:e>
            <m:r>
              <m:t>V</m:t>
            </m:r>
          </m:e>
          <m:sub>
            <m:r>
              <m:t>m</m:t>
            </m:r>
          </m:sub>
        </m:sSub>
        <m:r>
          <m:t>)</m:t>
        </m:r>
      </m:oMath>
      <w:r>
        <w:t xml:space="preserve">는 1일, 5일, 22일에 걸친 변동성 대리변수이다. HAR 모형은 구조적 단순성에도 불구하고 변동성의 장기 의존 구조를 효과적으로 포착하여 변동성 연구의 대표적인 벤치마크로 자리 잡았다.</w:t>
      </w:r>
    </w:p>
    <w:p>
      <w:pPr>
        <w:pStyle w:val="3"/>
      </w:pPr>
      <w:bookmarkStart w:id="25" w:name="subsubsec:lstm_review"/>
      <w:r>
        <w:t xml:space="preserve">LSTM</w:t>
      </w:r>
      <w:bookmarkEnd w:id="25"/>
    </w:p>
    <w:p>
      <w:pPr/>
      <w:r>
        <w:t xml:space="preserve">순환신경망(Recurrent Neural Network, RNN, Rumelhart et al., 1986)은 시퀀스 데이터의 시간적 의존성을 학습하기 위해 은닉 상태(hidden state)</w:t>
      </w:r>
      <w:r>
        <w:t xml:space="preserve"> </w:t>
      </w:r>
      <m:oMath>
        <m:sSub>
          <m:e>
            <m:r>
              <m:t>h</m:t>
            </m:r>
          </m:e>
          <m:sub>
            <m:r>
              <m:t>t</m:t>
            </m:r>
          </m:sub>
        </m:sSub>
      </m:oMath>
      <w:r>
        <w:t xml:space="preserve">를 시점 간 재귀적으로 전파하는 구조를 갖는다. 그러나 RNN은 역전파 과정에서 기울기가 시간 축을 따라 지수적으로 감소하거나(기울기 소실, vanishing gradient) 지수적으로 증가하는(기울기 폭주, exploding gradient) 문제로 인해, 긴 시퀀스 학습이 실질적으로 어렵다는 한계가 지적되어 왔다.</w:t>
      </w:r>
    </w:p>
    <w:p>
      <w:pPr/>
      <w:r>
        <w:t xml:space="preserve">LSTM(Hochreiter &amp; Schmidhuber, 1997)은 이러한 한계를 해결하기 위해 설계된 구조이다. LSTM의 핵심 아이디어는 은닉 상태와 별도로 셀 상태(cell state)</w:t>
      </w:r>
      <w:r>
        <w:t xml:space="preserve"> </w:t>
      </w:r>
      <m:oMath>
        <m:sSub>
          <m:e>
            <m:r>
              <m:t>c</m:t>
            </m:r>
          </m:e>
          <m:sub>
            <m:r>
              <m:t>t</m:t>
            </m:r>
          </m:sub>
        </m:sSub>
      </m:oMath>
      <w:r>
        <w:t xml:space="preserve">를 두고, [0, 1] 구간의 출력값을 갖는 시그모이드 활성화 함수를 통해 셀 상태의 정보를 선택적으로 보존·삭제·갱신하는 것이다. Gers et al. (2000)이 망각 게이트(forget gate)를 도입한 이후, LSTM은 망각·입력·출력 게이트 및 후보 기억 상태(candidate cell state)로 구성된 표준 구조로 정착하였다.</w:t>
      </w:r>
    </w:p>
    <w:p>
      <w:pPr>
        <w:pStyle w:val="CaptionedFigure"/>
      </w:pPr>
      <w:bookmarkStart w:id="27" w:name="fig:lstm_cell"/>
      <w:r>
        <w:drawing>
          <wp:inline>
            <wp:extent cx="5892800" cy="5892800"/>
            <wp:effectExtent b="0" l="0" r="0" t="0"/>
            <wp:docPr descr="&lt;그림 1&gt; LSTM 셀의 내부 구조." title="" id="1" name="Picture"/>
            <a:graphic>
              <a:graphicData uri="http://schemas.openxmlformats.org/drawingml/2006/picture">
                <pic:pic>
                  <pic:nvPicPr>
                    <pic:cNvPr descr="/sessions/sleepy-loving-thompson/mnt/low_vol_with_lstm_har_bl/paper/images/paper_final/lstm_cell.png" id="0" name="Picture"/>
                    <pic:cNvPicPr>
                      <a:picLocks noChangeArrowheads="1" noChangeAspect="1"/>
                    </pic:cNvPicPr>
                  </pic:nvPicPr>
                  <pic:blipFill>
                    <a:blip r:embed="rId26"/>
                    <a:stretch>
                      <a:fillRect/>
                    </a:stretch>
                  </pic:blipFill>
                  <pic:spPr bwMode="auto">
                    <a:xfrm>
                      <a:off x="0" y="0"/>
                      <a:ext cx="5892800" cy="5892800"/>
                    </a:xfrm>
                    <a:prstGeom prst="rect">
                      <a:avLst/>
                    </a:prstGeom>
                    <a:noFill/>
                    <a:ln w="9525">
                      <a:noFill/>
                      <a:headEnd/>
                      <a:tailEnd/>
                    </a:ln>
                  </pic:spPr>
                </pic:pic>
              </a:graphicData>
            </a:graphic>
          </wp:inline>
        </w:drawing>
      </w:r>
      <w:bookmarkEnd w:id="27"/>
    </w:p>
    <w:p>
      <w:pPr>
        <w:jc w:val="center"/>
      </w:pPr>
      <w:r>
        <w:t xml:space="preserve">&lt;그림 1&gt; LSTM 셀의 내부 구조.</w:t>
      </w:r>
    </w:p>
    <w:p>
      <w:pPr/>
      <w:r>
        <w:t xml:space="preserve">그림 1의 LSTM 셀은 시점</w:t>
      </w:r>
      <w:r>
        <w:t xml:space="preserve"> </w:t>
      </w:r>
      <m:oMath>
        <m:r>
          <m:t>t</m:t>
        </m:r>
      </m:oMath>
      <w:r>
        <w:t xml:space="preserve">에서 다음과 같이 계산된다.</w:t>
      </w:r>
    </w:p>
    <w:p>
      <w:pPr/>
      <m:oMathPara>
        <m:oMathParaPr>
          <m:jc m:val="center"/>
        </m:oMathParaPr>
        <m:oMath>
          <m:m>
            <m:mPr>
              <m:baseJc m:val="center"/>
              <m:plcHide m:val="1"/>
              <m:mcs>
                <m:mc>
                  <m:mcPr>
                    <m:mcJc m:val="right"/>
                    <m:count m:val="1"/>
                  </m:mcPr>
                </m:mc>
                <m:mc>
                  <m:mcPr>
                    <m:mcJc m:val="left"/>
                    <m:count m:val="1"/>
                  </m:mcPr>
                </m:mc>
              </m:mcs>
            </m:mPr>
            <m:mr>
              <m:e>
                <m:sSub>
                  <m:e>
                    <m:r>
                      <m:t>f</m:t>
                    </m:r>
                  </m:e>
                  <m:sub>
                    <m:r>
                      <m:t>t</m:t>
                    </m:r>
                  </m:sub>
                </m:sSub>
              </m:e>
              <m:e>
                <m:r>
                  <m:t>=</m:t>
                </m:r>
                <m:r>
                  <m:t>σ</m:t>
                </m:r>
                <m:r>
                  <m:t>(</m:t>
                </m:r>
                <m:sSub>
                  <m:e>
                    <m:r>
                      <m:t>W</m:t>
                    </m:r>
                  </m:e>
                  <m:sub>
                    <m:r>
                      <m:t>f</m:t>
                    </m:r>
                  </m:sub>
                </m:sSub>
                <m:r>
                  <m:t>[</m:t>
                </m:r>
                <m:sSub>
                  <m:e>
                    <m:r>
                      <m:t>h</m:t>
                    </m:r>
                  </m:e>
                  <m:sub>
                    <m:r>
                      <m:t>t</m:t>
                    </m:r>
                    <m:r>
                      <m:t>−</m:t>
                    </m:r>
                    <m:r>
                      <m:t>1</m:t>
                    </m:r>
                  </m:sub>
                </m:sSub>
                <m:r>
                  <m:t>,</m:t>
                </m:r>
                <m:sSub>
                  <m:e>
                    <m:r>
                      <m:t>x</m:t>
                    </m:r>
                  </m:e>
                  <m:sub>
                    <m:r>
                      <m:t>t</m:t>
                    </m:r>
                  </m:sub>
                </m:sSub>
                <m:r>
                  <m:t>]</m:t>
                </m:r>
                <m:r>
                  <m:t>+</m:t>
                </m:r>
                <m:sSub>
                  <m:e>
                    <m:r>
                      <m:t>b</m:t>
                    </m:r>
                  </m:e>
                  <m:sub>
                    <m:r>
                      <m:t>f</m:t>
                    </m:r>
                  </m:sub>
                </m:sSub>
                <m:r>
                  <m:t>)</m:t>
                </m:r>
                <m:r>
                  <m:t>  </m:t>
                </m:r>
                <m:r>
                  <m:t>(</m:t>
                </m:r>
                <m:r>
                  <m:t>8</m:t>
                </m:r>
                <m:r>
                  <m:t>)</m:t>
                </m:r>
              </m:e>
            </m:mr>
            <m:mr>
              <m:e>
                <m:sSub>
                  <m:e>
                    <m:r>
                      <m:t>i</m:t>
                    </m:r>
                  </m:e>
                  <m:sub>
                    <m:r>
                      <m:t>t</m:t>
                    </m:r>
                  </m:sub>
                </m:sSub>
              </m:e>
              <m:e>
                <m:r>
                  <m:t>=</m:t>
                </m:r>
                <m:r>
                  <m:t>σ</m:t>
                </m:r>
                <m:r>
                  <m:t>(</m:t>
                </m:r>
                <m:sSub>
                  <m:e>
                    <m:r>
                      <m:t>W</m:t>
                    </m:r>
                  </m:e>
                  <m:sub>
                    <m:r>
                      <m:t>i</m:t>
                    </m:r>
                  </m:sub>
                </m:sSub>
                <m:r>
                  <m:t>[</m:t>
                </m:r>
                <m:sSub>
                  <m:e>
                    <m:r>
                      <m:t>h</m:t>
                    </m:r>
                  </m:e>
                  <m:sub>
                    <m:r>
                      <m:t>t</m:t>
                    </m:r>
                    <m:r>
                      <m:t>−</m:t>
                    </m:r>
                    <m:r>
                      <m:t>1</m:t>
                    </m:r>
                  </m:sub>
                </m:sSub>
                <m:r>
                  <m:t>,</m:t>
                </m:r>
                <m:sSub>
                  <m:e>
                    <m:r>
                      <m:t>x</m:t>
                    </m:r>
                  </m:e>
                  <m:sub>
                    <m:r>
                      <m:t>t</m:t>
                    </m:r>
                  </m:sub>
                </m:sSub>
                <m:r>
                  <m:t>]</m:t>
                </m:r>
                <m:r>
                  <m:t>+</m:t>
                </m:r>
                <m:sSub>
                  <m:e>
                    <m:r>
                      <m:t>b</m:t>
                    </m:r>
                  </m:e>
                  <m:sub>
                    <m:r>
                      <m:t>i</m:t>
                    </m:r>
                  </m:sub>
                </m:sSub>
                <m:r>
                  <m:t>)</m:t>
                </m:r>
                <m:r>
                  <m:t>  </m:t>
                </m:r>
                <m:r>
                  <m:t>(</m:t>
                </m:r>
                <m:r>
                  <m:t>9</m:t>
                </m:r>
                <m:r>
                  <m:t>)</m:t>
                </m:r>
              </m:e>
            </m:mr>
            <m:mr>
              <m:e>
                <m:sSub>
                  <m:e>
                    <m:acc>
                      <m:accPr>
                        <m:chr m:val="̃"/>
                      </m:accPr>
                      <m:e>
                        <m:r>
                          <m:t>c</m:t>
                        </m:r>
                      </m:e>
                    </m:acc>
                  </m:e>
                  <m:sub>
                    <m:r>
                      <m:t>t</m:t>
                    </m:r>
                  </m:sub>
                </m:sSub>
              </m:e>
              <m:e>
                <m:r>
                  <m:t>=</m:t>
                </m:r>
                <m:r>
                  <m:rPr>
                    <m:nor/>
                    <m:sty m:val="p"/>
                  </m:rPr>
                  <m:t>tanh</m:t>
                </m:r>
                <m:r>
                  <m:t>(</m:t>
                </m:r>
                <m:sSub>
                  <m:e>
                    <m:r>
                      <m:t>W</m:t>
                    </m:r>
                  </m:e>
                  <m:sub>
                    <m:r>
                      <m:t>c</m:t>
                    </m:r>
                  </m:sub>
                </m:sSub>
                <m:r>
                  <m:t>[</m:t>
                </m:r>
                <m:sSub>
                  <m:e>
                    <m:r>
                      <m:t>h</m:t>
                    </m:r>
                  </m:e>
                  <m:sub>
                    <m:r>
                      <m:t>t</m:t>
                    </m:r>
                    <m:r>
                      <m:t>−</m:t>
                    </m:r>
                    <m:r>
                      <m:t>1</m:t>
                    </m:r>
                  </m:sub>
                </m:sSub>
                <m:r>
                  <m:t>,</m:t>
                </m:r>
                <m:sSub>
                  <m:e>
                    <m:r>
                      <m:t>x</m:t>
                    </m:r>
                  </m:e>
                  <m:sub>
                    <m:r>
                      <m:t>t</m:t>
                    </m:r>
                  </m:sub>
                </m:sSub>
                <m:r>
                  <m:t>]</m:t>
                </m:r>
                <m:r>
                  <m:t>+</m:t>
                </m:r>
                <m:sSub>
                  <m:e>
                    <m:r>
                      <m:t>b</m:t>
                    </m:r>
                  </m:e>
                  <m:sub>
                    <m:r>
                      <m:t>c</m:t>
                    </m:r>
                  </m:sub>
                </m:sSub>
                <m:r>
                  <m:t>)</m:t>
                </m:r>
                <m:r>
                  <m:t>  </m:t>
                </m:r>
                <m:r>
                  <m:t>(</m:t>
                </m:r>
                <m:r>
                  <m:t>10</m:t>
                </m:r>
                <m:r>
                  <m:t>)</m:t>
                </m:r>
              </m:e>
            </m:mr>
            <m:mr>
              <m:e>
                <m:sSub>
                  <m:e>
                    <m:r>
                      <m:t>c</m:t>
                    </m:r>
                  </m:e>
                  <m:sub>
                    <m:r>
                      <m:t>t</m:t>
                    </m:r>
                  </m:sub>
                </m:sSub>
              </m:e>
              <m:e>
                <m:r>
                  <m:t>=</m:t>
                </m:r>
                <m:sSub>
                  <m:e>
                    <m:r>
                      <m:t>f</m:t>
                    </m:r>
                  </m:e>
                  <m:sub>
                    <m:r>
                      <m:t>t</m:t>
                    </m:r>
                  </m:sub>
                </m:sSub>
                <m:r>
                  <m:t>⊙</m:t>
                </m:r>
                <m:sSub>
                  <m:e>
                    <m:r>
                      <m:t>c</m:t>
                    </m:r>
                  </m:e>
                  <m:sub>
                    <m:r>
                      <m:t>t</m:t>
                    </m:r>
                    <m:r>
                      <m:t>−</m:t>
                    </m:r>
                    <m:r>
                      <m:t>1</m:t>
                    </m:r>
                  </m:sub>
                </m:sSub>
                <m:r>
                  <m:t>+</m:t>
                </m:r>
                <m:sSub>
                  <m:e>
                    <m:r>
                      <m:t>i</m:t>
                    </m:r>
                  </m:e>
                  <m:sub>
                    <m:r>
                      <m:t>t</m:t>
                    </m:r>
                  </m:sub>
                </m:sSub>
                <m:r>
                  <m:t>⊙</m:t>
                </m:r>
                <m:sSub>
                  <m:e>
                    <m:acc>
                      <m:accPr>
                        <m:chr m:val="̃"/>
                      </m:accPr>
                      <m:e>
                        <m:r>
                          <m:t>c</m:t>
                        </m:r>
                      </m:e>
                    </m:acc>
                  </m:e>
                  <m:sub>
                    <m:r>
                      <m:t>t</m:t>
                    </m:r>
                  </m:sub>
                </m:sSub>
                <m:r>
                  <m:t>  </m:t>
                </m:r>
                <m:r>
                  <m:t>(</m:t>
                </m:r>
                <m:r>
                  <m:t>11</m:t>
                </m:r>
                <m:r>
                  <m:t>)</m:t>
                </m:r>
              </m:e>
            </m:mr>
            <m:mr>
              <m:e>
                <m:sSub>
                  <m:e>
                    <m:r>
                      <m:t>o</m:t>
                    </m:r>
                  </m:e>
                  <m:sub>
                    <m:r>
                      <m:t>t</m:t>
                    </m:r>
                  </m:sub>
                </m:sSub>
              </m:e>
              <m:e>
                <m:r>
                  <m:t>=</m:t>
                </m:r>
                <m:r>
                  <m:t>σ</m:t>
                </m:r>
                <m:r>
                  <m:t>(</m:t>
                </m:r>
                <m:sSub>
                  <m:e>
                    <m:r>
                      <m:t>W</m:t>
                    </m:r>
                  </m:e>
                  <m:sub>
                    <m:r>
                      <m:t>o</m:t>
                    </m:r>
                  </m:sub>
                </m:sSub>
                <m:r>
                  <m:t>[</m:t>
                </m:r>
                <m:sSub>
                  <m:e>
                    <m:r>
                      <m:t>h</m:t>
                    </m:r>
                  </m:e>
                  <m:sub>
                    <m:r>
                      <m:t>t</m:t>
                    </m:r>
                    <m:r>
                      <m:t>−</m:t>
                    </m:r>
                    <m:r>
                      <m:t>1</m:t>
                    </m:r>
                  </m:sub>
                </m:sSub>
                <m:r>
                  <m:t>,</m:t>
                </m:r>
                <m:sSub>
                  <m:e>
                    <m:r>
                      <m:t>x</m:t>
                    </m:r>
                  </m:e>
                  <m:sub>
                    <m:r>
                      <m:t>t</m:t>
                    </m:r>
                  </m:sub>
                </m:sSub>
                <m:r>
                  <m:t>]</m:t>
                </m:r>
                <m:r>
                  <m:t>+</m:t>
                </m:r>
                <m:sSub>
                  <m:e>
                    <m:r>
                      <m:t>b</m:t>
                    </m:r>
                  </m:e>
                  <m:sub>
                    <m:r>
                      <m:t>o</m:t>
                    </m:r>
                  </m:sub>
                </m:sSub>
                <m:r>
                  <m:t>)</m:t>
                </m:r>
                <m:r>
                  <m:t>  </m:t>
                </m:r>
                <m:r>
                  <m:t>(</m:t>
                </m:r>
                <m:r>
                  <m:t>12</m:t>
                </m:r>
                <m:r>
                  <m:t>)</m:t>
                </m:r>
              </m:e>
            </m:mr>
            <m:mr>
              <m:e>
                <m:sSub>
                  <m:e>
                    <m:r>
                      <m:t>h</m:t>
                    </m:r>
                  </m:e>
                  <m:sub>
                    <m:r>
                      <m:t>t</m:t>
                    </m:r>
                  </m:sub>
                </m:sSub>
              </m:e>
              <m:e>
                <m:r>
                  <m:t>=</m:t>
                </m:r>
                <m:sSub>
                  <m:e>
                    <m:r>
                      <m:t>o</m:t>
                    </m:r>
                  </m:e>
                  <m:sub>
                    <m:r>
                      <m:t>t</m:t>
                    </m:r>
                  </m:sub>
                </m:sSub>
                <m:r>
                  <m:t>⊙</m:t>
                </m:r>
                <m:r>
                  <m:rPr>
                    <m:nor/>
                    <m:sty m:val="p"/>
                  </m:rPr>
                  <m:t>tanh</m:t>
                </m:r>
                <m:r>
                  <m:t>(</m:t>
                </m:r>
                <m:sSub>
                  <m:e>
                    <m:r>
                      <m:t>c</m:t>
                    </m:r>
                  </m:e>
                  <m:sub>
                    <m:r>
                      <m:t>t</m:t>
                    </m:r>
                  </m:sub>
                </m:sSub>
                <m:r>
                  <m:t>)</m:t>
                </m:r>
                <m:r>
                  <m:t>  </m:t>
                </m:r>
                <m:r>
                  <m:t>(</m:t>
                </m:r>
                <m:r>
                  <m:t>13</m:t>
                </m:r>
                <m:r>
                  <m:t>)</m:t>
                </m:r>
              </m:e>
            </m:mr>
          </m:m>
        </m:oMath>
      </m:oMathPara>
    </w:p>
    <w:p>
      <w:pPr/>
      <w:r>
        <w:t xml:space="preserve">여기서</w:t>
      </w:r>
      <w:r>
        <w:t xml:space="preserve"> </w:t>
      </w:r>
      <m:oMath>
        <m:sSub>
          <m:e>
            <m:r>
              <m:t>f</m:t>
            </m:r>
          </m:e>
          <m:sub>
            <m:r>
              <m:t>t</m:t>
            </m:r>
          </m:sub>
        </m:sSub>
      </m:oMath>
      <w:r>
        <w:t xml:space="preserve">,</w:t>
      </w:r>
      <w:r>
        <w:t xml:space="preserve"> </w:t>
      </w:r>
      <m:oMath>
        <m:sSub>
          <m:e>
            <m:r>
              <m:t>i</m:t>
            </m:r>
          </m:e>
          <m:sub>
            <m:r>
              <m:t>t</m:t>
            </m:r>
          </m:sub>
        </m:sSub>
      </m:oMath>
      <w:r>
        <w:t xml:space="preserve">,</w:t>
      </w:r>
      <w:r>
        <w:t xml:space="preserve"> </w:t>
      </w:r>
      <m:oMath>
        <m:sSub>
          <m:e>
            <m:r>
              <m:t>o</m:t>
            </m:r>
          </m:e>
          <m:sub>
            <m:r>
              <m:t>t</m:t>
            </m:r>
          </m:sub>
        </m:sSub>
      </m:oMath>
      <w:r>
        <w:t xml:space="preserve">는 각각 망각·입력·출력 게이트,</w:t>
      </w:r>
      <w:r>
        <w:t xml:space="preserve"> </w:t>
      </w:r>
      <m:oMath>
        <m:sSub>
          <m:e>
            <m:acc>
              <m:accPr>
                <m:chr m:val="̃"/>
              </m:accPr>
              <m:e>
                <m:r>
                  <m:t>c</m:t>
                </m:r>
              </m:e>
            </m:acc>
          </m:e>
          <m:sub>
            <m:r>
              <m:t>t</m:t>
            </m:r>
          </m:sub>
        </m:sSub>
      </m:oMath>
      <w:r>
        <w:t xml:space="preserve">는 후보 기억 상태를 나타낸다.</w:t>
      </w:r>
      <w:r>
        <w:t xml:space="preserve"> </w:t>
      </w:r>
      <m:oMath>
        <m:r>
          <m:t>σ</m:t>
        </m:r>
        <m:r>
          <m:t>(</m:t>
        </m:r>
        <m:r>
          <m:t>⋅</m:t>
        </m:r>
        <m:r>
          <m:t>)</m:t>
        </m:r>
      </m:oMath>
      <w:r>
        <w:t xml:space="preserve">은 시그모이드 활성화 함수,</w:t>
      </w:r>
      <w:r>
        <w:t xml:space="preserve"> </w:t>
      </w:r>
      <m:oMath>
        <m:r>
          <m:rPr>
            <m:nor/>
            <m:sty m:val="p"/>
          </m:rPr>
          <m:t>tanh</m:t>
        </m:r>
        <m:r>
          <m:t>(</m:t>
        </m:r>
        <m:r>
          <m:t>⋅</m:t>
        </m:r>
        <m:r>
          <m:t>)</m:t>
        </m:r>
      </m:oMath>
      <w:r>
        <w:t xml:space="preserve">는 하이퍼볼릭 탄젠트 활성화 함수,</w:t>
      </w:r>
      <w:r>
        <w:t xml:space="preserve"> </w:t>
      </w:r>
      <m:oMath>
        <m:r>
          <m:t>⊙</m:t>
        </m:r>
      </m:oMath>
      <w:r>
        <w:t xml:space="preserve"> </w:t>
      </w:r>
      <w:r>
        <w:t xml:space="preserve">은 원소별 곱(Hadamard product)이다. 또한</w:t>
      </w:r>
      <w:r>
        <w:t xml:space="preserve"> </w:t>
      </w:r>
      <m:oMath>
        <m:r>
          <m:t>W</m:t>
        </m:r>
      </m:oMath>
      <w:r>
        <w:t xml:space="preserve">와</w:t>
      </w:r>
      <w:r>
        <w:t xml:space="preserve"> </w:t>
      </w:r>
      <m:oMath>
        <m:r>
          <m:t>b</m:t>
        </m:r>
      </m:oMath>
      <w:r>
        <w:t xml:space="preserve">는 각 구성 요소의 가중치 행렬과 편향 벡터를 나타내며,</w:t>
      </w:r>
      <w:r>
        <w:t xml:space="preserve"> </w:t>
      </w:r>
      <m:oMath>
        <m:r>
          <m:t>[</m:t>
        </m:r>
        <m:sSub>
          <m:e>
            <m:r>
              <m:t>h</m:t>
            </m:r>
          </m:e>
          <m:sub>
            <m:r>
              <m:t>t</m:t>
            </m:r>
            <m:r>
              <m:t>−</m:t>
            </m:r>
            <m:r>
              <m:t>1</m:t>
            </m:r>
          </m:sub>
        </m:sSub>
        <m:r>
          <m:t>,</m:t>
        </m:r>
        <m:sSub>
          <m:e>
            <m:r>
              <m:t>x</m:t>
            </m:r>
          </m:e>
          <m:sub>
            <m:r>
              <m:t>t</m:t>
            </m:r>
          </m:sub>
        </m:sSub>
        <m:r>
          <m:t>]</m:t>
        </m:r>
      </m:oMath>
      <w:r>
        <w:t xml:space="preserve">는 은닉 상태와 입력 벡터의 결합(concatenation)을 의미한다. 식 (11)의 망각 게이트</w:t>
      </w:r>
      <w:r>
        <w:t xml:space="preserve"> </w:t>
      </w:r>
      <m:oMath>
        <m:sSub>
          <m:e>
            <m:r>
              <m:t>f</m:t>
            </m:r>
          </m:e>
          <m:sub>
            <m:r>
              <m:t>t</m:t>
            </m:r>
          </m:sub>
        </m:sSub>
      </m:oMath>
      <w:r>
        <w:t xml:space="preserve">가 1에 가까울 때 과거 셀 상태가 보존되고 0에 가까울 때 폐기되어, 시계열 장기 의존 구조를 선택적으로 보존하거나 제거할 수 있다.</w:t>
      </w:r>
    </w:p>
    <w:p>
      <w:pPr/>
      <w:r>
        <w:t xml:space="preserve">LSTM은 자연어 처리, 음성 인식 등 시퀀스 학습 문제에서 폭넓게 활용되어 왔으며, 금융 변동성 예측에 적용한 연구들도 다수 보고되었다(Bucci, 2020; Kim &amp; Won, 2018). 해당 연구들은 LSTM이 변동성 시계열의 비선형 구조를 학습하여 예측에 유의미하게 활용될 수 있음을 보였다.</w:t>
      </w:r>
    </w:p>
    <w:p>
      <w:pPr>
        <w:pStyle w:val="3"/>
      </w:pPr>
      <w:bookmarkStart w:id="28" w:name="subsubsec:ens_review"/>
      <w:r>
        <w:t xml:space="preserve">예측 앙상블</w:t>
      </w:r>
      <w:bookmarkEnd w:id="28"/>
    </w:p>
    <w:p>
      <w:pPr/>
      <w:r>
        <w:t xml:space="preserve">각 모형의 예측 결과를 결합하여 단일 모형 대비 오차를 줄이고자 하는 예측 결합(forecast combination, 이하 앙상블)은 Bates and Granger (1969) 이래로 활발히 연구되어 왔다. 두 예측의 가중 평균이 개별 예측보다 작은 평균제곱오차(Mean Squared Error, MSE)를 갖기 위한 이론적 조건을 분석한 이 연구는, 두 예측 오차 간의 상관관계가 낮을수록 결합을 통한 분산 감소 효과가 커진다는 점을 확인하였다.</w:t>
      </w:r>
    </w:p>
    <w:p>
      <w:pPr/>
      <w:r>
        <w:t xml:space="preserve">이후의 연구는 Bates and Granger (1969)이 제안한 역분산 가중을 다양한 오차 척도로 확장한 변형들을 발전시켜 왔으며([timmermann2006forecast? — bib 누락]), 본 연구에서 채택하는 성과 가중(performance-weighted) 결합 방식 역시 이러한 발전 형태 중 하나이다. 구체적으로 각 모형의 과거 예측 오차에 반비례하도록 가중치를 부여하는 적응적 특성을 지닌다.</w:t>
      </w:r>
    </w:p>
    <w:p>
      <w:pPr/>
      <m:oMathPara>
        <m:oMathParaPr>
          <m:jc m:val="center"/>
        </m:oMathParaPr>
        <m:oMath>
          <m:sSub>
            <m:e>
              <m:r>
                <m:t>w</m:t>
              </m:r>
            </m:e>
            <m:sub>
              <m:r>
                <m:t>i</m:t>
              </m:r>
            </m:sub>
          </m:sSub>
          <m:r>
            <m:t>=</m:t>
          </m:r>
          <m:f>
            <m:fPr>
              <m:type m:val="bar"/>
            </m:fPr>
            <m:num>
              <m:r>
                <m:t>1</m:t>
              </m:r>
              <m:r>
                <m:t>/</m:t>
              </m:r>
              <m:sSub>
                <m:e>
                  <m:r>
                    <m:t>e</m:t>
                  </m:r>
                </m:e>
                <m:sub>
                  <m:r>
                    <m:t>i</m:t>
                  </m:r>
                </m:sub>
              </m:sSub>
            </m:num>
            <m:den>
              <m:nary>
                <m:naryPr>
                  <m:chr m:val="∑"/>
                  <m:limLoc m:val="undOvr"/>
                  <m:subHide m:val="0"/>
                  <m:supHide m:val="0"/>
                </m:naryPr>
                <m:sub>
                  <m:r>
                    <m:t>j</m:t>
                  </m:r>
                  <m:r>
                    <m:t>=</m:t>
                  </m:r>
                  <m:r>
                    <m:t>1</m:t>
                  </m:r>
                </m:sub>
                <m:sup>
                  <m:r>
                    <m:t>M</m:t>
                  </m:r>
                </m:sup>
                <m:e>
                  <m:r>
                    <m:t>1</m:t>
                  </m:r>
                </m:e>
              </m:nary>
              <m:r>
                <m:t>/</m:t>
              </m:r>
              <m:sSub>
                <m:e>
                  <m:r>
                    <m:t>e</m:t>
                  </m:r>
                </m:e>
                <m:sub>
                  <m:r>
                    <m:t>j</m:t>
                  </m:r>
                </m:sub>
              </m:sSub>
            </m:den>
          </m:f>
          <m:r>
            <m:t>  </m:t>
          </m:r>
          <m:r>
            <m:t>(</m:t>
          </m:r>
          <m:r>
            <m:t>14</m:t>
          </m:r>
          <m:r>
            <m:t>)</m:t>
          </m:r>
        </m:oMath>
      </m:oMathPara>
    </w:p>
    <w:p>
      <w:pPr/>
      <w:r>
        <w:t xml:space="preserve">여기서</w:t>
      </w:r>
      <w:r>
        <w:t xml:space="preserve"> </w:t>
      </w:r>
      <m:oMath>
        <m:sSub>
          <m:e>
            <m:r>
              <m:t>e</m:t>
            </m:r>
          </m:e>
          <m:sub>
            <m:r>
              <m:t>i</m:t>
            </m:r>
          </m:sub>
        </m:sSub>
      </m:oMath>
      <w:r>
        <w:t xml:space="preserve">는 모형</w:t>
      </w:r>
      <w:r>
        <w:t xml:space="preserve"> </w:t>
      </w:r>
      <m:oMath>
        <m:r>
          <m:t>i</m:t>
        </m:r>
      </m:oMath>
      <w:r>
        <w:t xml:space="preserve">의 과거 예측 오차(MSE 등)이며,</w:t>
      </w:r>
      <w:r>
        <w:t xml:space="preserve"> </w:t>
      </w:r>
      <m:oMath>
        <m:r>
          <m:t>M</m:t>
        </m:r>
      </m:oMath>
      <w:r>
        <w:t xml:space="preserve">은 결합 대상이 되는 총 모형의 개수이다. 이러한 가중치 구조는 시장 국면 변화에 따라 상대적으로 우수한 성능을 보인 모형의 비중이 자동으로 조정되는 적응적 특성을 가진다.</w:t>
      </w:r>
    </w:p>
    <w:p>
      <w:pPr/>
      <w:r>
        <w:t xml:space="preserve">본 연구에서 결합하는 HAR 모형과 LSTM 모형은 서로 다른 이론적 가정에 기반하고 있다. HAR 모형은 변동성을 단·중·장기 변동성 대리변수의 선형 회귀로 모형화하는 반면, LSTM은 선형성 가정 없이 데이터로부터 비선형 의존 구조를 직접 학습한다. 이처럼 매커니즘이 다른 두 모형은 서로 다른 시장 국면에서 오차를 발생시킬 가능성이 크며, 따라서 두 모형의 앙상블을 통해 단일 모형 대비 더욱 안정적이고 강건한(robust) 예측 성능을 기대할 수 있다.</w:t>
      </w:r>
    </w:p>
    <w:p>
      <w:pPr>
        <w:pStyle w:val="3"/>
      </w:pPr>
      <w:bookmarkStart w:id="29" w:name="subsubsec:walk_forward_review"/>
      <w:r>
        <w:t xml:space="preserve">Walk-Forward 교차 검증</w:t>
      </w:r>
      <w:bookmarkEnd w:id="29"/>
    </w:p>
    <w:p>
      <w:pPr/>
      <w:r>
        <w:t xml:space="preserve">머신러닝 모형의 성능 평가에서 일반적으로 사용되는 무작위</w:t>
      </w:r>
      <w:r>
        <w:t xml:space="preserve"> </w:t>
      </w:r>
      <m:oMath>
        <m:r>
          <m:t>k</m:t>
        </m:r>
      </m:oMath>
      <w:r>
        <w:t xml:space="preserve">-fold 교차검증은 시계열 데이터에 적용할 경우 미래 정보가 학습 구간에 노출되는 미래 참조 편향(look-ahead bias) 문제를 발생시킨다. 이는 모형이 실제 운영 환경에서는 알 수 없는 정보를 학습에 반영하게 함으로써, 평가 구간(Out-of-Sample, OOS) 성능을 과대 평가하는 결과로 이어진다.</w:t>
      </w:r>
    </w:p>
    <w:p>
      <w:pPr/>
      <w:r>
        <w:t xml:space="preserve">이러한 한계를 극복하기 위해 금융 시계열 예측에서는 학습 구간(In-Sample, IS)과 평가 구간(OOS)을 시간 순서대로 분리하고, 시점을 일정 간격으로 전진시키며 반복 평가하는 Walk-Forward 교차 검증 방식이 활용되어 왔다. 그러나 종속변수가 미래 구간으로 정의되는 경우(본 연구의 경우 향후 21 영업일 수익률 표준편차), IS의 마지막 시점이 포함하는 예측 타깃(forward target)이 OOS 구간의 예측 변수와 시간적으로 중첩되어 잔여 정보가 누설되는 문제(data leakage)가 발생하게 된다.</w:t>
      </w:r>
    </w:p>
    <w:p>
      <w:pPr/>
      <w:r>
        <w:t xml:space="preserve">López de Prado (2018)은 이와 같은 잔여 정보 누설을 차단하기 위해 퍼징(Purging)과 엠바고(Embargo) 절차를 결합한 확장된 Walk-Forward 구조를 제안하였다. 퍼징은 IS 종료 직후 타깃 윈도우가 OOS와 겹치는 일정 구간의 표본을 학습에서 배제함으로써 타깃의 시간적 중첩으로 인한 왜곡을 제거하고, 엠바고는 OOS 시작 지점 직전에 추가 안전구간(embargo window)을 두어 시계열 종속변수의 자기상관(autocorrelation)이 충분히 감쇠한 이후에 OOS 평가를 시작하도록 통제한다.</w:t>
      </w:r>
    </w:p>
    <w:p>
      <w:pPr>
        <w:pStyle w:val="2"/>
      </w:pPr>
      <w:bookmarkStart w:id="30" w:name="subsec:bl_vol_review"/>
      <w:r>
        <w:t xml:space="preserve">블랙-리터만과 변동성 예측의 결합</w:t>
      </w:r>
      <w:bookmarkEnd w:id="30"/>
    </w:p>
    <w:p>
      <w:pPr/>
      <w:r>
        <w:t xml:space="preserve">변동성 예측 결과를 BL의 뷰로 활용하는 시도는 머신러닝 기반 수익률 예측 연구에 비해 상대적으로 미진한 편이었다. Pyo and Lee (2018)는 변동성 예측을 BL 뷰로 직접 활용한 선행 연구이며, 본 연구의 출발점에 해당한다. 해당 선행 연구는 (i) 종목별 변동성 예측, (ii) 예측 결과를 활용한 BL 뷰로 결합, (iii) 결합된 사후 기대수익률에 기반한 포트폴리오 비중 최적화의 세 단계로 전개된다.</w:t>
      </w:r>
    </w:p>
    <w:p>
      <w:pPr/>
      <w:r>
        <w:t xml:space="preserve">Pyo and Lee (2018)는 KOSPI 200 종목 각각에 대해 직전 10개월의 월별 변동성을 입력 변수로 활용하여 익월 변동성을 예측한다. 변동성 예측 모형으로 ANN, 가우시안 프로세스 회귀(Gaussian Process Regression, GPR), 서포트 벡터 회귀(Support Vector Regression, SVR), 그리고 GARCH 모형을 비교·평가하였으며, 예측 편차 측면에서 가장 안정적인 성능을 보인 ANN을 최종 예측 모형으로 채택하였다.</w:t>
      </w:r>
    </w:p>
    <w:p>
      <w:pPr/>
      <w:r>
        <w:t xml:space="preserve">변동성 예측 결과를 기반으로 종목을 저변동(변동성 하위 30%)·고변동(변동성 상위 30%) 두 그룹으로 분류한 후, 투자 뷰 벡터</w:t>
      </w:r>
      <w:r>
        <w:t xml:space="preserve"> </w:t>
      </w:r>
      <m:oMath>
        <m:r>
          <m:rPr>
            <m:sty m:val="b"/>
          </m:rPr>
          <m:t>p</m:t>
        </m:r>
      </m:oMath>
      <w:r>
        <w:t xml:space="preserve">의 개별 요소</w:t>
      </w:r>
      <w:r>
        <w:t xml:space="preserve"> </w:t>
      </w:r>
      <m:oMath>
        <m:sSubSup>
          <m:e>
            <m:r>
              <m:t>p</m:t>
            </m:r>
          </m:e>
          <m:sub>
            <m:r>
              <m:t>i</m:t>
            </m:r>
          </m:sub>
          <m:sup>
            <m:r>
              <m:t>m</m:t>
            </m:r>
            <m:r>
              <m:t>c</m:t>
            </m:r>
            <m:r>
              <m:t>a</m:t>
            </m:r>
            <m:r>
              <m:t>p</m:t>
            </m:r>
          </m:sup>
        </m:sSubSup>
      </m:oMath>
      <w:r>
        <w:t xml:space="preserve">은 다음과 같이 매수-매도(long-short) 형태로 구성된다.</w:t>
      </w:r>
    </w:p>
    <w:p>
      <w:pPr/>
      <m:oMathPara>
        <m:oMathParaPr>
          <m:jc m:val="center"/>
        </m:oMathParaPr>
        <m:oMath>
          <m:sSubSup>
            <m:e>
              <m:r>
                <m:t>p</m:t>
              </m:r>
            </m:e>
            <m:sub>
              <m:r>
                <m:t>i</m:t>
              </m:r>
            </m:sub>
            <m:sup>
              <m:r>
                <m:t>m</m:t>
              </m:r>
              <m:r>
                <m:t>c</m:t>
              </m:r>
              <m:r>
                <m:t>a</m:t>
              </m:r>
              <m:r>
                <m:t>p</m:t>
              </m:r>
            </m:sup>
          </m:sSubSup>
          <m:r>
            <m:t>=</m:t>
          </m:r>
          <m:d>
            <m:dPr>
              <m:begChr m:val="{"/>
              <m:endChr m:val=""/>
              <m:grow/>
            </m:dPr>
            <m:e>
              <m:m>
                <m:mPr>
                  <m:baseJc m:val="center"/>
                  <m:plcHide m:val="1"/>
                  <m:mcs>
                    <m:mc>
                      <m:mcPr>
                        <m:mcJc m:val="left"/>
                        <m:count m:val="1"/>
                      </m:mcPr>
                    </m:mc>
                    <m:mc>
                      <m:mcPr>
                        <m:mcJc m:val="left"/>
                        <m:count m:val="1"/>
                      </m:mcPr>
                    </m:mc>
                  </m:mcs>
                </m:mPr>
                <m:mr>
                  <m:e>
                    <m:r>
                      <m:t>+</m:t>
                    </m:r>
                    <m:f>
                      <m:fPr>
                        <m:type m:val="bar"/>
                      </m:fPr>
                      <m:num>
                        <m:sSub>
                          <m:e>
                            <m:r>
                              <m:rPr>
                                <m:sty m:val="p"/>
                              </m:rPr>
                              <m:t>m</m:t>
                            </m:r>
                            <m:r>
                              <m:rPr>
                                <m:sty m:val="p"/>
                              </m:rPr>
                              <m:t>c</m:t>
                            </m:r>
                            <m:r>
                              <m:rPr>
                                <m:sty m:val="p"/>
                              </m:rPr>
                              <m:t>a</m:t>
                            </m:r>
                            <m:r>
                              <m:rPr>
                                <m:sty m:val="p"/>
                              </m:rPr>
                              <m:t>p</m:t>
                            </m:r>
                          </m:e>
                          <m:sub>
                            <m:r>
                              <m:t>i</m:t>
                            </m:r>
                          </m:sub>
                        </m:sSub>
                      </m:num>
                      <m:den>
                        <m:nary>
                          <m:naryPr>
                            <m:chr m:val="∑"/>
                            <m:limLoc m:val="undOvr"/>
                            <m:subHide m:val="0"/>
                            <m:supHide m:val="1"/>
                          </m:naryPr>
                          <m:sub>
                            <m:r>
                              <m:t>j</m:t>
                            </m:r>
                            <m:r>
                              <m:t>∈</m:t>
                            </m:r>
                            <m:r>
                              <m:rPr>
                                <m:sty m:val="p"/>
                                <m:scr m:val="script"/>
                              </m:rPr>
                              <m:t>L</m:t>
                            </m:r>
                          </m:sub>
                          <m:sup>
                            <m:r>
                              <m:t>​</m:t>
                            </m:r>
                          </m:sup>
                          <m:e>
                            <m:sSub>
                              <m:e>
                                <m:r>
                                  <m:rPr>
                                    <m:sty m:val="p"/>
                                  </m:rPr>
                                  <m:t>m</m:t>
                                </m:r>
                                <m:r>
                                  <m:rPr>
                                    <m:sty m:val="p"/>
                                  </m:rPr>
                                  <m:t>c</m:t>
                                </m:r>
                                <m:r>
                                  <m:rPr>
                                    <m:sty m:val="p"/>
                                  </m:rPr>
                                  <m:t>a</m:t>
                                </m:r>
                                <m:r>
                                  <m:rPr>
                                    <m:sty m:val="p"/>
                                  </m:rPr>
                                  <m:t>p</m:t>
                                </m:r>
                              </m:e>
                              <m:sub>
                                <m:r>
                                  <m:t>j</m:t>
                                </m:r>
                              </m:sub>
                            </m:sSub>
                          </m:e>
                        </m:nary>
                      </m:den>
                    </m:f>
                    <m:r>
                      <m:t>,</m:t>
                    </m:r>
                  </m:e>
                  <m:e>
                    <m:r>
                      <m:rPr>
                        <m:nor/>
                        <m:sty m:val="p"/>
                      </m:rPr>
                      <m:t>종목 </m:t>
                    </m:r>
                    <m:r>
                      <m:t>i</m:t>
                    </m:r>
                    <m:r>
                      <m:t>∈</m:t>
                    </m:r>
                    <m:r>
                      <m:rPr>
                        <m:sty m:val="p"/>
                        <m:scr m:val="script"/>
                      </m:rPr>
                      <m:t>L</m:t>
                    </m:r>
                    <m:r>
                      <m:rPr>
                        <m:nor/>
                        <m:sty m:val="p"/>
                      </m:rPr>
                      <m:t> (저변동 그룹, 하위 30%)</m:t>
                    </m:r>
                    <m:r>
                      <m:t>,</m:t>
                    </m:r>
                  </m:e>
                </m:mr>
                <m:mr>
                  <m:e>
                    <m:r>
                      <m:t>−</m:t>
                    </m:r>
                    <m:f>
                      <m:fPr>
                        <m:type m:val="bar"/>
                      </m:fPr>
                      <m:num>
                        <m:sSub>
                          <m:e>
                            <m:r>
                              <m:rPr>
                                <m:sty m:val="p"/>
                              </m:rPr>
                              <m:t>m</m:t>
                            </m:r>
                            <m:r>
                              <m:rPr>
                                <m:sty m:val="p"/>
                              </m:rPr>
                              <m:t>c</m:t>
                            </m:r>
                            <m:r>
                              <m:rPr>
                                <m:sty m:val="p"/>
                              </m:rPr>
                              <m:t>a</m:t>
                            </m:r>
                            <m:r>
                              <m:rPr>
                                <m:sty m:val="p"/>
                              </m:rPr>
                              <m:t>p</m:t>
                            </m:r>
                          </m:e>
                          <m:sub>
                            <m:r>
                              <m:t>i</m:t>
                            </m:r>
                          </m:sub>
                        </m:sSub>
                      </m:num>
                      <m:den>
                        <m:nary>
                          <m:naryPr>
                            <m:chr m:val="∑"/>
                            <m:limLoc m:val="undOvr"/>
                            <m:subHide m:val="0"/>
                            <m:supHide m:val="1"/>
                          </m:naryPr>
                          <m:sub>
                            <m:r>
                              <m:t>j</m:t>
                            </m:r>
                            <m:r>
                              <m:t>∈</m:t>
                            </m:r>
                            <m:r>
                              <m:rPr>
                                <m:sty m:val="p"/>
                                <m:scr m:val="script"/>
                              </m:rPr>
                              <m:t>H</m:t>
                            </m:r>
                          </m:sub>
                          <m:sup>
                            <m:r>
                              <m:t>​</m:t>
                            </m:r>
                          </m:sup>
                          <m:e>
                            <m:sSub>
                              <m:e>
                                <m:r>
                                  <m:rPr>
                                    <m:sty m:val="p"/>
                                  </m:rPr>
                                  <m:t>m</m:t>
                                </m:r>
                                <m:r>
                                  <m:rPr>
                                    <m:sty m:val="p"/>
                                  </m:rPr>
                                  <m:t>c</m:t>
                                </m:r>
                                <m:r>
                                  <m:rPr>
                                    <m:sty m:val="p"/>
                                  </m:rPr>
                                  <m:t>a</m:t>
                                </m:r>
                                <m:r>
                                  <m:rPr>
                                    <m:sty m:val="p"/>
                                  </m:rPr>
                                  <m:t>p</m:t>
                                </m:r>
                              </m:e>
                              <m:sub>
                                <m:r>
                                  <m:t>j</m:t>
                                </m:r>
                              </m:sub>
                            </m:sSub>
                          </m:e>
                        </m:nary>
                      </m:den>
                    </m:f>
                    <m:r>
                      <m:t>,</m:t>
                    </m:r>
                  </m:e>
                  <m:e>
                    <m:r>
                      <m:rPr>
                        <m:nor/>
                        <m:sty m:val="p"/>
                      </m:rPr>
                      <m:t>종목 </m:t>
                    </m:r>
                    <m:r>
                      <m:t>i</m:t>
                    </m:r>
                    <m:r>
                      <m:t>∈</m:t>
                    </m:r>
                    <m:r>
                      <m:rPr>
                        <m:sty m:val="p"/>
                        <m:scr m:val="script"/>
                      </m:rPr>
                      <m:t>H</m:t>
                    </m:r>
                    <m:r>
                      <m:rPr>
                        <m:nor/>
                        <m:sty m:val="p"/>
                      </m:rPr>
                      <m:t> (고변동 그룹, 상위 30%)</m:t>
                    </m:r>
                    <m:r>
                      <m:t>,</m:t>
                    </m:r>
                  </m:e>
                </m:mr>
                <m:mr>
                  <m:e>
                    <m:phant>
                      <m:phantPr>
                        <m:show m:val="0"/>
                      </m:phantPr>
                      <m:e>
                        <m:r>
                          <m:t>+</m:t>
                        </m:r>
                      </m:e>
                    </m:phant>
                    <m:r>
                      <m:t>0</m:t>
                    </m:r>
                    <m:r>
                      <m:t>,</m:t>
                    </m:r>
                  </m:e>
                  <m:e>
                    <m:r>
                      <m:rPr>
                        <m:nor/>
                        <m:sty m:val="p"/>
                      </m:rPr>
                      <m:t>otherwise</m:t>
                    </m:r>
                    <m:r>
                      <m:t>.</m:t>
                    </m:r>
                  </m:e>
                </m:mr>
              </m:m>
            </m:e>
          </m:d>
          <m:r>
            <m:t>  </m:t>
          </m:r>
          <m:r>
            <m:t>(</m:t>
          </m:r>
          <m:r>
            <m:t>15</m:t>
          </m:r>
          <m:r>
            <m:t>)</m:t>
          </m:r>
        </m:oMath>
      </m:oMathPara>
    </w:p>
    <w:p>
      <w:pPr/>
      <w:r>
        <w:t xml:space="preserve">여기서</w:t>
      </w:r>
      <w:r>
        <w:t xml:space="preserve"> </w:t>
      </w:r>
      <m:oMath>
        <m:sSub>
          <m:e>
            <m:r>
              <m:rPr>
                <m:sty m:val="p"/>
              </m:rPr>
              <m:t>m</m:t>
            </m:r>
            <m:r>
              <m:rPr>
                <m:sty m:val="p"/>
              </m:rPr>
              <m:t>c</m:t>
            </m:r>
            <m:r>
              <m:rPr>
                <m:sty m:val="p"/>
              </m:rPr>
              <m:t>a</m:t>
            </m:r>
            <m:r>
              <m:rPr>
                <m:sty m:val="p"/>
              </m:rPr>
              <m:t>p</m:t>
            </m:r>
          </m:e>
          <m:sub>
            <m:r>
              <m:t>i</m:t>
            </m:r>
          </m:sub>
        </m:sSub>
      </m:oMath>
      <w:r>
        <w:t xml:space="preserve">는 종목</w:t>
      </w:r>
      <w:r>
        <w:t xml:space="preserve"> </w:t>
      </w:r>
      <m:oMath>
        <m:r>
          <m:t>i</m:t>
        </m:r>
      </m:oMath>
      <w:r>
        <w:t xml:space="preserve">의 시가총액이며, 각 그룹 내 시가총액 합계로 정규화하여 롱(Long) 측 합은</w:t>
      </w:r>
      <w:r>
        <w:t xml:space="preserve"> </w:t>
      </w:r>
      <m:oMath>
        <m:r>
          <m:t>+</m:t>
        </m:r>
        <m:r>
          <m:t>1</m:t>
        </m:r>
      </m:oMath>
      <w:r>
        <w:t xml:space="preserve">, 숏(Short) 측 합은</w:t>
      </w:r>
      <w:r>
        <w:t xml:space="preserve"> </w:t>
      </w:r>
      <m:oMath>
        <m:r>
          <m:t>−</m:t>
        </m:r>
        <m:r>
          <m:t>1</m:t>
        </m:r>
      </m:oMath>
      <w:r>
        <w:t xml:space="preserve">이 되는 자기자금조달(self-financing) 구조를 충족한다. 기대수익률 뷰</w:t>
      </w:r>
      <w:r>
        <w:t xml:space="preserve"> </w:t>
      </w:r>
      <m:oMath>
        <m:r>
          <m:t>q</m:t>
        </m:r>
      </m:oMath>
      <w:r>
        <w:t xml:space="preserve">는 Fama-French 3팩터 모형(FF3, (Fama &amp; French, 1993))의 회귀 추정치와</w:t>
      </w:r>
      <w:r>
        <w:t xml:space="preserve"> </w:t>
      </w:r>
      <m:oMath>
        <m:r>
          <m:rPr>
            <m:sty m:val="b"/>
          </m:rPr>
          <m:t>p</m:t>
        </m:r>
      </m:oMath>
      <w:r>
        <w:t xml:space="preserve">의 결합으로 산출된다.</w:t>
      </w:r>
    </w:p>
    <w:p>
      <w:pPr/>
      <m:oMathPara>
        <m:oMathParaPr>
          <m:jc m:val="center"/>
        </m:oMathParaPr>
        <m:oMath>
          <m:m>
            <m:mPr>
              <m:baseJc m:val="center"/>
              <m:plcHide m:val="1"/>
              <m:mcs>
                <m:mc>
                  <m:mcPr>
                    <m:mcJc m:val="right"/>
                    <m:count m:val="1"/>
                  </m:mcPr>
                </m:mc>
                <m:mc>
                  <m:mcPr>
                    <m:mcJc m:val="left"/>
                    <m:count m:val="1"/>
                  </m:mcPr>
                </m:mc>
              </m:mcs>
            </m:mPr>
            <m:mr>
              <m:e>
                <m:sSub>
                  <m:e>
                    <m:acc>
                      <m:accPr>
                        <m:chr m:val="̂"/>
                      </m:accPr>
                      <m:e>
                        <m:r>
                          <m:t>r</m:t>
                        </m:r>
                      </m:e>
                    </m:acc>
                  </m:e>
                  <m:sub>
                    <m:r>
                      <m:t>i</m:t>
                    </m:r>
                  </m:sub>
                </m:sSub>
              </m:e>
              <m:e>
                <m:r>
                  <m:t>=</m:t>
                </m:r>
                <m:r>
                  <m:t>α</m:t>
                </m:r>
                <m:r>
                  <m:t>+</m:t>
                </m:r>
                <m:sSub>
                  <m:e>
                    <m:r>
                      <m:t>β</m:t>
                    </m:r>
                  </m:e>
                  <m:sub>
                    <m:r>
                      <m:rPr>
                        <m:nor/>
                        <m:sty m:val="p"/>
                      </m:rPr>
                      <m:t>mkt</m:t>
                    </m:r>
                  </m:sub>
                </m:sSub>
                <m:r>
                  <m:t>(</m:t>
                </m:r>
                <m:sSub>
                  <m:e>
                    <m:r>
                      <m:t>r</m:t>
                    </m:r>
                  </m:e>
                  <m:sub>
                    <m:r>
                      <m:rPr>
                        <m:nor/>
                        <m:sty m:val="p"/>
                      </m:rPr>
                      <m:t>mkt</m:t>
                    </m:r>
                  </m:sub>
                </m:sSub>
                <m:r>
                  <m:t>−</m:t>
                </m:r>
                <m:sSub>
                  <m:e>
                    <m:r>
                      <m:t>r</m:t>
                    </m:r>
                  </m:e>
                  <m:sub>
                    <m:r>
                      <m:t>f</m:t>
                    </m:r>
                  </m:sub>
                </m:sSub>
                <m:r>
                  <m:t>)</m:t>
                </m:r>
                <m:r>
                  <m:t>+</m:t>
                </m:r>
                <m:sSub>
                  <m:e>
                    <m:r>
                      <m:t>β</m:t>
                    </m:r>
                  </m:e>
                  <m:sub>
                    <m:r>
                      <m:rPr>
                        <m:nor/>
                        <m:sty m:val="p"/>
                      </m:rPr>
                      <m:t>smb</m:t>
                    </m:r>
                  </m:sub>
                </m:sSub>
                <m:r>
                  <m:t>⋅</m:t>
                </m:r>
                <m:r>
                  <m:rPr>
                    <m:nor/>
                    <m:sty m:val="p"/>
                  </m:rPr>
                  <m:t>SMB</m:t>
                </m:r>
                <m:r>
                  <m:t>+</m:t>
                </m:r>
                <m:sSub>
                  <m:e>
                    <m:r>
                      <m:t>β</m:t>
                    </m:r>
                  </m:e>
                  <m:sub>
                    <m:r>
                      <m:rPr>
                        <m:nor/>
                        <m:sty m:val="p"/>
                      </m:rPr>
                      <m:t>hml</m:t>
                    </m:r>
                  </m:sub>
                </m:sSub>
                <m:r>
                  <m:t>⋅</m:t>
                </m:r>
                <m:r>
                  <m:rPr>
                    <m:nor/>
                    <m:sty m:val="p"/>
                  </m:rPr>
                  <m:t>HML</m:t>
                </m:r>
                <m:r>
                  <m:t>  </m:t>
                </m:r>
                <m:r>
                  <m:t>(</m:t>
                </m:r>
                <m:r>
                  <m:t>16</m:t>
                </m:r>
                <m:r>
                  <m:t>)</m:t>
                </m:r>
              </m:e>
            </m:mr>
            <m:mr>
              <m:e>
                <m:r>
                  <m:t>q</m:t>
                </m:r>
              </m:e>
              <m:e>
                <m:r>
                  <m:t>=</m:t>
                </m:r>
                <m:r>
                  <m:rPr>
                    <m:sty m:val="b"/>
                  </m:rPr>
                  <m:t>p</m:t>
                </m:r>
                <m:acc>
                  <m:accPr>
                    <m:chr m:val="̂"/>
                  </m:accPr>
                  <m:e>
                    <m:r>
                      <m:rPr>
                        <m:sty m:val="b"/>
                      </m:rPr>
                      <m:t>r</m:t>
                    </m:r>
                  </m:e>
                </m:acc>
                <m:r>
                  <m:t>  </m:t>
                </m:r>
                <m:r>
                  <m:t>(</m:t>
                </m:r>
                <m:r>
                  <m:t>17</m:t>
                </m:r>
                <m:r>
                  <m:t>)</m:t>
                </m:r>
              </m:e>
            </m:mr>
          </m:m>
        </m:oMath>
      </m:oMathPara>
    </w:p>
    <w:p>
      <w:pPr/>
      <w:r>
        <w:t xml:space="preserve">뷰 신뢰도</w:t>
      </w:r>
      <w:r>
        <w:t xml:space="preserve"> </w:t>
      </w:r>
      <m:oMath>
        <m:r>
          <m:t>ω</m:t>
        </m:r>
      </m:oMath>
      <w:r>
        <w:t xml:space="preserve">는 직전 시점에서 뷰의 예측 수익률과 실현 수익률 차이의 분산으로 정의된다.</w:t>
      </w:r>
    </w:p>
    <w:p>
      <w:pPr/>
      <m:oMathPara>
        <m:oMathParaPr>
          <m:jc m:val="center"/>
        </m:oMathParaPr>
        <m:oMath>
          <m:r>
            <m:t>ω</m:t>
          </m:r>
          <m:r>
            <m:t>=</m:t>
          </m:r>
          <m:r>
            <m:rPr>
              <m:sty m:val="p"/>
            </m:rPr>
            <m:t>v</m:t>
          </m:r>
          <m:r>
            <m:rPr>
              <m:sty m:val="p"/>
            </m:rPr>
            <m:t>a</m:t>
          </m:r>
          <m:r>
            <m:rPr>
              <m:sty m:val="p"/>
            </m:rPr>
            <m:t>r</m:t>
          </m:r>
          <m:r>
            <m:t>(</m:t>
          </m:r>
          <m:sSub>
            <m:e>
              <m:r>
                <m:rPr>
                  <m:sty m:val="b"/>
                </m:rPr>
                <m:t>p</m:t>
              </m:r>
            </m:e>
            <m:sub>
              <m:r>
                <m:t>t</m:t>
              </m:r>
              <m:r>
                <m:t>−</m:t>
              </m:r>
              <m:r>
                <m:t>1</m:t>
              </m:r>
            </m:sub>
          </m:sSub>
          <m:sSub>
            <m:e>
              <m:acc>
                <m:accPr>
                  <m:chr m:val="̂"/>
                </m:accPr>
                <m:e>
                  <m:r>
                    <m:rPr>
                      <m:sty m:val="b"/>
                    </m:rPr>
                    <m:t>μ</m:t>
                  </m:r>
                </m:e>
              </m:acc>
            </m:e>
            <m:sub>
              <m:r>
                <m:t>t</m:t>
              </m:r>
              <m:r>
                <m:t>−</m:t>
              </m:r>
              <m:r>
                <m:t>1</m:t>
              </m:r>
            </m:sub>
          </m:sSub>
          <m:r>
            <m:t>−</m:t>
          </m:r>
          <m:sSub>
            <m:e>
              <m:r>
                <m:rPr>
                  <m:sty m:val="b"/>
                </m:rPr>
                <m:t>p</m:t>
              </m:r>
            </m:e>
            <m:sub>
              <m:r>
                <m:t>t</m:t>
              </m:r>
              <m:r>
                <m:t>−</m:t>
              </m:r>
              <m:r>
                <m:t>1</m:t>
              </m:r>
            </m:sub>
          </m:sSub>
          <m:sSub>
            <m:e>
              <m:r>
                <m:rPr>
                  <m:sty m:val="b"/>
                </m:rPr>
                <m:t>μ</m:t>
              </m:r>
            </m:e>
            <m:sub>
              <m:r>
                <m:t>t</m:t>
              </m:r>
              <m:r>
                <m:t>−</m:t>
              </m:r>
              <m:r>
                <m:t>1</m:t>
              </m:r>
            </m:sub>
          </m:sSub>
          <m:r>
            <m:t>)</m:t>
          </m:r>
          <m:r>
            <m:t>  </m:t>
          </m:r>
          <m:r>
            <m:t>(</m:t>
          </m:r>
          <m:r>
            <m:t>18</m:t>
          </m:r>
          <m:r>
            <m:t>)</m:t>
          </m:r>
        </m:oMath>
      </m:oMathPara>
    </w:p>
    <w:p>
      <w:pPr/>
      <w:r>
        <w:t xml:space="preserve">이는 뷰의 신뢰도를 직전 시점의 데이터로부터 경험적으로 추정하는 방식이다.</w:t>
      </w:r>
    </w:p>
    <w:p>
      <w:pPr/>
      <w:r>
        <w:t xml:space="preserve">이렇게 구성된</w:t>
      </w:r>
      <w:r>
        <w:t xml:space="preserve"> </w:t>
      </w:r>
      <m:oMath>
        <m:r>
          <m:t>(</m:t>
        </m:r>
        <m:r>
          <m:rPr>
            <m:sty m:val="b"/>
          </m:rPr>
          <m:t>p</m:t>
        </m:r>
        <m:r>
          <m:t>,</m:t>
        </m:r>
        <m:r>
          <m:t>q</m:t>
        </m:r>
        <m:r>
          <m:t>,</m:t>
        </m:r>
        <m:r>
          <m:t>ω</m:t>
        </m:r>
        <m:r>
          <m:t>)</m:t>
        </m:r>
      </m:oMath>
      <w:r>
        <w:t xml:space="preserve">를 BL의 사후 기대수익률</w:t>
      </w:r>
      <w:r>
        <w:t xml:space="preserve"> </w:t>
      </w:r>
      <m:oMath>
        <m:sSub>
          <m:e>
            <m:r>
              <m:rPr>
                <m:sty m:val="b"/>
              </m:rPr>
              <m:t>μ</m:t>
            </m:r>
          </m:e>
          <m:sub>
            <m:r>
              <m:t>B</m:t>
            </m:r>
            <m:r>
              <m:t>L</m:t>
            </m:r>
          </m:sub>
        </m:sSub>
      </m:oMath>
      <w:r>
        <w:t xml:space="preserve">과 공분산</w:t>
      </w:r>
      <w:r>
        <w:t xml:space="preserve"> </w:t>
      </w:r>
      <m:oMath>
        <m:sSub>
          <m:e>
            <m:r>
              <m:rPr>
                <m:sty m:val="b"/>
              </m:rPr>
              <m:t>Σ</m:t>
            </m:r>
          </m:e>
          <m:sub>
            <m:r>
              <m:t>B</m:t>
            </m:r>
            <m:r>
              <m:t>L</m:t>
            </m:r>
          </m:sub>
        </m:sSub>
      </m:oMath>
      <w:r>
        <w:t xml:space="preserve"> </w:t>
      </w:r>
      <w:r>
        <w:t xml:space="preserve">(식 (4), (5))에 대입하여 식 (6)로부터 최종 포트폴리오 자산 배분 비중을 산출한다.</w:t>
      </w:r>
    </w:p>
    <w:p>
      <w:pPr/>
      <w:r>
        <w:t xml:space="preserve">KOSPI 200 종목을 대상으로 한 실증 분석에서 BL 기반 포트폴리오는 샤프 비율 0.70을 달성하여 시가총액 가중 포트폴리오 (0.36) 및 KOSPI 200 지수 (0.59) 대비 우위를 보였다. 이는 변동성 예측을 BL 뷰로 활용하는 접근의 실증적 근거를 제시하였다.</w:t>
      </w:r>
    </w:p>
    <w:p>
      <w:pPr>
        <w:pStyle w:val="1"/>
      </w:pPr>
      <w:bookmarkStart w:id="31" w:name="sec:method"/>
      <w:r>
        <w:t xml:space="preserve">방법론</w:t>
      </w:r>
      <w:bookmarkEnd w:id="31"/>
    </w:p>
    <w:p>
      <w:pPr>
        <w:pStyle w:val="2"/>
      </w:pPr>
      <w:bookmarkStart w:id="32" w:name="subsec:pipeline"/>
      <w:r>
        <w:t xml:space="preserve">전체 파이프라인</w:t>
      </w:r>
      <w:bookmarkEnd w:id="32"/>
    </w:p>
    <w:p>
      <w:pPr/>
      <w:r>
        <w:t xml:space="preserve">본 연구는 앞서 2.3절에서 서술한 Pyo and Lee (2018)의 분석 프레임워크를 기반으로 하되, 다음 두 가지 핵심적인 측면에서 본 연구의 차별성을 확보한다.</w:t>
      </w:r>
    </w:p>
    <w:p>
      <w:pPr/>
      <w:r>
        <w:t xml:space="preserve">첫째, 금융 시계열의 특성을 반영할 수 있는 예측 모형의 고도화이다. Pyo and Lee (2018)에서 활용된 ANN은 시계열 구조에 특화되지 않은 단순 전방향(Feed-forward) 신경망 구조라는 한계가 있으므로, 본 연구는 이를 2.2절에서 언급한 LSTM과 HAR 모형의 앙상블 구조로 대체한다. 다만, 선행 연구와의 통제된 비교를 위해 ANN을 동일한 환경에서 기준 모형으로 함께 평가한다.</w:t>
      </w:r>
    </w:p>
    <w:p>
      <w:pPr/>
      <w:r>
        <w:t xml:space="preserve">둘째, BL 뷰 설정 슬롯의 확장이다. Pyo and Lee (2018)은 포트폴리오 뷰</w:t>
      </w:r>
      <w:r>
        <w:t xml:space="preserve"> </w:t>
      </w:r>
      <m:oMath>
        <m:r>
          <m:rPr>
            <m:sty m:val="b"/>
          </m:rPr>
          <m:t>p</m:t>
        </m:r>
      </m:oMath>
      <w:r>
        <w:t xml:space="preserve">, 기대수익률 뷰</w:t>
      </w:r>
      <w:r>
        <w:t xml:space="preserve"> </w:t>
      </w:r>
      <m:oMath>
        <m:r>
          <m:t>q</m:t>
        </m:r>
      </m:oMath>
      <w:r>
        <w:t xml:space="preserve">, 뷰 신뢰도</w:t>
      </w:r>
      <w:r>
        <w:t xml:space="preserve"> </w:t>
      </w:r>
      <m:oMath>
        <m:r>
          <m:t>ω</m:t>
        </m:r>
      </m:oMath>
      <w:r>
        <w:t xml:space="preserve">, 사전 분포</w:t>
      </w:r>
      <w:r>
        <w:t xml:space="preserve"> </w:t>
      </w:r>
      <m:oMath>
        <m:sSub>
          <m:e>
            <m:r>
              <m:rPr>
                <m:sty m:val="b"/>
              </m:rPr>
              <m:t>w</m:t>
            </m:r>
          </m:e>
          <m:sub>
            <m:r>
              <m:t>m</m:t>
            </m:r>
            <m:r>
              <m:t>k</m:t>
            </m:r>
            <m:r>
              <m:t>t</m:t>
            </m:r>
          </m:sub>
        </m:sSub>
      </m:oMath>
      <w:r>
        <w:t xml:space="preserve">를 단일 설정으로 고정한 반면, 본 연구는 이 네 축을 각각 복수의 후보로 정의한 후 모든 조합을 결합한 90개의 파라미터 슬롯 조합을 구성하여 체계적으로 비교·평가한다. 본문에서는 주요 45개 슬롯 결과를 중심으로 보고하며, 전체 90개 조합에 대한 실증 분석 결과는 부록 B에 수록한다.</w:t>
      </w:r>
    </w:p>
    <w:p>
      <w:pPr/>
      <w:r>
        <w:t xml:space="preserve">본 연구의 실증 분석은 미국 대형주 시장의 S&amp;P 500 지수 편입 종목을 대상으로 수행한다. 이는 국내 시장에 국한되었던 선행 연구를 넘어, 종목 수와 섹터 다양성이 큰 시장에서의 모형 강건성(robustness)을 확인하기 위함이다.</w:t>
      </w:r>
    </w:p>
    <w:p>
      <w:pPr>
        <w:pStyle w:val="CaptionedFigure"/>
      </w:pPr>
      <w:bookmarkStart w:id="34" w:name="fig:pipeline"/>
      <w:r>
        <w:drawing>
          <wp:inline>
            <wp:extent cx="4031049" cy="6800000"/>
            <wp:effectExtent b="0" l="0" r="0" t="0"/>
            <wp:docPr descr="&lt;그림 2&gt; 본 연구의 전체 분석 파이프라인." title="" id="1" name="Picture"/>
            <a:graphic>
              <a:graphicData uri="http://schemas.openxmlformats.org/drawingml/2006/picture">
                <pic:pic>
                  <pic:nvPicPr>
                    <pic:cNvPr descr="/sessions/sleepy-loving-thompson/mnt/low_vol_with_lstm_har_bl/paper/images/paper_final/bl_pipeline.png" id="0" name="Picture"/>
                    <pic:cNvPicPr>
                      <a:picLocks noChangeArrowheads="1" noChangeAspect="1"/>
                    </pic:cNvPicPr>
                  </pic:nvPicPr>
                  <pic:blipFill>
                    <a:blip r:embed="rId33"/>
                    <a:stretch>
                      <a:fillRect/>
                    </a:stretch>
                  </pic:blipFill>
                  <pic:spPr bwMode="auto">
                    <a:xfrm>
                      <a:off x="0" y="0"/>
                      <a:ext cx="4031049" cy="6800000"/>
                    </a:xfrm>
                    <a:prstGeom prst="rect">
                      <a:avLst/>
                    </a:prstGeom>
                    <a:noFill/>
                    <a:ln w="9525">
                      <a:noFill/>
                      <a:headEnd/>
                      <a:tailEnd/>
                    </a:ln>
                  </pic:spPr>
                </pic:pic>
              </a:graphicData>
            </a:graphic>
          </wp:inline>
        </w:drawing>
      </w:r>
      <w:bookmarkEnd w:id="34"/>
    </w:p>
    <w:p>
      <w:pPr>
        <w:jc w:val="center"/>
      </w:pPr>
      <w:r>
        <w:t xml:space="preserve">&lt;그림 2&gt; 본 연구의 전체 분석 파이프라인.</w:t>
      </w:r>
    </w:p>
    <w:p>
      <w:pPr/>
      <w:r>
        <w:t xml:space="preserve">전체 연구 파이프라인은 그림 2과 같이 네 단계로 구성된다. (1) LSTM-HAR 앙상블 모형으로 자산별 변동성</w:t>
      </w:r>
      <w:r>
        <w:t xml:space="preserve"> </w:t>
      </w:r>
      <m:oMath>
        <m:sSub>
          <m:e>
            <m:acc>
              <m:accPr>
                <m:chr m:val="̂"/>
              </m:accPr>
              <m:e>
                <m:r>
                  <m:t>σ</m:t>
                </m:r>
              </m:e>
            </m:acc>
          </m:e>
          <m:sub>
            <m:r>
              <m:t>t</m:t>
            </m:r>
          </m:sub>
        </m:sSub>
      </m:oMath>
      <w:r>
        <w:t xml:space="preserve">를 예측한 후, 하위 및 상위 30% 구간을 각각 저변동·고변동 종목으로 분류한다. (2)</w:t>
      </w:r>
      <w:r>
        <w:t xml:space="preserve"> </w:t>
      </w:r>
      <m:oMath>
        <m:sSub>
          <m:e>
            <m:acc>
              <m:accPr>
                <m:chr m:val="̂"/>
              </m:accPr>
              <m:e>
                <m:r>
                  <m:t>σ</m:t>
                </m:r>
              </m:e>
            </m:acc>
          </m:e>
          <m:sub>
            <m:r>
              <m:t>t</m:t>
            </m:r>
          </m:sub>
        </m:sSub>
      </m:oMath>
      <w:r>
        <w:t xml:space="preserve">는 BL 뷰 파라미터 (</w:t>
      </w:r>
      <m:oMath>
        <m:r>
          <m:rPr>
            <m:sty m:val="b"/>
          </m:rPr>
          <m:t>p</m:t>
        </m:r>
        <m:r>
          <m:t>,</m:t>
        </m:r>
        <m:r>
          <m:t>q</m:t>
        </m:r>
        <m:r>
          <m:t>,</m:t>
        </m:r>
        <m:r>
          <m:t>ω</m:t>
        </m:r>
      </m:oMath>
      <w:r>
        <w:t xml:space="preserve">) 구성에 활용되며, 사전 분포</w:t>
      </w:r>
      <w:r>
        <w:t xml:space="preserve"> </w:t>
      </w:r>
      <m:oMath>
        <m:sSub>
          <m:e>
            <m:r>
              <m:rPr>
                <m:sty m:val="b"/>
              </m:rPr>
              <m:t>w</m:t>
            </m:r>
          </m:e>
          <m:sub>
            <m:r>
              <m:t>m</m:t>
            </m:r>
            <m:r>
              <m:t>k</m:t>
            </m:r>
            <m:r>
              <m:t>t</m:t>
            </m:r>
          </m:sub>
        </m:sSub>
      </m:oMath>
      <w:r>
        <w:t xml:space="preserve">는</w:t>
      </w:r>
      <w:r>
        <w:t xml:space="preserve"> </w:t>
      </w:r>
      <m:oMath>
        <m:sSub>
          <m:e>
            <m:acc>
              <m:accPr>
                <m:chr m:val="̂"/>
              </m:accPr>
              <m:e>
                <m:r>
                  <m:t>σ</m:t>
                </m:r>
              </m:e>
            </m:acc>
          </m:e>
          <m:sub>
            <m:r>
              <m:t>t</m:t>
            </m:r>
          </m:sub>
        </m:sSub>
      </m:oMath>
      <w:r>
        <w:t xml:space="preserve">와 독립적인 경로로 산출된다. 이때 네 슬롯은 각각 3·5·2·3개의 후보를 가지고 있어 총 90개 조합을 형성한다. (3) 시장 균형 사전 분포와 투자자 전망 분포를 베이지안 매커니즘으로 결합하여 (4) 사후 분포</w:t>
      </w:r>
      <w:r>
        <w:t xml:space="preserve"> </w:t>
      </w:r>
      <m:oMath>
        <m:r>
          <m:t>(</m:t>
        </m:r>
        <m:sSub>
          <m:e>
            <m:r>
              <m:rPr>
                <m:sty m:val="b"/>
              </m:rPr>
              <m:t>μ</m:t>
            </m:r>
          </m:e>
          <m:sub>
            <m:r>
              <m:t>B</m:t>
            </m:r>
            <m:r>
              <m:t>L</m:t>
            </m:r>
          </m:sub>
        </m:sSub>
        <m:r>
          <m:t>,</m:t>
        </m:r>
        <m:sSub>
          <m:e>
            <m:r>
              <m:rPr>
                <m:sty m:val="b"/>
              </m:rPr>
              <m:t>Σ</m:t>
            </m:r>
          </m:e>
          <m:sub>
            <m:r>
              <m:t>B</m:t>
            </m:r>
            <m:r>
              <m:t>L</m:t>
            </m:r>
          </m:sub>
        </m:sSub>
        <m:r>
          <m:t>)</m:t>
        </m:r>
      </m:oMath>
      <w:r>
        <w:t xml:space="preserve">를 도출하고, MVO를 통해 저변동 포트폴리오 최적 자산 배분 가중치</w:t>
      </w:r>
      <w:r>
        <w:t xml:space="preserve"> </w:t>
      </w:r>
      <m:oMath>
        <m:sSup>
          <m:e>
            <m:r>
              <m:rPr>
                <m:sty m:val="b"/>
              </m:rPr>
              <m:t>w</m:t>
            </m:r>
          </m:e>
          <m:sup>
            <m:r>
              <m:t>*</m:t>
            </m:r>
          </m:sup>
        </m:sSup>
      </m:oMath>
      <w:r>
        <w:t xml:space="preserve">를 산출한다. 이어지는 절에서는 각 단계의 구체적인 방법론을 기술한다.</w:t>
      </w:r>
    </w:p>
    <w:p>
      <w:pPr>
        <w:pStyle w:val="2"/>
      </w:pPr>
      <w:bookmarkStart w:id="35" w:name="subsec:vol_pred"/>
      <w:r>
        <w:t xml:space="preserve">변동성 예측</w:t>
      </w:r>
      <w:bookmarkEnd w:id="35"/>
    </w:p>
    <w:p>
      <w:pPr/>
      <w:r>
        <w:t xml:space="preserve">본 절에서는 앞서 2.2절에서 살펴본 HAR 모형과 LSTM 모형, 그리고 이를 결합하는 예측 앙상블 방법론과 Walk-Forward 구조를 본 연구에 적용한 구체적인 구현 방식을 기술한다.</w:t>
      </w:r>
    </w:p>
    <w:p>
      <w:pPr>
        <w:pStyle w:val="3"/>
      </w:pPr>
      <w:bookmarkStart w:id="36" w:name="subsubsec:variable"/>
      <w:r>
        <w:t xml:space="preserve">종속변수와 입력변수</w:t>
      </w:r>
      <w:bookmarkEnd w:id="36"/>
    </w:p>
    <w:p>
      <w:pPr/>
      <w:r>
        <w:t xml:space="preserve">본 연구는 시점</w:t>
      </w:r>
      <w:r>
        <w:t xml:space="preserve"> </w:t>
      </w:r>
      <m:oMath>
        <m:r>
          <m:t>t</m:t>
        </m:r>
      </m:oMath>
      <w:r>
        <w:t xml:space="preserve"> </w:t>
      </w:r>
      <w:r>
        <w:t xml:space="preserve">기준 향후 21영업일 (약 1개월) 수익률의 표준편차를 종속변수로 사용한다. 21일 예측 윈도우(window) 길이는 포트폴리오 리밸런싱 주기(월 1회)와 일치하도록 동기화되며, 일별 로그 수익률</w:t>
      </w:r>
      <w:r>
        <w:t xml:space="preserve"> </w:t>
      </w:r>
      <m:oMath>
        <m:r>
          <m:t>r</m:t>
        </m:r>
      </m:oMath>
      <w:r>
        <w:t xml:space="preserve">을 이용하여 다음과 같이 정의된다.</w:t>
      </w:r>
    </w:p>
    <w:p>
      <w:pPr/>
      <m:oMathPara>
        <m:oMathParaPr>
          <m:jc m:val="center"/>
        </m:oMathParaPr>
        <m:oMath>
          <m:sSub>
            <m:e>
              <m:r>
                <m:t>y</m:t>
              </m:r>
            </m:e>
            <m:sub>
              <m:r>
                <m:t>t</m:t>
              </m:r>
            </m:sub>
          </m:sSub>
          <m:r>
            <m:t>=</m:t>
          </m:r>
          <m:r>
            <m:rPr>
              <m:nor/>
              <m:sty m:val="p"/>
            </m:rPr>
            <m:t>log</m:t>
          </m:r>
          <m:r>
            <m:t>(</m:t>
          </m:r>
          <m:r>
            <m:rPr>
              <m:sty m:val="p"/>
            </m:rPr>
            <m:t>s</m:t>
          </m:r>
          <m:r>
            <m:rPr>
              <m:sty m:val="p"/>
            </m:rPr>
            <m:t>t</m:t>
          </m:r>
          <m:r>
            <m:rPr>
              <m:sty m:val="p"/>
            </m:rPr>
            <m:t>d</m:t>
          </m:r>
          <m:r>
            <m:t>(</m:t>
          </m:r>
          <m:sSub>
            <m:e>
              <m:r>
                <m:t>r</m:t>
              </m:r>
            </m:e>
            <m:sub>
              <m:r>
                <m:t>t</m:t>
              </m:r>
              <m:r>
                <m:t>+</m:t>
              </m:r>
              <m:r>
                <m:t>1</m:t>
              </m:r>
            </m:sub>
          </m:sSub>
          <m:r>
            <m:t>,</m:t>
          </m:r>
          <m:r>
            <m:t>…</m:t>
          </m:r>
          <m:r>
            <m:t>,</m:t>
          </m:r>
          <m:sSub>
            <m:e>
              <m:r>
                <m:t>r</m:t>
              </m:r>
            </m:e>
            <m:sub>
              <m:r>
                <m:t>t</m:t>
              </m:r>
              <m:r>
                <m:t>+</m:t>
              </m:r>
              <m:r>
                <m:t>21</m:t>
              </m:r>
            </m:sub>
          </m:sSub>
          <m:r>
            <m:t>)</m:t>
          </m:r>
          <m:r>
            <m:t>)</m:t>
          </m:r>
          <m:r>
            <m:t>  </m:t>
          </m:r>
          <m:r>
            <m:t>(</m:t>
          </m:r>
          <m:r>
            <m:t>19</m:t>
          </m:r>
          <m:r>
            <m:t>)</m:t>
          </m:r>
        </m:oMath>
      </m:oMathPara>
    </w:p>
    <w:p>
      <w:pPr/>
      <w:r>
        <w:t xml:space="preserve">정의된 종속변수에는 로그 변환을 적용한다. 로그 변동성은 근사적으로 정규분포를 따르므로, MSE를 평가지표로 사용할 때 학습 안정성을 확보할 수 있다는 장점이 있다. 또한 로그 공간에서 학습하기 때문에 지수 역변환을 거친 후에도 항상 양수(positive) 예측이 보장된다. 모형 성능 평가에는 RMSE(Root Mean Squared Error)를 주된 지표로 사용하며, 보조 지표로 스피어만(Spearman) 상관계수와 Hit rate를 함께 확인하여 예측의 방향성과 순위 보존 능력을 종합적으로 평가한다.</w:t>
      </w:r>
    </w:p>
    <w:p>
      <w:pPr/>
      <w:r>
        <w:t xml:space="preserve">입력변수는 1일·5일·22일 세 가지 시간 척도의 변동성 대리변수를 활용하며, 이는 일별 종가수익률 제곱으로 산출한다.</w:t>
      </w:r>
    </w:p>
    <w:p>
      <w:pPr/>
      <m:oMathPara>
        <m:oMathParaPr>
          <m:jc m:val="center"/>
        </m:oMathParaPr>
        <m:oMath>
          <m:m>
            <m:mPr>
              <m:baseJc m:val="center"/>
              <m:plcHide m:val="1"/>
              <m:mcs>
                <m:mc>
                  <m:mcPr>
                    <m:mcJc m:val="right"/>
                    <m:count m:val="1"/>
                  </m:mcPr>
                </m:mc>
                <m:mc>
                  <m:mcPr>
                    <m:mcJc m:val="left"/>
                    <m:count m:val="1"/>
                  </m:mcPr>
                </m:mc>
              </m:mcs>
            </m:mPr>
            <m:mr>
              <m:e>
                <m:r>
                  <m:t>R</m:t>
                </m:r>
                <m:sSub>
                  <m:e>
                    <m:r>
                      <m:t>V</m:t>
                    </m:r>
                  </m:e>
                  <m:sub>
                    <m:r>
                      <m:t>d</m:t>
                    </m:r>
                    <m:r>
                      <m:t>,</m:t>
                    </m:r>
                    <m:r>
                      <m:t>t</m:t>
                    </m:r>
                  </m:sub>
                </m:sSub>
              </m:e>
              <m:e>
                <m:r>
                  <m:t>=</m:t>
                </m:r>
                <m:sSubSup>
                  <m:e>
                    <m:r>
                      <m:t>r</m:t>
                    </m:r>
                  </m:e>
                  <m:sub>
                    <m:r>
                      <m:t>t</m:t>
                    </m:r>
                  </m:sub>
                  <m:sup>
                    <m:r>
                      <m:t>2</m:t>
                    </m:r>
                  </m:sup>
                </m:sSubSup>
                <m:r>
                  <m:t>,</m:t>
                </m:r>
              </m:e>
            </m:mr>
            <m:mr>
              <m:e>
                <m:r>
                  <m:t>R</m:t>
                </m:r>
                <m:sSub>
                  <m:e>
                    <m:r>
                      <m:t>V</m:t>
                    </m:r>
                  </m:e>
                  <m:sub>
                    <m:r>
                      <m:t>w</m:t>
                    </m:r>
                    <m:r>
                      <m:t>,</m:t>
                    </m:r>
                    <m:r>
                      <m:t>t</m:t>
                    </m:r>
                  </m:sub>
                </m:sSub>
              </m:e>
              <m:e>
                <m:r>
                  <m:t>=</m:t>
                </m:r>
                <m:f>
                  <m:fPr>
                    <m:type m:val="bar"/>
                  </m:fPr>
                  <m:num>
                    <m:r>
                      <m:t>1</m:t>
                    </m:r>
                  </m:num>
                  <m:den>
                    <m:r>
                      <m:t>5</m:t>
                    </m:r>
                  </m:den>
                </m:f>
                <m:nary>
                  <m:naryPr>
                    <m:chr m:val="∑"/>
                    <m:limLoc m:val="undOvr"/>
                    <m:subHide m:val="0"/>
                    <m:supHide m:val="0"/>
                  </m:naryPr>
                  <m:sub>
                    <m:r>
                      <m:t>s</m:t>
                    </m:r>
                    <m:r>
                      <m:t>=</m:t>
                    </m:r>
                    <m:r>
                      <m:t>0</m:t>
                    </m:r>
                  </m:sub>
                  <m:sup>
                    <m:r>
                      <m:t>4</m:t>
                    </m:r>
                  </m:sup>
                  <m:e>
                    <m:sSubSup>
                      <m:e>
                        <m:r>
                          <m:t>r</m:t>
                        </m:r>
                      </m:e>
                      <m:sub>
                        <m:r>
                          <m:t>t</m:t>
                        </m:r>
                        <m:r>
                          <m:t>−</m:t>
                        </m:r>
                        <m:r>
                          <m:t>s</m:t>
                        </m:r>
                      </m:sub>
                      <m:sup>
                        <m:r>
                          <m:t>2</m:t>
                        </m:r>
                      </m:sup>
                    </m:sSubSup>
                  </m:e>
                </m:nary>
                <m:r>
                  <m:t>,</m:t>
                </m:r>
              </m:e>
            </m:mr>
            <m:mr>
              <m:e>
                <m:r>
                  <m:t>R</m:t>
                </m:r>
                <m:sSub>
                  <m:e>
                    <m:r>
                      <m:t>V</m:t>
                    </m:r>
                  </m:e>
                  <m:sub>
                    <m:r>
                      <m:t>m</m:t>
                    </m:r>
                    <m:r>
                      <m:t>,</m:t>
                    </m:r>
                    <m:r>
                      <m:t>t</m:t>
                    </m:r>
                  </m:sub>
                </m:sSub>
              </m:e>
              <m:e>
                <m:r>
                  <m:t>=</m:t>
                </m:r>
                <m:f>
                  <m:fPr>
                    <m:type m:val="bar"/>
                  </m:fPr>
                  <m:num>
                    <m:r>
                      <m:t>1</m:t>
                    </m:r>
                  </m:num>
                  <m:den>
                    <m:r>
                      <m:t>22</m:t>
                    </m:r>
                  </m:den>
                </m:f>
                <m:nary>
                  <m:naryPr>
                    <m:chr m:val="∑"/>
                    <m:limLoc m:val="undOvr"/>
                    <m:subHide m:val="0"/>
                    <m:supHide m:val="0"/>
                  </m:naryPr>
                  <m:sub>
                    <m:r>
                      <m:t>s</m:t>
                    </m:r>
                    <m:r>
                      <m:t>=</m:t>
                    </m:r>
                    <m:r>
                      <m:t>0</m:t>
                    </m:r>
                  </m:sub>
                  <m:sup>
                    <m:r>
                      <m:t>21</m:t>
                    </m:r>
                  </m:sup>
                  <m:e>
                    <m:sSubSup>
                      <m:e>
                        <m:r>
                          <m:t>r</m:t>
                        </m:r>
                      </m:e>
                      <m:sub>
                        <m:r>
                          <m:t>t</m:t>
                        </m:r>
                        <m:r>
                          <m:t>−</m:t>
                        </m:r>
                        <m:r>
                          <m:t>s</m:t>
                        </m:r>
                      </m:sub>
                      <m:sup>
                        <m:r>
                          <m:t>2</m:t>
                        </m:r>
                      </m:sup>
                    </m:sSubSup>
                  </m:e>
                </m:nary>
                <m:r>
                  <m:t>.</m:t>
                </m:r>
              </m:e>
            </m:mr>
          </m:m>
        </m:oMath>
      </m:oMathPara>
    </w:p>
    <w:p>
      <w:pPr/>
      <w:r>
        <w:t xml:space="preserve">이는 Corsi (2009)의 원본 HAR 모형이 사용하는 일내 고빈도 실현변동성을 일별 종가 기반 대리변수로 근사한 형태이다. 본 연구의 분석 대상인 S&amp;P 500 종목군 (약 617 종, 2010–2025) 전반에 대해 일관된 일내 고빈도 데이터를 확보하기 어렵다는 현실적인 제약을 고려하여, 이와 같은 일별 종가 기반 근사를 채택하였다.</w:t>
      </w:r>
    </w:p>
    <w:p>
      <w:pPr/>
      <w:r>
        <w:t xml:space="preserve">HAR 모형은 위 세 가지 항만을 입력으로 사용하는 반면, LSTM 모형은 세 항의 로그 변환 값에 추가로 시장의 미래 변동성 기대를 반영하는 변동성 지수 (CBOE Volatility Index, VIX, Whaley, 2009)의 로그 변환 값을 포함하여 총 4 차원의 입력 벡터를 구성한다.</w:t>
      </w:r>
    </w:p>
    <w:p>
      <w:pPr/>
      <m:oMathPara>
        <m:oMathParaPr>
          <m:jc m:val="center"/>
        </m:oMathParaPr>
        <m:oMath>
          <m:sSub>
            <m:e>
              <m:r>
                <m:rPr>
                  <m:sty m:val="b"/>
                </m:rPr>
                <m:t>x</m:t>
              </m:r>
            </m:e>
            <m:sub>
              <m:r>
                <m:t>t</m:t>
              </m:r>
            </m:sub>
          </m:sSub>
          <m:r>
            <m:t>=</m:t>
          </m:r>
          <m:r>
            <m:t>[</m:t>
          </m:r>
          <m:r>
            <m:rPr>
              <m:nor/>
              <m:sty m:val="p"/>
            </m:rPr>
            <m:t>log</m:t>
          </m:r>
          <m:r>
            <m:t>R</m:t>
          </m:r>
          <m:sSub>
            <m:e>
              <m:r>
                <m:t>V</m:t>
              </m:r>
            </m:e>
            <m:sub>
              <m:r>
                <m:t>d</m:t>
              </m:r>
              <m:r>
                <m:t>,</m:t>
              </m:r>
              <m:r>
                <m:t>t</m:t>
              </m:r>
            </m:sub>
          </m:sSub>
          <m:r>
            <m:t>,</m:t>
          </m:r>
          <m:r>
            <m:t> </m:t>
          </m:r>
          <m:r>
            <m:rPr>
              <m:nor/>
              <m:sty m:val="p"/>
            </m:rPr>
            <m:t>log</m:t>
          </m:r>
          <m:r>
            <m:t>R</m:t>
          </m:r>
          <m:sSub>
            <m:e>
              <m:r>
                <m:t>V</m:t>
              </m:r>
            </m:e>
            <m:sub>
              <m:r>
                <m:t>w</m:t>
              </m:r>
              <m:r>
                <m:t>,</m:t>
              </m:r>
              <m:r>
                <m:t>t</m:t>
              </m:r>
            </m:sub>
          </m:sSub>
          <m:r>
            <m:t>,</m:t>
          </m:r>
          <m:r>
            <m:t> </m:t>
          </m:r>
          <m:r>
            <m:rPr>
              <m:nor/>
              <m:sty m:val="p"/>
            </m:rPr>
            <m:t>log</m:t>
          </m:r>
          <m:r>
            <m:t>R</m:t>
          </m:r>
          <m:sSub>
            <m:e>
              <m:r>
                <m:t>V</m:t>
              </m:r>
            </m:e>
            <m:sub>
              <m:r>
                <m:t>m</m:t>
              </m:r>
              <m:r>
                <m:t>,</m:t>
              </m:r>
              <m:r>
                <m:t>t</m:t>
              </m:r>
            </m:sub>
          </m:sSub>
          <m:r>
            <m:t>,</m:t>
          </m:r>
          <m:r>
            <m:t> </m:t>
          </m:r>
          <m:r>
            <m:rPr>
              <m:nor/>
              <m:sty m:val="p"/>
            </m:rPr>
            <m:t>log</m:t>
          </m:r>
          <m:sSub>
            <m:e>
              <m:r>
                <m:rPr>
                  <m:nor/>
                  <m:sty m:val="p"/>
                </m:rPr>
                <m:t>VIX</m:t>
              </m:r>
            </m:e>
            <m:sub>
              <m:r>
                <m:t>t</m:t>
              </m:r>
            </m:sub>
          </m:sSub>
          <m:sSup>
            <m:e>
              <m:r>
                <m:t>]</m:t>
              </m:r>
            </m:e>
            <m:sup>
              <m:r>
                <m:t>⊤</m:t>
              </m:r>
            </m:sup>
          </m:sSup>
          <m:r>
            <m:t>  </m:t>
          </m:r>
          <m:r>
            <m:t>(</m:t>
          </m:r>
          <m:r>
            <m:t>20</m:t>
          </m:r>
          <m:r>
            <m:t>)</m:t>
          </m:r>
        </m:oMath>
      </m:oMathPara>
    </w:p>
    <w:p>
      <w:pPr/>
      <w:r>
        <w:t xml:space="preserve">LSTM 모형에 VIX 지수를 추가한 이유는 S&amp;P 500 옵션 시장에 내재된 미래 변동성 기대가 개별 종목의 향후 실현 변동성을 예측하는 데 유용한 정보를 제공할 것이라는 가정에 기반한다.</w:t>
      </w:r>
    </w:p>
    <w:p>
      <w:pPr/>
      <w:r>
        <w:t xml:space="preserve">모형의 최종 출력값</w:t>
      </w:r>
      <w:r>
        <w:t xml:space="preserve"> </w:t>
      </w:r>
      <m:oMath>
        <m:sSub>
          <m:e>
            <m:acc>
              <m:accPr>
                <m:chr m:val="̂"/>
              </m:accPr>
              <m:e>
                <m:r>
                  <m:t>y</m:t>
                </m:r>
              </m:e>
            </m:acc>
          </m:e>
          <m:sub>
            <m:r>
              <m:t>t</m:t>
            </m:r>
          </m:sub>
        </m:sSub>
      </m:oMath>
      <w:r>
        <w:t xml:space="preserve">는 식 (19)에 따라 일별 로그 변동성의 표준편차이다. BL의 시장 균형 수익률</w:t>
      </w:r>
      <w:r>
        <w:t xml:space="preserve"> </w:t>
      </w:r>
      <m:oMath>
        <m:r>
          <m:rPr>
            <m:sty m:val="b"/>
          </m:rPr>
          <m:t>π</m:t>
        </m:r>
      </m:oMath>
      <w:r>
        <w:t xml:space="preserve">와 공분산 행렬</w:t>
      </w:r>
      <w:r>
        <w:t xml:space="preserve"> </w:t>
      </w:r>
      <m:oMath>
        <m:r>
          <m:rPr>
            <m:sty m:val="b"/>
          </m:rPr>
          <m:t>Σ</m:t>
        </m:r>
      </m:oMath>
      <w:r>
        <w:t xml:space="preserve">가 모두 연환산 단위로 정의되므로, 변동성 예측 뷰 역시 동일한 단위로 맞추기 위해 지수 역변환 후 연환산 과정을 거친다.</w:t>
      </w:r>
    </w:p>
    <w:p>
      <w:pPr/>
      <m:oMathPara>
        <m:oMathParaPr>
          <m:jc m:val="center"/>
        </m:oMathParaPr>
        <m:oMath>
          <m:sSub>
            <m:e>
              <m:acc>
                <m:accPr>
                  <m:chr m:val="̂"/>
                </m:accPr>
                <m:e>
                  <m:r>
                    <m:t>σ</m:t>
                  </m:r>
                </m:e>
              </m:acc>
            </m:e>
            <m:sub>
              <m:r>
                <m:t>t</m:t>
              </m:r>
            </m:sub>
          </m:sSub>
          <m:r>
            <m:t>=</m:t>
          </m:r>
          <m:r>
            <m:rPr>
              <m:nor/>
              <m:sty m:val="p"/>
            </m:rPr>
            <m:t>exp</m:t>
          </m:r>
          <m:r>
            <m:t>(</m:t>
          </m:r>
          <m:sSub>
            <m:e>
              <m:acc>
                <m:accPr>
                  <m:chr m:val="̂"/>
                </m:accPr>
                <m:e>
                  <m:r>
                    <m:t>y</m:t>
                  </m:r>
                </m:e>
              </m:acc>
            </m:e>
            <m:sub>
              <m:r>
                <m:t>t</m:t>
              </m:r>
            </m:sub>
          </m:sSub>
          <m:r>
            <m:t>)</m:t>
          </m:r>
          <m:r>
            <m:t>×</m:t>
          </m:r>
          <m:rad>
            <m:radPr>
              <m:degHide m:val="1"/>
            </m:radPr>
            <m:deg/>
            <m:e>
              <m:r>
                <m:t>252</m:t>
              </m:r>
            </m:e>
          </m:rad>
          <m:r>
            <m:t>  </m:t>
          </m:r>
          <m:r>
            <m:t>(</m:t>
          </m:r>
          <m:r>
            <m:t>21</m:t>
          </m:r>
          <m:r>
            <m:t>)</m:t>
          </m:r>
        </m:oMath>
      </m:oMathPara>
    </w:p>
    <w:p>
      <w:pPr/>
      <w:r>
        <w:t xml:space="preserve">여기서</w:t>
      </w:r>
      <w:r>
        <w:t xml:space="preserve"> </w:t>
      </w:r>
      <m:oMath>
        <m:rad>
          <m:radPr>
            <m:degHide m:val="1"/>
          </m:radPr>
          <m:deg/>
          <m:e>
            <m:r>
              <m:t>252</m:t>
            </m:r>
          </m:e>
        </m:rad>
      </m:oMath>
      <w:r>
        <w:t xml:space="preserve"> </w:t>
      </w:r>
      <w:r>
        <w:t xml:space="preserve">는 일간 표준편차를 연간 표준편차로 환산하는 처리이다.</w:t>
      </w:r>
    </w:p>
    <w:p>
      <w:pPr>
        <w:pStyle w:val="3"/>
      </w:pPr>
      <w:bookmarkStart w:id="37" w:name="예측-모형"/>
      <w:r>
        <w:t xml:space="preserve">예측 모형</w:t>
      </w:r>
      <w:bookmarkEnd w:id="37"/>
    </w:p>
    <w:p>
      <w:pPr/>
      <w:r>
        <w:t xml:space="preserve">본 절에서는 변동성 예측 모형으로 활용된 LSTM과 HAR, 그리고 두 모형의 앙상블 구조와 기준 모형인 ANN의 구체적인 구조 및 하이퍼파라미터 설정을 기술한다.</w:t>
      </w:r>
    </w:p>
    <w:p>
      <w:pPr>
        <w:pStyle w:val="Heading4"/>
      </w:pPr>
      <w:bookmarkStart w:id="38" w:name="lstm"/>
      <w:r>
        <w:t xml:space="preserve">LSTM</w:t>
      </w:r>
      <w:bookmarkEnd w:id="38"/>
    </w:p>
    <w:p>
      <w:pPr/>
      <w:r>
        <w:t xml:space="preserve">LSTM 모형은 2.2.2절에서 살펴본 표준 LSTM 셀 구조(그림 1, 식 8–13)를 1개의 은닉층(1-layer), 은닉 노드 수 32개, 드롭아웃 비율 0.3, 그리고 시퀀스 길이는 63영업일로 구성한다. 시퀀스 길이를 63영업일로 설정한 것은 약 3개월의 시간 척도에 해당하는 기간으로, 변동성 대리변수인 S&amp;P 500 지수(SPY) 일별 수익률 제곱 시계열의 자기상관이 lag 60 전후까지 통계적으로 유의하게 지속됨을 EDA에서 확인한 결과에 근거한 선택이다. 개별 종목별로 자기상관 길이에 미세한 차이는 존재할 수 있으나, 모형의 통일성과 일관된 평가를 위해 전 종목에 동일하게 적용한다.</w:t>
      </w:r>
    </w:p>
    <w:p>
      <w:pPr/>
      <w:r>
        <w:t xml:space="preserve">학습은 AdamW 옵티마이저(학습률</w:t>
      </w:r>
      <w:r>
        <w:t xml:space="preserve"> </w:t>
      </w:r>
      <m:oMath>
        <m:sSup>
          <m:e>
            <m:r>
              <m:t>10</m:t>
            </m:r>
          </m:e>
          <m:sup>
            <m:r>
              <m:t>−</m:t>
            </m:r>
            <m:r>
              <m:t>3</m:t>
            </m:r>
          </m:sup>
        </m:sSup>
      </m:oMath>
      <w:r>
        <w:t xml:space="preserve">, 가중치 감쇠</w:t>
      </w:r>
      <w:r>
        <w:t xml:space="preserve"> </w:t>
      </w:r>
      <m:oMath>
        <m:sSup>
          <m:e>
            <m:r>
              <m:t>10</m:t>
            </m:r>
          </m:e>
          <m:sup>
            <m:r>
              <m:t>−</m:t>
            </m:r>
            <m:r>
              <m:t>3</m:t>
            </m:r>
          </m:sup>
        </m:sSup>
      </m:oMath>
      <w:r>
        <w:t xml:space="preserve">), MSE 손실함수를 사용하며, 최대 50 에포크(epoch) 동안 진행된다. 이 과정에서 과적합을 방지하기 위해 10 에포크 동안 검증 손실(validation loss)이 개선되지 않을 경우 학습을 중단하는 조기 종료(early stopping) 규칙을 적용하며, 배치 크기(batch size)는 64로 설정한다. 입력 시퀀스</w:t>
      </w:r>
      <w:r>
        <w:t xml:space="preserve"> </w:t>
      </w:r>
      <m:oMath>
        <m:sSub>
          <m:e>
            <m:r>
              <m:rPr>
                <m:sty m:val="b"/>
              </m:rPr>
              <m:t>X</m:t>
            </m:r>
          </m:e>
          <m:sub>
            <m:r>
              <m:t>t</m:t>
            </m:r>
            <m:r>
              <m:t>−</m:t>
            </m:r>
            <m:r>
              <m:t>L</m:t>
            </m:r>
            <m:r>
              <m:t>+</m:t>
            </m:r>
            <m:r>
              <m:t>1</m:t>
            </m:r>
          </m:sub>
        </m:sSub>
        <m:r>
          <m:t>,</m:t>
        </m:r>
        <m:r>
          <m:t>…</m:t>
        </m:r>
        <m:r>
          <m:t>,</m:t>
        </m:r>
        <m:sSub>
          <m:e>
            <m:r>
              <m:rPr>
                <m:sty m:val="b"/>
              </m:rPr>
              <m:t>X</m:t>
            </m:r>
          </m:e>
          <m:sub>
            <m:r>
              <m:t>t</m:t>
            </m:r>
          </m:sub>
        </m:sSub>
      </m:oMath>
      <w:r>
        <w:t xml:space="preserve"> </w:t>
      </w:r>
      <w:r>
        <w:t xml:space="preserve">(</w:t>
      </w:r>
      <m:oMath>
        <m:r>
          <m:t>L</m:t>
        </m:r>
        <m:r>
          <m:t>=</m:t>
        </m:r>
        <m:r>
          <m:t>63</m:t>
        </m:r>
      </m:oMath>
      <w:r>
        <w:t xml:space="preserve">) 에 대한 최종 로그 변동성 예측은 다음과 같다.</w:t>
      </w:r>
    </w:p>
    <w:p>
      <w:pPr/>
      <m:oMathPara>
        <m:oMathParaPr>
          <m:jc m:val="center"/>
        </m:oMathParaPr>
        <m:oMath>
          <m:sSubSup>
            <m:e>
              <m:acc>
                <m:accPr>
                  <m:chr m:val="̂"/>
                </m:accPr>
                <m:e>
                  <m:r>
                    <m:t>y</m:t>
                  </m:r>
                </m:e>
              </m:acc>
            </m:e>
            <m:sub>
              <m:r>
                <m:t>t</m:t>
              </m:r>
            </m:sub>
            <m:sup>
              <m:r>
                <m:rPr>
                  <m:nor/>
                  <m:sty m:val="p"/>
                </m:rPr>
                <m:t>LSTM</m:t>
              </m:r>
            </m:sup>
          </m:sSubSup>
          <m:r>
            <m:t>=</m:t>
          </m:r>
          <m:sSub>
            <m:e>
              <m:r>
                <m:t>f</m:t>
              </m:r>
            </m:e>
            <m:sub>
              <m:r>
                <m:rPr>
                  <m:nor/>
                  <m:sty m:val="p"/>
                </m:rPr>
                <m:t>LSTM</m:t>
              </m:r>
            </m:sub>
          </m:sSub>
          <m:r>
            <m:t>(</m:t>
          </m:r>
          <m:sSub>
            <m:e>
              <m:r>
                <m:rPr>
                  <m:sty m:val="b"/>
                </m:rPr>
                <m:t>X</m:t>
              </m:r>
            </m:e>
            <m:sub>
              <m:r>
                <m:t>t</m:t>
              </m:r>
              <m:r>
                <m:t>−</m:t>
              </m:r>
              <m:r>
                <m:t>L</m:t>
              </m:r>
              <m:r>
                <m:t>+</m:t>
              </m:r>
              <m:r>
                <m:t>1</m:t>
              </m:r>
            </m:sub>
          </m:sSub>
          <m:r>
            <m:t>,</m:t>
          </m:r>
          <m:r>
            <m:t>…</m:t>
          </m:r>
          <m:r>
            <m:t>,</m:t>
          </m:r>
          <m:sSub>
            <m:e>
              <m:r>
                <m:rPr>
                  <m:sty m:val="b"/>
                </m:rPr>
                <m:t>X</m:t>
              </m:r>
            </m:e>
            <m:sub>
              <m:r>
                <m:t>t</m:t>
              </m:r>
            </m:sub>
          </m:sSub>
          <m:r>
            <m:t>)</m:t>
          </m:r>
          <m:r>
            <m:t>  </m:t>
          </m:r>
          <m:r>
            <m:t>(</m:t>
          </m:r>
          <m:r>
            <m:t>22</m:t>
          </m:r>
          <m:r>
            <m:t>)</m:t>
          </m:r>
        </m:oMath>
      </m:oMathPara>
    </w:p>
    <w:p>
      <w:pPr>
        <w:pStyle w:val="Heading4"/>
      </w:pPr>
      <w:bookmarkStart w:id="39" w:name="har"/>
      <w:r>
        <w:t xml:space="preserve">HAR</w:t>
      </w:r>
      <w:bookmarkEnd w:id="39"/>
    </w:p>
    <w:p>
      <w:pPr/>
      <w:r>
        <w:t xml:space="preserve">HAR 모형은 2.2.1절의 식 7의 구조를 본 연구의 일별 변동성 대리변수에 적용한다. 회귀계수</w:t>
      </w:r>
      <w:r>
        <w:t xml:space="preserve"> </w:t>
      </w:r>
      <m:oMath>
        <m:r>
          <m:t>(</m:t>
        </m:r>
        <m:sSub>
          <m:e>
            <m:r>
              <m:t>β</m:t>
            </m:r>
          </m:e>
          <m:sub>
            <m:r>
              <m:t>0</m:t>
            </m:r>
          </m:sub>
        </m:sSub>
        <m:r>
          <m:t>,</m:t>
        </m:r>
        <m:sSub>
          <m:e>
            <m:r>
              <m:t>β</m:t>
            </m:r>
          </m:e>
          <m:sub>
            <m:r>
              <m:t>d</m:t>
            </m:r>
          </m:sub>
        </m:sSub>
        <m:r>
          <m:t>,</m:t>
        </m:r>
        <m:sSub>
          <m:e>
            <m:r>
              <m:t>β</m:t>
            </m:r>
          </m:e>
          <m:sub>
            <m:r>
              <m:t>w</m:t>
            </m:r>
          </m:sub>
        </m:sSub>
        <m:r>
          <m:t>,</m:t>
        </m:r>
        <m:sSub>
          <m:e>
            <m:r>
              <m:t>β</m:t>
            </m:r>
          </m:e>
          <m:sub>
            <m:r>
              <m:t>m</m:t>
            </m:r>
          </m:sub>
        </m:sSub>
        <m:r>
          <m:t>)</m:t>
        </m:r>
      </m:oMath>
      <w:r>
        <w:t xml:space="preserve">는 각 IS 구간에서 OLS(Ordinary Least Squares) 방식으로 추정하며, OOS 구간에 대한 예측값은 추정된 회귀계수와 OOS 입력 변수의 선형 결합으로 다음과 같이 산출한다.</w:t>
      </w:r>
    </w:p>
    <w:p>
      <w:pPr/>
      <m:oMathPara>
        <m:oMathParaPr>
          <m:jc m:val="center"/>
        </m:oMathParaPr>
        <m:oMath>
          <m:sSubSup>
            <m:e>
              <m:acc>
                <m:accPr>
                  <m:chr m:val="̂"/>
                </m:accPr>
                <m:e>
                  <m:r>
                    <m:t>y</m:t>
                  </m:r>
                </m:e>
              </m:acc>
            </m:e>
            <m:sub>
              <m:r>
                <m:t>t</m:t>
              </m:r>
            </m:sub>
            <m:sup>
              <m:r>
                <m:rPr>
                  <m:nor/>
                  <m:sty m:val="p"/>
                </m:rPr>
                <m:t>HAR</m:t>
              </m:r>
            </m:sup>
          </m:sSubSup>
          <m:r>
            <m:t>=</m:t>
          </m:r>
          <m:sSub>
            <m:e>
              <m:r>
                <m:t>β</m:t>
              </m:r>
            </m:e>
            <m:sub>
              <m:r>
                <m:t>0</m:t>
              </m:r>
            </m:sub>
          </m:sSub>
          <m:r>
            <m:t>+</m:t>
          </m:r>
          <m:sSub>
            <m:e>
              <m:r>
                <m:t>β</m:t>
              </m:r>
            </m:e>
            <m:sub>
              <m:r>
                <m:t>d</m:t>
              </m:r>
            </m:sub>
          </m:sSub>
          <m:r>
            <m:rPr>
              <m:nor/>
              <m:sty m:val="p"/>
            </m:rPr>
            <m:t>log</m:t>
          </m:r>
          <m:r>
            <m:t>R</m:t>
          </m:r>
          <m:sSub>
            <m:e>
              <m:r>
                <m:t>V</m:t>
              </m:r>
            </m:e>
            <m:sub>
              <m:r>
                <m:t>d</m:t>
              </m:r>
              <m:r>
                <m:t>,</m:t>
              </m:r>
              <m:r>
                <m:t>t</m:t>
              </m:r>
            </m:sub>
          </m:sSub>
          <m:r>
            <m:t>+</m:t>
          </m:r>
          <m:sSub>
            <m:e>
              <m:r>
                <m:t>β</m:t>
              </m:r>
            </m:e>
            <m:sub>
              <m:r>
                <m:t>w</m:t>
              </m:r>
            </m:sub>
          </m:sSub>
          <m:r>
            <m:rPr>
              <m:nor/>
              <m:sty m:val="p"/>
            </m:rPr>
            <m:t>log</m:t>
          </m:r>
          <m:r>
            <m:t>R</m:t>
          </m:r>
          <m:sSub>
            <m:e>
              <m:r>
                <m:t>V</m:t>
              </m:r>
            </m:e>
            <m:sub>
              <m:r>
                <m:t>w</m:t>
              </m:r>
              <m:r>
                <m:t>,</m:t>
              </m:r>
              <m:r>
                <m:t>t</m:t>
              </m:r>
            </m:sub>
          </m:sSub>
          <m:r>
            <m:t>+</m:t>
          </m:r>
          <m:sSub>
            <m:e>
              <m:r>
                <m:t>β</m:t>
              </m:r>
            </m:e>
            <m:sub>
              <m:r>
                <m:t>m</m:t>
              </m:r>
            </m:sub>
          </m:sSub>
          <m:r>
            <m:rPr>
              <m:nor/>
              <m:sty m:val="p"/>
            </m:rPr>
            <m:t>log</m:t>
          </m:r>
          <m:r>
            <m:t>R</m:t>
          </m:r>
          <m:sSub>
            <m:e>
              <m:r>
                <m:t>V</m:t>
              </m:r>
            </m:e>
            <m:sub>
              <m:r>
                <m:t>m</m:t>
              </m:r>
              <m:r>
                <m:t>,</m:t>
              </m:r>
              <m:r>
                <m:t>t</m:t>
              </m:r>
            </m:sub>
          </m:sSub>
          <m:r>
            <m:t>  </m:t>
          </m:r>
          <m:r>
            <m:t>(</m:t>
          </m:r>
          <m:r>
            <m:t>23</m:t>
          </m:r>
          <m:r>
            <m:t>)</m:t>
          </m:r>
        </m:oMath>
      </m:oMathPara>
    </w:p>
    <w:p>
      <w:pPr>
        <w:pStyle w:val="Heading4"/>
      </w:pPr>
      <w:bookmarkStart w:id="40" w:name="performance-weighted-앙상블"/>
      <w:r>
        <w:t xml:space="preserve">Performance-Weighted 앙상블</w:t>
      </w:r>
      <w:bookmarkEnd w:id="40"/>
    </w:p>
    <w:p>
      <w:pPr/>
      <w:r>
        <w:t xml:space="preserve">최종 변동성 예측값은 앞서 2.2.3절에서 제시한 performance-weighted 결합 방식(식 14)을 LSTM과 HAR 두 모형에 적용하여 산출한다. 폴드(fold)</w:t>
      </w:r>
      <w:r>
        <w:t xml:space="preserve"> </w:t>
      </w:r>
      <m:oMath>
        <m:r>
          <m:t>k</m:t>
        </m:r>
      </m:oMath>
      <w:r>
        <w:t xml:space="preserve">에서의 모형별 가중치는 직전 폴드</w:t>
      </w:r>
      <w:r>
        <w:t xml:space="preserve"> </w:t>
      </w:r>
      <m:oMath>
        <m:r>
          <m:t>k</m:t>
        </m:r>
        <m:r>
          <m:t>−</m:t>
        </m:r>
        <m:r>
          <m:t>1</m:t>
        </m:r>
      </m:oMath>
      <w:r>
        <w:t xml:space="preserve">의 OOS RMSE 역수에 비례하게 설계되었으며, 폴드</w:t>
      </w:r>
      <w:r>
        <w:t xml:space="preserve"> </w:t>
      </w:r>
      <m:oMath>
        <m:r>
          <m:t>k</m:t>
        </m:r>
        <m:r>
          <m:t>=</m:t>
        </m:r>
        <m:r>
          <m:t>0</m:t>
        </m:r>
      </m:oMath>
      <w:r>
        <w:t xml:space="preserve">에서는 사전 성능 정보가 없으므로 두 모형에 동일한 가중치 0.5를 부여한다.</w:t>
      </w:r>
    </w:p>
    <w:p>
      <w:pPr/>
      <m:oMathPara>
        <m:oMathParaPr>
          <m:jc m:val="center"/>
        </m:oMathParaPr>
        <m:oMath>
          <m:m>
            <m:mPr>
              <m:baseJc m:val="center"/>
              <m:plcHide m:val="1"/>
              <m:mcs>
                <m:mc>
                  <m:mcPr>
                    <m:mcJc m:val="right"/>
                    <m:count m:val="1"/>
                  </m:mcPr>
                </m:mc>
                <m:mc>
                  <m:mcPr>
                    <m:mcJc m:val="left"/>
                    <m:count m:val="1"/>
                  </m:mcPr>
                </m:mc>
              </m:mcs>
            </m:mPr>
            <m:mr>
              <m:e>
                <m:sSubSup>
                  <m:e>
                    <m:r>
                      <m:t>w</m:t>
                    </m:r>
                  </m:e>
                  <m:sub>
                    <m:r>
                      <m:t>k</m:t>
                    </m:r>
                  </m:sub>
                  <m:sup>
                    <m:r>
                      <m:rPr>
                        <m:nor/>
                        <m:sty m:val="p"/>
                      </m:rPr>
                      <m:t>LSTM</m:t>
                    </m:r>
                  </m:sup>
                </m:sSubSup>
              </m:e>
              <m:e>
                <m:r>
                  <m:t>=</m:t>
                </m:r>
                <m:f>
                  <m:fPr>
                    <m:type m:val="bar"/>
                  </m:fPr>
                  <m:num>
                    <m:r>
                      <m:t>1</m:t>
                    </m:r>
                    <m:r>
                      <m:t>/</m:t>
                    </m:r>
                    <m:sSubSup>
                      <m:e>
                        <m:r>
                          <m:rPr>
                            <m:nor/>
                            <m:sty m:val="p"/>
                          </m:rPr>
                          <m:t>RMSE</m:t>
                        </m:r>
                      </m:e>
                      <m:sub>
                        <m:r>
                          <m:t>k</m:t>
                        </m:r>
                        <m:r>
                          <m:t>−</m:t>
                        </m:r>
                        <m:r>
                          <m:t>1</m:t>
                        </m:r>
                      </m:sub>
                      <m:sup>
                        <m:r>
                          <m:rPr>
                            <m:nor/>
                            <m:sty m:val="p"/>
                          </m:rPr>
                          <m:t>LSTM</m:t>
                        </m:r>
                      </m:sup>
                    </m:sSubSup>
                  </m:num>
                  <m:den>
                    <m:r>
                      <m:t>1</m:t>
                    </m:r>
                    <m:r>
                      <m:t>/</m:t>
                    </m:r>
                    <m:sSubSup>
                      <m:e>
                        <m:r>
                          <m:rPr>
                            <m:nor/>
                            <m:sty m:val="p"/>
                          </m:rPr>
                          <m:t>RMSE</m:t>
                        </m:r>
                      </m:e>
                      <m:sub>
                        <m:r>
                          <m:t>k</m:t>
                        </m:r>
                        <m:r>
                          <m:t>−</m:t>
                        </m:r>
                        <m:r>
                          <m:t>1</m:t>
                        </m:r>
                      </m:sub>
                      <m:sup>
                        <m:r>
                          <m:rPr>
                            <m:nor/>
                            <m:sty m:val="p"/>
                          </m:rPr>
                          <m:t>LSTM</m:t>
                        </m:r>
                      </m:sup>
                    </m:sSubSup>
                    <m:r>
                      <m:t>+</m:t>
                    </m:r>
                    <m:r>
                      <m:t>1</m:t>
                    </m:r>
                    <m:r>
                      <m:t>/</m:t>
                    </m:r>
                    <m:sSubSup>
                      <m:e>
                        <m:r>
                          <m:rPr>
                            <m:nor/>
                            <m:sty m:val="p"/>
                          </m:rPr>
                          <m:t>RMSE</m:t>
                        </m:r>
                      </m:e>
                      <m:sub>
                        <m:r>
                          <m:t>k</m:t>
                        </m:r>
                        <m:r>
                          <m:t>−</m:t>
                        </m:r>
                        <m:r>
                          <m:t>1</m:t>
                        </m:r>
                      </m:sub>
                      <m:sup>
                        <m:r>
                          <m:rPr>
                            <m:nor/>
                            <m:sty m:val="p"/>
                          </m:rPr>
                          <m:t>HAR</m:t>
                        </m:r>
                      </m:sup>
                    </m:sSubSup>
                  </m:den>
                </m:f>
                <m:r>
                  <m:t>,</m:t>
                </m:r>
                <m:r>
                  <m:t>  </m:t>
                </m:r>
                <m:r>
                  <m:t>(</m:t>
                </m:r>
                <m:r>
                  <m:t>24</m:t>
                </m:r>
                <m:r>
                  <m:t>)</m:t>
                </m:r>
              </m:e>
            </m:mr>
            <m:mr>
              <m:e>
                <m:sSubSup>
                  <m:e>
                    <m:r>
                      <m:t>w</m:t>
                    </m:r>
                  </m:e>
                  <m:sub>
                    <m:r>
                      <m:t>k</m:t>
                    </m:r>
                  </m:sub>
                  <m:sup>
                    <m:r>
                      <m:rPr>
                        <m:nor/>
                        <m:sty m:val="p"/>
                      </m:rPr>
                      <m:t>HAR</m:t>
                    </m:r>
                  </m:sup>
                </m:sSubSup>
              </m:e>
              <m:e>
                <m:r>
                  <m:t>=</m:t>
                </m:r>
                <m:r>
                  <m:t>1</m:t>
                </m:r>
                <m:r>
                  <m:t>−</m:t>
                </m:r>
                <m:sSubSup>
                  <m:e>
                    <m:r>
                      <m:t>w</m:t>
                    </m:r>
                  </m:e>
                  <m:sub>
                    <m:r>
                      <m:t>k</m:t>
                    </m:r>
                  </m:sub>
                  <m:sup>
                    <m:r>
                      <m:rPr>
                        <m:nor/>
                        <m:sty m:val="p"/>
                      </m:rPr>
                      <m:t>LSTM</m:t>
                    </m:r>
                  </m:sup>
                </m:sSubSup>
                <m:r>
                  <m:t>.</m:t>
                </m:r>
                <m:r>
                  <m:t>  </m:t>
                </m:r>
                <m:r>
                  <m:t>(</m:t>
                </m:r>
                <m:r>
                  <m:t>25</m:t>
                </m:r>
                <m:r>
                  <m:t>)</m:t>
                </m:r>
              </m:e>
            </m:mr>
          </m:m>
        </m:oMath>
      </m:oMathPara>
    </w:p>
    <w:p>
      <w:pPr/>
      <w:r>
        <w:t xml:space="preserve">최종 앙상블 변동성 예측값은 두 모형의 가중 평균이다.</w:t>
      </w:r>
    </w:p>
    <w:p>
      <w:pPr/>
      <m:oMathPara>
        <m:oMathParaPr>
          <m:jc m:val="center"/>
        </m:oMathParaPr>
        <m:oMath>
          <m:sSubSup>
            <m:e>
              <m:acc>
                <m:accPr>
                  <m:chr m:val="̂"/>
                </m:accPr>
                <m:e>
                  <m:r>
                    <m:t>y</m:t>
                  </m:r>
                </m:e>
              </m:acc>
            </m:e>
            <m:sub>
              <m:r>
                <m:t>t</m:t>
              </m:r>
            </m:sub>
            <m:sup>
              <m:r>
                <m:rPr>
                  <m:nor/>
                  <m:sty m:val="p"/>
                </m:rPr>
                <m:t>ens</m:t>
              </m:r>
            </m:sup>
          </m:sSubSup>
          <m:r>
            <m:t>=</m:t>
          </m:r>
          <m:sSubSup>
            <m:e>
              <m:r>
                <m:t>w</m:t>
              </m:r>
            </m:e>
            <m:sub>
              <m:r>
                <m:t>k</m:t>
              </m:r>
            </m:sub>
            <m:sup>
              <m:r>
                <m:rPr>
                  <m:nor/>
                  <m:sty m:val="p"/>
                </m:rPr>
                <m:t>LSTM</m:t>
              </m:r>
            </m:sup>
          </m:sSubSup>
          <m:r>
            <m:t>⋅</m:t>
          </m:r>
          <m:sSubSup>
            <m:e>
              <m:acc>
                <m:accPr>
                  <m:chr m:val="̂"/>
                </m:accPr>
                <m:e>
                  <m:r>
                    <m:t>y</m:t>
                  </m:r>
                </m:e>
              </m:acc>
            </m:e>
            <m:sub>
              <m:r>
                <m:t>t</m:t>
              </m:r>
            </m:sub>
            <m:sup>
              <m:r>
                <m:rPr>
                  <m:nor/>
                  <m:sty m:val="p"/>
                </m:rPr>
                <m:t>LSTM</m:t>
              </m:r>
            </m:sup>
          </m:sSubSup>
          <m:r>
            <m:t>+</m:t>
          </m:r>
          <m:sSubSup>
            <m:e>
              <m:r>
                <m:t>w</m:t>
              </m:r>
            </m:e>
            <m:sub>
              <m:r>
                <m:t>k</m:t>
              </m:r>
            </m:sub>
            <m:sup>
              <m:r>
                <m:rPr>
                  <m:nor/>
                  <m:sty m:val="p"/>
                </m:rPr>
                <m:t>HAR</m:t>
              </m:r>
            </m:sup>
          </m:sSubSup>
          <m:r>
            <m:t>⋅</m:t>
          </m:r>
          <m:sSubSup>
            <m:e>
              <m:acc>
                <m:accPr>
                  <m:chr m:val="̂"/>
                </m:accPr>
                <m:e>
                  <m:r>
                    <m:t>y</m:t>
                  </m:r>
                </m:e>
              </m:acc>
            </m:e>
            <m:sub>
              <m:r>
                <m:t>t</m:t>
              </m:r>
            </m:sub>
            <m:sup>
              <m:r>
                <m:rPr>
                  <m:nor/>
                  <m:sty m:val="p"/>
                </m:rPr>
                <m:t>HAR</m:t>
              </m:r>
            </m:sup>
          </m:sSubSup>
          <m:r>
            <m:t>  </m:t>
          </m:r>
          <m:r>
            <m:t>(</m:t>
          </m:r>
          <m:r>
            <m:t>26</m:t>
          </m:r>
          <m:r>
            <m:t>)</m:t>
          </m:r>
        </m:oMath>
      </m:oMathPara>
    </w:p>
    <w:p>
      <w:pPr/>
      <w:r>
        <w:t xml:space="preserve">두 모형의 개별 예측 성능 및 앙상블 결합을 통한 오차 감소 효과는 추후 4.1에서 비교 분석한다. 그림 3은 입력 변수부터 최종 BL 입력치 산출까지의 전체 흐름을 요약한다.</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pPr>
              <w:pStyle w:val="a8"/>
              <w:jc w:val="center"/>
            </w:pPr>
            <w:r>
              <w:rPr>
                <w:b/>
              </w:rPr>
              <w:t xml:space="preserve">입력</w:t>
            </w:r>
          </w:p>
        </w:tc>
        <w:tc>
          <w:tcPr>
            <w:tcBorders>
              <w:top w:val="single" w:sz="12" w:space="0" w:color="auto"/>
              <w:bottom w:val="single" w:sz="4" w:space="0" w:color="auto"/>
            </w:tcBorders>
            <w:vAlign w:val="center"/>
          </w:tcPr>
          <w:p/>
        </w:tc>
        <w:tc>
          <w:tcPr>
            <w:tcBorders>
              <w:top w:val="single" w:sz="12" w:space="0" w:color="auto"/>
              <w:bottom w:val="single" w:sz="4" w:space="0" w:color="auto"/>
            </w:tcBorders>
            <w:vAlign w:val="center"/>
          </w:tcPr>
          <w:p>
            <w:pPr>
              <w:pStyle w:val="a8"/>
              <w:jc w:val="center"/>
            </w:pPr>
            <w:r>
              <w:rPr>
                <w:b/>
              </w:rPr>
              <w:t xml:space="preserve">모형</w:t>
            </w:r>
          </w:p>
        </w:tc>
        <w:tc>
          <w:tcPr>
            <w:tcBorders>
              <w:top w:val="single" w:sz="12" w:space="0" w:color="auto"/>
              <w:bottom w:val="single" w:sz="4" w:space="0" w:color="auto"/>
            </w:tcBorders>
            <w:vAlign w:val="center"/>
          </w:tcPr>
          <w:p/>
        </w:tc>
        <w:tc>
          <w:tcPr>
            <w:tcBorders>
              <w:top w:val="single" w:sz="12" w:space="0" w:color="auto"/>
              <w:bottom w:val="single" w:sz="4" w:space="0" w:color="auto"/>
            </w:tcBorders>
            <w:vAlign w:val="center"/>
          </w:tcPr>
          <w:p>
            <w:pPr>
              <w:pStyle w:val="a8"/>
              <w:jc w:val="center"/>
            </w:pPr>
            <w:r>
              <w:rPr>
                <w:b/>
              </w:rPr>
              <w:t xml:space="preserve">가중 결합</w:t>
            </w:r>
          </w:p>
        </w:tc>
        <w:tc>
          <w:tcPr>
            <w:tcBorders>
              <w:top w:val="single" w:sz="12" w:space="0" w:color="auto"/>
              <w:bottom w:val="single" w:sz="4" w:space="0" w:color="auto"/>
            </w:tcBorders>
            <w:vAlign w:val="center"/>
          </w:tcPr>
          <w:p/>
        </w:tc>
        <w:tc>
          <w:tcPr>
            <w:tcBorders>
              <w:top w:val="single" w:sz="12" w:space="0" w:color="auto"/>
              <w:bottom w:val="single" w:sz="4" w:space="0" w:color="auto"/>
            </w:tcBorders>
            <w:vAlign w:val="center"/>
          </w:tcPr>
          <w:p>
            <w:pPr>
              <w:pStyle w:val="a8"/>
              <w:jc w:val="center"/>
            </w:pPr>
            <w:r>
              <w:rPr>
                <w:b/>
              </w:rPr>
              <w:t xml:space="preserve">BL 입력</w:t>
            </w:r>
          </w:p>
        </w:tc>
      </w:tr>
      <w:tr>
        <w:tc>
          <w:tcPr>
            <w:vAlign w:val="center"/>
          </w:tcPr>
          <w:p>
            <w:pPr>
              <w:pStyle w:val="a8"/>
              <w:jc w:val="center"/>
            </w:pPr>
            <m:oMath>
              <m:r>
                <m:rPr>
                  <m:nor/>
                  <m:sty m:val="p"/>
                </m:rPr>
                <m:t>log</m:t>
              </m:r>
              <m:r>
                <m:t>R</m:t>
              </m:r>
              <m:sSub>
                <m:e>
                  <m:r>
                    <m:t>V</m:t>
                  </m:r>
                </m:e>
                <m:sub>
                  <m:r>
                    <m:t>d</m:t>
                  </m:r>
                  <m:r>
                    <m:t>,</m:t>
                  </m:r>
                  <m:r>
                    <m:t>t</m:t>
                  </m:r>
                </m:sub>
              </m:sSub>
              <m:r>
                <m:t>,</m:t>
              </m:r>
              <m:r>
                <m:rPr>
                  <m:nor/>
                  <m:sty m:val="p"/>
                </m:rPr>
                <m:t>log</m:t>
              </m:r>
              <m:r>
                <m:t>R</m:t>
              </m:r>
              <m:sSub>
                <m:e>
                  <m:r>
                    <m:t>V</m:t>
                  </m:r>
                </m:e>
                <m:sub>
                  <m:r>
                    <m:t>w</m:t>
                  </m:r>
                  <m:r>
                    <m:t>,</m:t>
                  </m:r>
                  <m:r>
                    <m:t>t</m:t>
                  </m:r>
                </m:sub>
              </m:sSub>
              <m:r>
                <m:t>,</m:t>
              </m:r>
              <m:r>
                <m:rPr>
                  <m:nor/>
                  <m:sty m:val="p"/>
                </m:rPr>
                <m:t>log</m:t>
              </m:r>
              <m:r>
                <m:t>R</m:t>
              </m:r>
              <m:sSub>
                <m:e>
                  <m:r>
                    <m:t>V</m:t>
                  </m:r>
                </m:e>
                <m:sub>
                  <m:r>
                    <m:t>m</m:t>
                  </m:r>
                  <m:r>
                    <m:t>,</m:t>
                  </m:r>
                  <m:r>
                    <m:t>t</m:t>
                  </m:r>
                </m:sub>
              </m:sSub>
              <m:r>
                <m:t>,</m:t>
              </m:r>
              <m:r>
                <m:rPr>
                  <m:nor/>
                  <m:sty m:val="p"/>
                </m:rPr>
                <m:t>log</m:t>
              </m:r>
              <m:sSub>
                <m:e>
                  <m:r>
                    <m:rPr>
                      <m:nor/>
                      <m:sty m:val="p"/>
                    </m:rPr>
                    <m:t>VIX</m:t>
                  </m:r>
                </m:e>
                <m:sub>
                  <m:r>
                    <m:t>t</m:t>
                  </m:r>
                </m:sub>
              </m:sSub>
            </m:oMath>
          </w:p>
        </w:tc>
        <w:tc>
          <w:tcPr>
            <w:vAlign w:val="center"/>
          </w:tcPr>
          <w:p>
            <w:pPr>
              <w:pStyle w:val="a8"/>
              <w:jc w:val="center"/>
            </w:pPr>
            <m:oMath>
              <m:r>
                <m:t>→</m:t>
              </m:r>
            </m:oMath>
          </w:p>
        </w:tc>
        <w:tc>
          <w:tcPr>
            <w:vAlign w:val="center"/>
          </w:tcPr>
          <w:p>
            <w:pPr>
              <w:pStyle w:val="a8"/>
              <w:jc w:val="center"/>
            </w:pPr>
            <w:r>
              <w:t xml:space="preserve">LSTM</w:t>
            </w:r>
          </w:p>
        </w:tc>
        <w:tc>
          <w:tcPr>
            <w:vAlign w:val="center"/>
          </w:tcPr>
          <w:p>
            <w:pPr>
              <w:pStyle w:val="a8"/>
              <w:jc w:val="center"/>
            </w:pPr>
            <m:oMath>
              <m:r>
                <m:t>↘</m:t>
              </m:r>
            </m:oMath>
          </w:p>
        </w:tc>
        <w:tc>
          <w:tcPr>
            <w:vAlign w:val="center"/>
          </w:tcPr>
          <w:p/>
        </w:tc>
        <w:tc>
          <w:tcPr>
            <w:vAlign w:val="center"/>
          </w:tcPr>
          <w:p/>
        </w:tc>
        <w:tc>
          <w:tcPr>
            <w:vAlign w:val="center"/>
          </w:tcPr>
          <w:p/>
        </w:tc>
      </w:tr>
      <w:tr>
        <w:tc>
          <w:tcPr>
            <w:vAlign w:val="center"/>
          </w:tcPr>
          <w:p/>
        </w:tc>
        <w:tc>
          <w:tcPr>
            <w:vAlign w:val="center"/>
          </w:tcPr>
          <w:p/>
        </w:tc>
        <w:tc>
          <w:tcPr>
            <w:vAlign w:val="center"/>
          </w:tcPr>
          <w:p/>
        </w:tc>
        <w:tc>
          <w:tcPr>
            <w:vAlign w:val="center"/>
          </w:tcPr>
          <w:p/>
        </w:tc>
        <w:tc>
          <w:tcPr>
            <w:vAlign w:val="center"/>
          </w:tcPr>
          <w:p>
            <w:pPr>
              <w:pStyle w:val="a8"/>
              <w:jc w:val="center"/>
            </w:pPr>
            <m:oMath>
              <m:sSubSup>
                <m:e>
                  <m:acc>
                    <m:accPr>
                      <m:chr m:val="̂"/>
                    </m:accPr>
                    <m:e>
                      <m:r>
                        <m:t>y</m:t>
                      </m:r>
                    </m:e>
                  </m:acc>
                </m:e>
                <m:sub>
                  <m:r>
                    <m:t>t</m:t>
                  </m:r>
                </m:sub>
                <m:sup>
                  <m:r>
                    <m:rPr>
                      <m:nor/>
                      <m:sty m:val="p"/>
                    </m:rPr>
                    <m:t>ens</m:t>
                  </m:r>
                </m:sup>
              </m:sSubSup>
            </m:oMath>
          </w:p>
        </w:tc>
        <w:tc>
          <w:tcPr>
            <w:vAlign w:val="center"/>
          </w:tcPr>
          <w:p>
            <w:pPr>
              <w:pStyle w:val="a8"/>
              <w:jc w:val="center"/>
            </w:pPr>
            <m:oMath>
              <m:r>
                <m:t>→</m:t>
              </m:r>
            </m:oMath>
          </w:p>
        </w:tc>
        <w:tc>
          <w:tcPr>
            <w:vAlign w:val="center"/>
          </w:tcPr>
          <w:p>
            <w:pPr>
              <w:pStyle w:val="a8"/>
              <w:jc w:val="center"/>
            </w:pPr>
            <m:oMath>
              <m:sSub>
                <m:e>
                  <m:acc>
                    <m:accPr>
                      <m:chr m:val="̂"/>
                    </m:accPr>
                    <m:e>
                      <m:r>
                        <m:t>σ</m:t>
                      </m:r>
                    </m:e>
                  </m:acc>
                </m:e>
                <m:sub>
                  <m:r>
                    <m:t>t</m:t>
                  </m:r>
                </m:sub>
              </m:sSub>
            </m:oMath>
          </w:p>
        </w:tc>
      </w:tr>
      <w:tr>
        <w:tc>
          <w:tcPr>
            <w:tcBorders>
              <w:bottom w:val="single" w:sz="12" w:space="0" w:color="auto"/>
            </w:tcBorders>
            <w:vAlign w:val="center"/>
          </w:tcPr>
          <w:p>
            <w:pPr>
              <w:pStyle w:val="a8"/>
              <w:jc w:val="center"/>
            </w:pPr>
            <m:oMath>
              <m:r>
                <m:rPr>
                  <m:nor/>
                  <m:sty m:val="p"/>
                </m:rPr>
                <m:t>log</m:t>
              </m:r>
              <m:r>
                <m:t>R</m:t>
              </m:r>
              <m:sSub>
                <m:e>
                  <m:r>
                    <m:t>V</m:t>
                  </m:r>
                </m:e>
                <m:sub>
                  <m:r>
                    <m:t>d</m:t>
                  </m:r>
                  <m:r>
                    <m:t>,</m:t>
                  </m:r>
                  <m:r>
                    <m:t>t</m:t>
                  </m:r>
                </m:sub>
              </m:sSub>
              <m:r>
                <m:t>,</m:t>
              </m:r>
              <m:r>
                <m:rPr>
                  <m:nor/>
                  <m:sty m:val="p"/>
                </m:rPr>
                <m:t>log</m:t>
              </m:r>
              <m:r>
                <m:t>R</m:t>
              </m:r>
              <m:sSub>
                <m:e>
                  <m:r>
                    <m:t>V</m:t>
                  </m:r>
                </m:e>
                <m:sub>
                  <m:r>
                    <m:t>w</m:t>
                  </m:r>
                  <m:r>
                    <m:t>,</m:t>
                  </m:r>
                  <m:r>
                    <m:t>t</m:t>
                  </m:r>
                </m:sub>
              </m:sSub>
              <m:r>
                <m:t>,</m:t>
              </m:r>
              <m:r>
                <m:rPr>
                  <m:nor/>
                  <m:sty m:val="p"/>
                </m:rPr>
                <m:t>log</m:t>
              </m:r>
              <m:r>
                <m:t>R</m:t>
              </m:r>
              <m:sSub>
                <m:e>
                  <m:r>
                    <m:t>V</m:t>
                  </m:r>
                </m:e>
                <m:sub>
                  <m:r>
                    <m:t>m</m:t>
                  </m:r>
                  <m:r>
                    <m:t>,</m:t>
                  </m:r>
                  <m:r>
                    <m:t>t</m:t>
                  </m:r>
                </m:sub>
              </m:sSub>
            </m:oMath>
          </w:p>
        </w:tc>
        <w:tc>
          <w:tcPr>
            <w:tcBorders>
              <w:bottom w:val="single" w:sz="12" w:space="0" w:color="auto"/>
            </w:tcBorders>
            <w:vAlign w:val="center"/>
          </w:tcPr>
          <w:p>
            <w:pPr>
              <w:pStyle w:val="a8"/>
              <w:jc w:val="center"/>
            </w:pPr>
            <m:oMath>
              <m:r>
                <m:t>→</m:t>
              </m:r>
            </m:oMath>
          </w:p>
        </w:tc>
        <w:tc>
          <w:tcPr>
            <w:tcBorders>
              <w:bottom w:val="single" w:sz="12" w:space="0" w:color="auto"/>
            </w:tcBorders>
            <w:vAlign w:val="center"/>
          </w:tcPr>
          <w:p>
            <w:pPr>
              <w:pStyle w:val="a8"/>
              <w:jc w:val="center"/>
            </w:pPr>
            <w:r>
              <w:t xml:space="preserve">HAR</w:t>
            </w:r>
          </w:p>
        </w:tc>
        <w:tc>
          <w:tcPr>
            <w:tcBorders>
              <w:bottom w:val="single" w:sz="12" w:space="0" w:color="auto"/>
            </w:tcBorders>
            <w:vAlign w:val="center"/>
          </w:tcPr>
          <w:p>
            <w:pPr>
              <w:pStyle w:val="a8"/>
              <w:jc w:val="center"/>
            </w:pPr>
            <m:oMath>
              <m:r>
                <m:t>↗</m:t>
              </m:r>
            </m:oMath>
          </w:p>
        </w:tc>
        <w:tc>
          <w:tcPr>
            <w:tcBorders>
              <w:bottom w:val="single" w:sz="12" w:space="0" w:color="auto"/>
            </w:tcBorders>
            <w:vAlign w:val="center"/>
          </w:tcPr>
          <w:p/>
        </w:tc>
        <w:tc>
          <w:tcPr>
            <w:tcBorders>
              <w:bottom w:val="single" w:sz="12" w:space="0" w:color="auto"/>
            </w:tcBorders>
            <w:vAlign w:val="center"/>
          </w:tcPr>
          <w:p/>
        </w:tc>
        <w:tc>
          <w:tcPr>
            <w:tcBorders>
              <w:bottom w:val="single" w:sz="12" w:space="0" w:color="auto"/>
            </w:tcBorders>
            <w:vAlign w:val="center"/>
          </w:tcPr>
          <w:p/>
        </w:tc>
      </w:tr>
    </w:tbl>
    <w:p>
      <w:pPr>
        <w:jc w:val="center"/>
      </w:pPr>
      <w:r>
        <w:rPr>
          <w:rFonts w:ascii="Times New Roman" w:hAnsi="Times New Roman" w:eastAsia="바탕"/>
          <w:sz w:val="22"/>
          <w:szCs w:val="22"/>
        </w:rPr>
        <w:t xml:space="preserve">&lt;그림 3&gt; Performance-weighted 앙상블 기반의 변동성 예측 흐름.</w:t>
      </w:r>
    </w:p>
    <w:p>
      <w:pPr>
        <w:pStyle w:val="Heading4"/>
      </w:pPr>
      <w:bookmarkStart w:id="41" w:name="ann-기준-모형"/>
      <w:r>
        <w:t xml:space="preserve">ANN (기준 모형)</w:t>
      </w:r>
      <w:bookmarkEnd w:id="41"/>
    </w:p>
    <w:p>
      <w:pPr/>
      <w:r>
        <w:t xml:space="preserve">본 연구는 2.3절의 Pyo and Lee (2018)의 ANN을 기준 모형으로 설정하여, 동일한 평가 환경 하에서 함께 평가한다. Pyo and Lee (2018)는 ANN의 세부 구조를 명시적으로 보고하지 않았으나, 금융 데이터 특성상 학습 표본 크기가 제한적이어서(60개월 윈도우 기준 유효 표본 약 50개) 과적합 위험이 크다는 점을 고려하였다. 이에 따라 학습 가능 파라미터 수(49개)가 학습 표본 수(약 50개)와 유사한 범위 내에 머물도록, 단일 은닉층 4개의 뉴런으로 구성된 소규모 구조로 재현하여 과적합 위험을 최소화하였다.(그림 4). 은닉층의 활성화 함수로는 ReLU를, 옵티마이저는 Adam을 사용하며, 과적합 방지를 위해 추가적으로</w:t>
      </w:r>
      <w:r>
        <w:t xml:space="preserve"> </w:t>
      </w:r>
      <m:oMath>
        <m:sSub>
          <m:e>
            <m:r>
              <m:t>L</m:t>
            </m:r>
          </m:e>
          <m:sub>
            <m:r>
              <m:t>2</m:t>
            </m:r>
          </m:sub>
        </m:sSub>
      </m:oMath>
      <w:r>
        <w:t xml:space="preserve"> </w:t>
      </w:r>
      <w:r>
        <w:t xml:space="preserve">정규화(</w:t>
      </w:r>
      <m:oMath>
        <m:r>
          <m:t>α</m:t>
        </m:r>
        <m:r>
          <m:t>=</m:t>
        </m:r>
        <m:r>
          <m:t>0.01</m:t>
        </m:r>
      </m:oMath>
      <w:r>
        <w:t xml:space="preserve">)를 적용하여 추정의 안정성을 보완하였다.</w:t>
      </w:r>
    </w:p>
    <w:p>
      <w:pPr>
        <w:pStyle w:val="CaptionedFigure"/>
      </w:pPr>
      <w:bookmarkStart w:id="43" w:name="fig:ann_arch"/>
      <w:r>
        <w:drawing>
          <wp:inline>
            <wp:extent cx="5892800" cy="5892800"/>
            <wp:effectExtent b="0" l="0" r="0" t="0"/>
            <wp:docPr descr="&lt;그림 4&gt; ANN 기준 모형의 구조." title="" id="1" name="Picture"/>
            <a:graphic>
              <a:graphicData uri="http://schemas.openxmlformats.org/drawingml/2006/picture">
                <pic:pic>
                  <pic:nvPicPr>
                    <pic:cNvPr descr="/sessions/sleepy-loving-thompson/mnt/low_vol_with_lstm_har_bl/paper/images/paper_final/ann_architecture.png" id="0" name="Picture"/>
                    <pic:cNvPicPr>
                      <a:picLocks noChangeArrowheads="1" noChangeAspect="1"/>
                    </pic:cNvPicPr>
                  </pic:nvPicPr>
                  <pic:blipFill>
                    <a:blip r:embed="rId42"/>
                    <a:stretch>
                      <a:fillRect/>
                    </a:stretch>
                  </pic:blipFill>
                  <pic:spPr bwMode="auto">
                    <a:xfrm>
                      <a:off x="0" y="0"/>
                      <a:ext cx="5892800" cy="5892800"/>
                    </a:xfrm>
                    <a:prstGeom prst="rect">
                      <a:avLst/>
                    </a:prstGeom>
                    <a:noFill/>
                    <a:ln w="9525">
                      <a:noFill/>
                      <a:headEnd/>
                      <a:tailEnd/>
                    </a:ln>
                  </pic:spPr>
                </pic:pic>
              </a:graphicData>
            </a:graphic>
          </wp:inline>
        </w:drawing>
      </w:r>
      <w:bookmarkEnd w:id="43"/>
    </w:p>
    <w:p>
      <w:pPr>
        <w:jc w:val="center"/>
      </w:pPr>
      <w:r>
        <w:t xml:space="preserve">&lt;그림 4&gt; ANN 기준 모형의 구조.</w:t>
      </w:r>
    </w:p>
    <w:p>
      <w:pPr/>
      <w:r>
        <w:t xml:space="preserve">Pyo and Lee (2018)의 원본 사양에 따라, ANN의 입력 변수는 직전 10개월의 월별 로그 변동성을, 출력 변수는 익월의 월별 로그 변동성을 사용한다. 각 월의 변동성은 해당 월말 기준 직전 21영업일 일별 수익률의 표준편차로 정의하여, LSTM 및 HAR 모형이 사용하는 향후 21영업일 변동성(식 19)과 동일한 일별 로그 변동성 단위로 산출되도록 하였다. 샘플링 주기(일별/월별)에 차이가 있으나 출력 단위가 동일하여 4.1절의 Walk-Forward 평가에서 직접 비교가 가능하다.</w:t>
      </w:r>
    </w:p>
    <w:p>
      <w:pPr>
        <w:pStyle w:val="3"/>
      </w:pPr>
      <w:bookmarkStart w:id="44" w:name="walk-forward-학습평가"/>
      <w:r>
        <w:t xml:space="preserve">Walk-Forward 학습·평가</w:t>
      </w:r>
      <w:bookmarkEnd w:id="44"/>
    </w:p>
    <w:p>
      <w:pPr/>
      <w:r>
        <w:t xml:space="preserve">2.2.4절의 퍼징-엠바고 Walk-Forward 구조를 모든 변동성 모형(LSTM, HAR, 앙상블, ANN)의 학습 및 평가에 동일하게 적용한다. 각 폴드는 그림 5과 같이 IS 1,250 영업일(약 5년), 퍼징 21영업일, 엠바고 63영업일, OOS 21영업일의 네 가지 구간으로 구성되며, 매 21영업일 간격으로 전진 이동(rolling)한다.</w:t>
      </w:r>
    </w:p>
    <w:p>
      <w:pPr>
        <w:pStyle w:val="CaptionedFigure"/>
      </w:pPr>
      <w:bookmarkStart w:id="46" w:name="fig:walk_forward"/>
      <w:r>
        <w:drawing>
          <wp:inline>
            <wp:extent cx="5892800" cy="2629004"/>
            <wp:effectExtent b="0" l="0" r="0" t="0"/>
            <wp:docPr descr="&lt;그림 5&gt; Walk-Forward 슬라이딩 평가 구조 (IS 1,250 · Purging 21 · Embargo 63 · OOS 21 영업일)." title="" id="1" name="Picture"/>
            <a:graphic>
              <a:graphicData uri="http://schemas.openxmlformats.org/drawingml/2006/picture">
                <pic:pic>
                  <pic:nvPicPr>
                    <pic:cNvPr descr="/sessions/sleepy-loving-thompson/mnt/low_vol_with_lstm_har_bl/paper/images/paper_final/walkforward.png" id="0" name="Picture"/>
                    <pic:cNvPicPr>
                      <a:picLocks noChangeArrowheads="1" noChangeAspect="1"/>
                    </pic:cNvPicPr>
                  </pic:nvPicPr>
                  <pic:blipFill>
                    <a:blip r:embed="rId45"/>
                    <a:stretch>
                      <a:fillRect/>
                    </a:stretch>
                  </pic:blipFill>
                  <pic:spPr bwMode="auto">
                    <a:xfrm>
                      <a:off x="0" y="0"/>
                      <a:ext cx="5892800" cy="2629004"/>
                    </a:xfrm>
                    <a:prstGeom prst="rect">
                      <a:avLst/>
                    </a:prstGeom>
                    <a:noFill/>
                    <a:ln w="9525">
                      <a:noFill/>
                      <a:headEnd/>
                      <a:tailEnd/>
                    </a:ln>
                  </pic:spPr>
                </pic:pic>
              </a:graphicData>
            </a:graphic>
          </wp:inline>
        </w:drawing>
      </w:r>
      <w:bookmarkEnd w:id="46"/>
    </w:p>
    <w:p>
      <w:pPr>
        <w:jc w:val="center"/>
      </w:pPr>
      <w:r>
        <w:t xml:space="preserve">&lt;그림 5&gt; Walk-Forward 슬라이딩 평가 구조 (IS 1</w:t>
      </w:r>
      <w:r>
        <w:t xml:space="preserve">,</w:t>
      </w:r>
      <w:r>
        <w:t xml:space="preserve">250 · Purging 21 · Embargo 63 · OOS 21 영업일).</w:t>
      </w:r>
    </w:p>
    <w:p>
      <w:pPr/>
      <w:r>
        <w:t xml:space="preserve">IS 구간의 1,250영업일은 Pyo and Lee (2018)의 학습 윈도우(60개월)와 동일한 조건 하에서 비교하기 위해 설정하였다. 퍼징 구간의 21영업일은 종속변수의 미래 예측 윈도우(식 19)와 동일한 길이로 설정되었으며, IS 마지막 시점의 미래 타깃이 OOS 구간과 시간적으로 중첩되지 않도록 차단한다. 엠바고 구간의 63영업일은 앞서 정의한 LSTM 모형의 입력 시퀀스 길이(63영업일)와 일치하도록 설정하여, 변동성 자기상관이 충분히 감쇠한 이후에 OOS 평가를 시작하도록 제한한다.</w:t>
      </w:r>
    </w:p>
    <w:p>
      <w:pPr>
        <w:pStyle w:val="2"/>
      </w:pPr>
      <w:bookmarkStart w:id="47" w:name="sec:bl"/>
      <w:r>
        <w:t xml:space="preserve">블랙-리터만 구조 및 슬롯</w:t>
      </w:r>
      <w:bookmarkEnd w:id="47"/>
    </w:p>
    <w:p>
      <w:pPr/>
      <w:r>
        <w:t xml:space="preserve">본 절에서는 앞서 2.1절의 BL 일반식(식 1–6)에 등장하는 네 가지 입력 변수인</w:t>
      </w:r>
      <w:r>
        <w:t xml:space="preserve"> </w:t>
      </w:r>
      <m:oMath>
        <m:sSub>
          <m:e>
            <m:r>
              <m:rPr>
                <m:sty m:val="b"/>
              </m:rPr>
              <m:t>w</m:t>
            </m:r>
          </m:e>
          <m:sub>
            <m:r>
              <m:t>m</m:t>
            </m:r>
            <m:r>
              <m:t>k</m:t>
            </m:r>
            <m:r>
              <m:t>t</m:t>
            </m:r>
          </m:sub>
        </m:sSub>
      </m:oMath>
      <w:r>
        <w:t xml:space="preserve"> </w:t>
      </w:r>
      <w:r>
        <w:t xml:space="preserve">(사전 분포),</w:t>
      </w:r>
      <w:r>
        <w:t xml:space="preserve"> </w:t>
      </w:r>
      <m:oMath>
        <m:r>
          <m:rPr>
            <m:sty m:val="b"/>
          </m:rPr>
          <m:t>p</m:t>
        </m:r>
      </m:oMath>
      <w:r>
        <w:t xml:space="preserve"> </w:t>
      </w:r>
      <w:r>
        <w:t xml:space="preserve">(뷰 포트폴리오),</w:t>
      </w:r>
      <w:r>
        <w:t xml:space="preserve"> </w:t>
      </w:r>
      <m:oMath>
        <m:r>
          <m:t>q</m:t>
        </m:r>
      </m:oMath>
      <w:r>
        <w:t xml:space="preserve"> </w:t>
      </w:r>
      <w:r>
        <w:t xml:space="preserve">(뷰 기대수익률),</w:t>
      </w:r>
      <w:r>
        <w:t xml:space="preserve"> </w:t>
      </w:r>
      <m:oMath>
        <m:r>
          <m:t>ω</m:t>
        </m:r>
      </m:oMath>
      <w:r>
        <w:t xml:space="preserve"> </w:t>
      </w:r>
      <w:r>
        <w:t xml:space="preserve">(뷰 신뢰도) 각각에 대해 본 연구에서 비교</w:t>
      </w:r>
      <m:oMath>
        <m:r>
          <m:t>⋅</m:t>
        </m:r>
      </m:oMath>
      <w:r>
        <w:t xml:space="preserve">분석할 슬롯별 옵션을 정의한다. 2.3절의 Pyo and Lee (2018)가 각 입력 변수에 단일 설정을 채택한 반면, 본 연구는 3.2절의 변동성 예측 결과를 BL 구조에 어떻게 연결할지에 따라 각 입력을 옵션 집합으로 일반화하고, 그 곱집합(Cartesian product)을 슬롯 그리드로 정의한다.</w:t>
      </w:r>
    </w:p>
    <w:p>
      <w:pPr>
        <w:pStyle w:val="3"/>
      </w:pPr>
      <w:bookmarkStart w:id="48" w:name="subsubsec:bl_proposed_slot"/>
      <w:r>
        <w:t xml:space="preserve">제안 슬롯</w:t>
      </w:r>
      <w:bookmarkEnd w:id="48"/>
    </w:p>
    <w:p>
      <w:pPr>
        <w:pStyle w:val="Heading4"/>
      </w:pPr>
      <w:bookmarkStart w:id="49" w:name="사전-분포-mathbfw_mkt"/>
      <w:r>
        <w:t xml:space="preserve">사전 분포 (</w:t>
      </w:r>
      <m:oMath>
        <m:sSub>
          <m:e>
            <m:r>
              <m:rPr>
                <m:sty m:val="b"/>
              </m:rPr>
              <m:t>w</m:t>
            </m:r>
          </m:e>
          <m:sub>
            <m:r>
              <m:t>m</m:t>
            </m:r>
            <m:r>
              <m:t>k</m:t>
            </m:r>
            <m:r>
              <m:t>t</m:t>
            </m:r>
          </m:sub>
        </m:sSub>
      </m:oMath>
      <w:r>
        <w:t xml:space="preserve">)</w:t>
      </w:r>
      <w:bookmarkEnd w:id="49"/>
    </w:p>
    <w:p>
      <w:pPr/>
      <w:r>
        <w:t xml:space="preserve">균형 수익률</w:t>
      </w:r>
      <w:r>
        <w:t xml:space="preserve"> </w:t>
      </w:r>
      <m:oMath>
        <m:r>
          <m:rPr>
            <m:sty m:val="b"/>
          </m:rPr>
          <m:t>π</m:t>
        </m:r>
      </m:oMath>
      <w:r>
        <w:t xml:space="preserve">(식 1) 계산에 사용하는 시장 비중</w:t>
      </w:r>
      <w:r>
        <w:t xml:space="preserve"> </w:t>
      </w:r>
      <m:oMath>
        <m:sSub>
          <m:e>
            <m:r>
              <m:rPr>
                <m:sty m:val="b"/>
              </m:rPr>
              <m:t>w</m:t>
            </m:r>
          </m:e>
          <m:sub>
            <m:r>
              <m:t>m</m:t>
            </m:r>
            <m:r>
              <m:t>k</m:t>
            </m:r>
            <m:r>
              <m:t>t</m:t>
            </m:r>
          </m:sub>
        </m:sSub>
      </m:oMath>
      <w:r>
        <w:t xml:space="preserve">를 세 가지 방식으로 구성한다.</w:t>
      </w:r>
    </w:p>
    <w:p>
      <w:pPr>
        <w:numPr>
          <w:ilvl w:val="0"/>
          <w:numId w:val="1001"/>
        </w:numPr>
      </w:pPr>
      <m:oMath>
        <m:sSup>
          <m:e>
            <m:r>
              <m:rPr>
                <m:sty m:val="b"/>
              </m:rPr>
              <m:t>w</m:t>
            </m:r>
          </m:e>
          <m:sup>
            <m:r>
              <m:rPr>
                <m:sty m:val="p"/>
              </m:rPr>
              <m:t>m</m:t>
            </m:r>
            <m:r>
              <m:rPr>
                <m:sty m:val="p"/>
              </m:rPr>
              <m:t>c</m:t>
            </m:r>
            <m:r>
              <m:rPr>
                <m:sty m:val="p"/>
              </m:rPr>
              <m:t>a</m:t>
            </m:r>
            <m:r>
              <m:rPr>
                <m:sty m:val="p"/>
              </m:rPr>
              <m:t>p</m:t>
            </m:r>
          </m:sup>
        </m:sSup>
      </m:oMath>
      <w:r>
        <w:t xml:space="preserve">: 시가총액 비중 가중. Pyo and Lee (2018)의 원안이며, CAPM의 균형 시장 포트폴리오 가정에 부합한다.</w:t>
      </w:r>
    </w:p>
    <w:p>
      <w:pPr>
        <w:numPr>
          <w:ilvl w:val="0"/>
          <w:numId w:val="1001"/>
        </w:numPr>
      </w:pPr>
      <m:oMath>
        <m:sSup>
          <m:e>
            <m:r>
              <m:rPr>
                <m:sty m:val="b"/>
              </m:rPr>
              <m:t>w</m:t>
            </m:r>
          </m:e>
          <m:sup>
            <m:r>
              <m:rPr>
                <m:sty m:val="p"/>
              </m:rPr>
              <m:t>e</m:t>
            </m:r>
            <m:r>
              <m:rPr>
                <m:sty m:val="p"/>
              </m:rPr>
              <m:t>q</m:t>
            </m:r>
          </m:sup>
        </m:sSup>
      </m:oMath>
      <w:r>
        <w:t xml:space="preserve">: 동일 가중. 유니버스 전체에 균등한 사전 정보를 부여한다.</w:t>
      </w:r>
    </w:p>
    <w:p>
      <w:pPr>
        <w:numPr>
          <w:ilvl w:val="0"/>
          <w:numId w:val="1001"/>
        </w:numPr>
      </w:pPr>
      <m:oMath>
        <m:sSup>
          <m:e>
            <m:r>
              <m:rPr>
                <m:sty m:val="b"/>
              </m:rPr>
              <m:t>w</m:t>
            </m:r>
          </m:e>
          <m:sup>
            <m:r>
              <m:rPr>
                <m:sty m:val="p"/>
              </m:rPr>
              <m:t>r</m:t>
            </m:r>
            <m:r>
              <m:rPr>
                <m:sty m:val="p"/>
              </m:rPr>
              <m:t>p</m:t>
            </m:r>
          </m:sup>
        </m:sSup>
      </m:oMath>
      <w:r>
        <w:t xml:space="preserve">: 직전 21영업일 실현 변동성의 역수(</w:t>
      </w:r>
      <m:oMath>
        <m:r>
          <m:t>1</m:t>
        </m:r>
        <m:r>
          <m:t>/</m:t>
        </m:r>
        <m:sSub>
          <m:e>
            <m:r>
              <m:t>σ</m:t>
            </m:r>
          </m:e>
          <m:sub>
            <m:r>
              <m:rPr>
                <m:sty m:val="p"/>
              </m:rPr>
              <m:t>r</m:t>
            </m:r>
            <m:r>
              <m:rPr>
                <m:sty m:val="p"/>
              </m:rPr>
              <m:t>e</m:t>
            </m:r>
            <m:r>
              <m:rPr>
                <m:sty m:val="p"/>
              </m:rPr>
              <m:t>a</m:t>
            </m:r>
            <m:r>
              <m:rPr>
                <m:sty m:val="p"/>
              </m:rPr>
              <m:t>l</m:t>
            </m:r>
            <m:r>
              <m:rPr>
                <m:sty m:val="p"/>
              </m:rPr>
              <m:t>i</m:t>
            </m:r>
            <m:r>
              <m:rPr>
                <m:sty m:val="p"/>
              </m:rPr>
              <m:t>z</m:t>
            </m:r>
            <m:r>
              <m:rPr>
                <m:sty m:val="p"/>
              </m:rPr>
              <m:t>e</m:t>
            </m:r>
            <m:r>
              <m:rPr>
                <m:sty m:val="p"/>
              </m:rPr>
              <m:t>d</m:t>
            </m:r>
          </m:sub>
        </m:sSub>
      </m:oMath>
      <w:r>
        <w:t xml:space="preserve">) 비중 가중. 저변동 종목에 더 큰 가중치를 배분하는 리스크 패리티(Maillard et al., 2010) 철학에 기반한다. 단, 사용하는 변동성은 LSTM 예측값이 아닌 전월의 실현 변동성이다.</w:t>
      </w:r>
    </w:p>
    <w:p>
      <w:pPr>
        <w:pStyle w:val="Heading4"/>
      </w:pPr>
      <w:bookmarkStart w:id="50" w:name="뷰-포트폴리오-mathbfp"/>
      <w:r>
        <w:t xml:space="preserve">뷰 포트폴리오 (</w:t>
      </w:r>
      <m:oMath>
        <m:r>
          <m:rPr>
            <m:sty m:val="b"/>
          </m:rPr>
          <m:t>p</m:t>
        </m:r>
      </m:oMath>
      <w:r>
        <w:t xml:space="preserve">)</w:t>
      </w:r>
      <w:bookmarkEnd w:id="50"/>
    </w:p>
    <w:p>
      <w:pPr/>
      <m:oMath>
        <m:r>
          <m:rPr>
            <m:sty m:val="b"/>
          </m:rPr>
          <m:t>p</m:t>
        </m:r>
      </m:oMath>
      <w:r>
        <w:t xml:space="preserve"> </w:t>
      </w:r>
      <w:r>
        <w:t xml:space="preserve">벡터는 저변동 자산이 고변동 자산을 초과 성과할 것이라는 뷰를 인코딩한다. 각 리밸런싱 시점</w:t>
      </w:r>
      <w:r>
        <w:t xml:space="preserve"> </w:t>
      </w:r>
      <m:oMath>
        <m:r>
          <m:t>t</m:t>
        </m:r>
      </m:oMath>
      <w:r>
        <w:t xml:space="preserve">에서 유니버스 내 종목을 앙상블 예측 변동성</w:t>
      </w:r>
      <w:r>
        <w:t xml:space="preserve"> </w:t>
      </w:r>
      <m:oMath>
        <m:sSub>
          <m:e>
            <m:acc>
              <m:accPr>
                <m:chr m:val="̂"/>
              </m:accPr>
              <m:e>
                <m:r>
                  <m:t>σ</m:t>
                </m:r>
              </m:e>
            </m:acc>
          </m:e>
          <m:sub>
            <m:r>
              <m:t>i</m:t>
            </m:r>
            <m:r>
              <m:t>,</m:t>
            </m:r>
            <m:r>
              <m:t>t</m:t>
            </m:r>
          </m:sub>
        </m:sSub>
      </m:oMath>
      <w:r>
        <w:t xml:space="preserve"> </w:t>
      </w:r>
      <w:r>
        <w:t xml:space="preserve">기준으로 오름차순 정렬 후, 하위 30%(저변동 그룹</w:t>
      </w:r>
      <w:r>
        <w:t xml:space="preserve"> </w:t>
      </w:r>
      <m:oMath>
        <m:r>
          <m:t>L</m:t>
        </m:r>
      </m:oMath>
      <w:r>
        <w:t xml:space="preserve">)에 양(</w:t>
      </w:r>
      <m:oMath>
        <m:r>
          <m:t>+</m:t>
        </m:r>
      </m:oMath>
      <w:r>
        <w:t xml:space="preserve">)의 가중치, 상위 30%(고변동 그룹</w:t>
      </w:r>
      <w:r>
        <w:t xml:space="preserve"> </w:t>
      </w:r>
      <m:oMath>
        <m:r>
          <m:t>H</m:t>
        </m:r>
      </m:oMath>
      <w:r>
        <w:t xml:space="preserve">)에 음(</w:t>
      </w:r>
      <m:oMath>
        <m:r>
          <m:t>−</m:t>
        </m:r>
      </m:oMath>
      <w:r>
        <w:t xml:space="preserve">)의 가중치를 부여하며, 나머지 40%는 0으로 처리한다. 롱 측 가중치의 합은</w:t>
      </w:r>
      <w:r>
        <w:t xml:space="preserve"> </w:t>
      </w:r>
      <m:oMath>
        <m:r>
          <m:t>+</m:t>
        </m:r>
        <m:r>
          <m:t>1</m:t>
        </m:r>
      </m:oMath>
      <w:r>
        <w:t xml:space="preserve">, 숏 측 가중치의 합은</w:t>
      </w:r>
      <w:r>
        <w:t xml:space="preserve"> </w:t>
      </w:r>
      <m:oMath>
        <m:r>
          <m:t>−</m:t>
        </m:r>
        <m:r>
          <m:t>1</m:t>
        </m:r>
      </m:oMath>
      <w:r>
        <w:t xml:space="preserve">로 정규화되어</w:t>
      </w:r>
      <w:r>
        <w:t xml:space="preserve"> </w:t>
      </w:r>
      <m:oMath>
        <m:nary>
          <m:naryPr>
            <m:chr m:val="∑"/>
            <m:limLoc m:val="undOvr"/>
            <m:subHide m:val="0"/>
            <m:supHide m:val="1"/>
          </m:naryPr>
          <m:sub>
            <m:r>
              <m:t>i</m:t>
            </m:r>
          </m:sub>
          <m:sup>
            <m:r>
              <m:t>​</m:t>
            </m:r>
          </m:sup>
          <m:e>
            <m:sSub>
              <m:e>
                <m:r>
                  <m:t>p</m:t>
                </m:r>
              </m:e>
              <m:sub>
                <m:r>
                  <m:t>i</m:t>
                </m:r>
              </m:sub>
            </m:sSub>
          </m:e>
        </m:nary>
        <m:r>
          <m:t>=</m:t>
        </m:r>
        <m:r>
          <m:t>0</m:t>
        </m:r>
      </m:oMath>
      <w:r>
        <w:t xml:space="preserve">을 만족하며, 이는 자기자금조달(self-financing) 롱-숏 포트폴리오 뷰에 해당한다. 분류 임계값(상하위 30%)은 Pyo and Lee (2018)의 설정을 따르며, 그룹 내 가중 방식은 본 연구에서 세 가지로 일반화한다.</w:t>
      </w:r>
    </w:p>
    <w:p>
      <w:pPr>
        <w:numPr>
          <w:ilvl w:val="0"/>
          <w:numId w:val="1002"/>
        </w:numPr>
      </w:pPr>
      <m:oMath>
        <m:sSup>
          <m:e>
            <m:r>
              <m:rPr>
                <m:sty m:val="b"/>
              </m:rPr>
              <m:t>p</m:t>
            </m:r>
          </m:e>
          <m:sup>
            <m:r>
              <m:rPr>
                <m:sty m:val="p"/>
              </m:rPr>
              <m:t>m</m:t>
            </m:r>
            <m:r>
              <m:rPr>
                <m:sty m:val="p"/>
              </m:rPr>
              <m:t>c</m:t>
            </m:r>
            <m:r>
              <m:rPr>
                <m:sty m:val="p"/>
              </m:rPr>
              <m:t>a</m:t>
            </m:r>
            <m:r>
              <m:rPr>
                <m:sty m:val="p"/>
              </m:rPr>
              <m:t>p</m:t>
            </m:r>
          </m:sup>
        </m:sSup>
      </m:oMath>
      <w:r>
        <w:t xml:space="preserve">: 시가총액 비례 가중. Pyo and Lee (2018)의 원안으로, 각 그룹 내 시가총액 합계로 정규화한다. 식은 (15)와 동일한 표현이다.</w:t>
      </w:r>
    </w:p>
    <w:p>
      <w:pPr>
        <w:numPr>
          <w:ilvl w:val="0"/>
          <w:numId w:val="1002"/>
        </w:numPr>
      </w:pPr>
      <m:oMath>
        <m:sSup>
          <m:e>
            <m:r>
              <m:rPr>
                <m:sty m:val="b"/>
              </m:rPr>
              <m:t>p</m:t>
            </m:r>
          </m:e>
          <m:sup>
            <m:r>
              <m:rPr>
                <m:sty m:val="p"/>
              </m:rPr>
              <m:t>e</m:t>
            </m:r>
            <m:r>
              <m:rPr>
                <m:sty m:val="p"/>
              </m:rPr>
              <m:t>q</m:t>
            </m:r>
          </m:sup>
        </m:sSup>
      </m:oMath>
      <w:r>
        <w:t xml:space="preserve">: 동일 가중. 각 그룹 내 모든 종목에</w:t>
      </w:r>
      <w:r>
        <w:t xml:space="preserve"> </w:t>
      </w:r>
      <m:oMath>
        <m:r>
          <m:t>+</m:t>
        </m:r>
        <m:r>
          <m:t>1</m:t>
        </m:r>
        <m:r>
          <m:t>/</m:t>
        </m:r>
        <m:r>
          <m:t>|</m:t>
        </m:r>
        <m:r>
          <m:t>L</m:t>
        </m:r>
        <m:r>
          <m:t>|</m:t>
        </m:r>
      </m:oMath>
      <w:r>
        <w:t xml:space="preserve"> </w:t>
      </w:r>
      <w:r>
        <w:t xml:space="preserve">(롱 측) 또는</w:t>
      </w:r>
      <w:r>
        <w:t xml:space="preserve"> </w:t>
      </w:r>
      <m:oMath>
        <m:r>
          <m:t>−</m:t>
        </m:r>
        <m:r>
          <m:t>1</m:t>
        </m:r>
        <m:r>
          <m:t>/</m:t>
        </m:r>
        <m:r>
          <m:t>|</m:t>
        </m:r>
        <m:r>
          <m:t>H</m:t>
        </m:r>
        <m:r>
          <m:t>|</m:t>
        </m:r>
      </m:oMath>
      <w:r>
        <w:t xml:space="preserve"> </w:t>
      </w:r>
      <w:r>
        <w:t xml:space="preserve">(숏 측) 을 배분하여, 시가총액 집중에 따른 편향을 제거하고 변동성 분류 신호를 균등하게 반영한다.</w:t>
      </w:r>
    </w:p>
    <w:p>
      <w:pPr>
        <w:numPr>
          <w:ilvl w:val="0"/>
          <w:numId w:val="1002"/>
        </w:numPr>
      </w:pPr>
      <m:oMath>
        <m:sSup>
          <m:e>
            <m:r>
              <m:rPr>
                <m:sty m:val="b"/>
              </m:rPr>
              <m:t>p</m:t>
            </m:r>
          </m:e>
          <m:sup>
            <m:r>
              <m:rPr>
                <m:sty m:val="p"/>
              </m:rPr>
              <m:t>r</m:t>
            </m:r>
            <m:r>
              <m:rPr>
                <m:sty m:val="p"/>
              </m:rPr>
              <m:t>p</m:t>
            </m:r>
          </m:sup>
        </m:sSup>
      </m:oMath>
      <w:r>
        <w:t xml:space="preserve">: 역변동성 가중. 그룹 내 종목에 예측 변동성의 역수에 비례한 비중을 배분한다.</w:t>
      </w:r>
    </w:p>
    <w:p>
      <w:pPr/>
      <m:oMathPara>
        <m:oMathParaPr>
          <m:jc m:val="center"/>
        </m:oMathParaPr>
        <m:oMath>
          <m:sSubSup>
            <m:e>
              <m:r>
                <m:t>p</m:t>
              </m:r>
            </m:e>
            <m:sub>
              <m:r>
                <m:t>i</m:t>
              </m:r>
            </m:sub>
            <m:sup>
              <m:r>
                <m:rPr>
                  <m:sty m:val="p"/>
                </m:rPr>
                <m:t>r</m:t>
              </m:r>
              <m:r>
                <m:rPr>
                  <m:sty m:val="p"/>
                </m:rPr>
                <m:t>p</m:t>
              </m:r>
            </m:sup>
          </m:sSubSup>
          <m:r>
            <m:t>=</m:t>
          </m:r>
          <m:d>
            <m:dPr>
              <m:begChr m:val="{"/>
              <m:endChr m:val=""/>
              <m:grow/>
            </m:dPr>
            <m:e>
              <m:m>
                <m:mPr>
                  <m:baseJc m:val="center"/>
                  <m:plcHide m:val="1"/>
                  <m:mcs>
                    <m:mc>
                      <m:mcPr>
                        <m:mcJc m:val="left"/>
                        <m:count m:val="1"/>
                      </m:mcPr>
                    </m:mc>
                    <m:mc>
                      <m:mcPr>
                        <m:mcJc m:val="left"/>
                        <m:count m:val="1"/>
                      </m:mcPr>
                    </m:mc>
                  </m:mcs>
                </m:mPr>
                <m:mr>
                  <m:e>
                    <m:r>
                      <m:t>+</m:t>
                    </m:r>
                    <m:f>
                      <m:fPr>
                        <m:type m:val="bar"/>
                      </m:fPr>
                      <m:num>
                        <m:r>
                          <m:t>1</m:t>
                        </m:r>
                        <m:r>
                          <m:t>/</m:t>
                        </m:r>
                        <m:sSub>
                          <m:e>
                            <m:acc>
                              <m:accPr>
                                <m:chr m:val="̂"/>
                              </m:accPr>
                              <m:e>
                                <m:r>
                                  <m:t>σ</m:t>
                                </m:r>
                              </m:e>
                            </m:acc>
                          </m:e>
                          <m:sub>
                            <m:r>
                              <m:t>i</m:t>
                            </m:r>
                          </m:sub>
                        </m:sSub>
                      </m:num>
                      <m:den>
                        <m:nary>
                          <m:naryPr>
                            <m:chr m:val="∑"/>
                            <m:limLoc m:val="undOvr"/>
                            <m:subHide m:val="0"/>
                            <m:supHide m:val="1"/>
                          </m:naryPr>
                          <m:sub>
                            <m:r>
                              <m:t>j</m:t>
                            </m:r>
                            <m:r>
                              <m:t>∈</m:t>
                            </m:r>
                            <m:r>
                              <m:rPr>
                                <m:sty m:val="p"/>
                                <m:scr m:val="script"/>
                              </m:rPr>
                              <m:t>L</m:t>
                            </m:r>
                          </m:sub>
                          <m:sup>
                            <m:r>
                              <m:t>​</m:t>
                            </m:r>
                          </m:sup>
                          <m:e>
                            <m:r>
                              <m:t>1</m:t>
                            </m:r>
                          </m:e>
                        </m:nary>
                        <m:r>
                          <m:t>/</m:t>
                        </m:r>
                        <m:sSub>
                          <m:e>
                            <m:acc>
                              <m:accPr>
                                <m:chr m:val="̂"/>
                              </m:accPr>
                              <m:e>
                                <m:r>
                                  <m:t>σ</m:t>
                                </m:r>
                              </m:e>
                            </m:acc>
                          </m:e>
                          <m:sub>
                            <m:r>
                              <m:t>j</m:t>
                            </m:r>
                          </m:sub>
                        </m:sSub>
                      </m:den>
                    </m:f>
                    <m:r>
                      <m:t>,</m:t>
                    </m:r>
                  </m:e>
                  <m:e>
                    <m:r>
                      <m:t>i</m:t>
                    </m:r>
                    <m:r>
                      <m:t>∈</m:t>
                    </m:r>
                    <m:r>
                      <m:rPr>
                        <m:sty m:val="p"/>
                        <m:scr m:val="script"/>
                      </m:rPr>
                      <m:t>L</m:t>
                    </m:r>
                    <m:r>
                      <m:t>,</m:t>
                    </m:r>
                  </m:e>
                </m:mr>
                <m:mr>
                  <m:e>
                    <m:r>
                      <m:t>−</m:t>
                    </m:r>
                    <m:f>
                      <m:fPr>
                        <m:type m:val="bar"/>
                      </m:fPr>
                      <m:num>
                        <m:r>
                          <m:t>1</m:t>
                        </m:r>
                        <m:r>
                          <m:t>/</m:t>
                        </m:r>
                        <m:sSub>
                          <m:e>
                            <m:acc>
                              <m:accPr>
                                <m:chr m:val="̂"/>
                              </m:accPr>
                              <m:e>
                                <m:r>
                                  <m:t>σ</m:t>
                                </m:r>
                              </m:e>
                            </m:acc>
                          </m:e>
                          <m:sub>
                            <m:r>
                              <m:t>i</m:t>
                            </m:r>
                          </m:sub>
                        </m:sSub>
                      </m:num>
                      <m:den>
                        <m:nary>
                          <m:naryPr>
                            <m:chr m:val="∑"/>
                            <m:limLoc m:val="undOvr"/>
                            <m:subHide m:val="0"/>
                            <m:supHide m:val="1"/>
                          </m:naryPr>
                          <m:sub>
                            <m:r>
                              <m:t>j</m:t>
                            </m:r>
                            <m:r>
                              <m:t>∈</m:t>
                            </m:r>
                            <m:r>
                              <m:rPr>
                                <m:sty m:val="p"/>
                                <m:scr m:val="script"/>
                              </m:rPr>
                              <m:t>H</m:t>
                            </m:r>
                          </m:sub>
                          <m:sup>
                            <m:r>
                              <m:t>​</m:t>
                            </m:r>
                          </m:sup>
                          <m:e>
                            <m:r>
                              <m:t>1</m:t>
                            </m:r>
                          </m:e>
                        </m:nary>
                        <m:r>
                          <m:t>/</m:t>
                        </m:r>
                        <m:sSub>
                          <m:e>
                            <m:acc>
                              <m:accPr>
                                <m:chr m:val="̂"/>
                              </m:accPr>
                              <m:e>
                                <m:r>
                                  <m:t>σ</m:t>
                                </m:r>
                              </m:e>
                            </m:acc>
                          </m:e>
                          <m:sub>
                            <m:r>
                              <m:t>j</m:t>
                            </m:r>
                          </m:sub>
                        </m:sSub>
                      </m:den>
                    </m:f>
                    <m:r>
                      <m:t>,</m:t>
                    </m:r>
                  </m:e>
                  <m:e>
                    <m:r>
                      <m:t>i</m:t>
                    </m:r>
                    <m:r>
                      <m:t>∈</m:t>
                    </m:r>
                    <m:r>
                      <m:rPr>
                        <m:sty m:val="p"/>
                        <m:scr m:val="script"/>
                      </m:rPr>
                      <m:t>H</m:t>
                    </m:r>
                    <m:r>
                      <m:t>,</m:t>
                    </m:r>
                  </m:e>
                </m:mr>
                <m:mr>
                  <m:e>
                    <m:phant>
                      <m:phantPr>
                        <m:show m:val="0"/>
                      </m:phantPr>
                      <m:e>
                        <m:r>
                          <m:t>+</m:t>
                        </m:r>
                      </m:e>
                    </m:phant>
                    <m:r>
                      <m:t>0</m:t>
                    </m:r>
                    <m:r>
                      <m:t>,</m:t>
                    </m:r>
                  </m:e>
                  <m:e>
                    <m:r>
                      <m:rPr>
                        <m:nor/>
                        <m:sty m:val="p"/>
                      </m:rPr>
                      <m:t>otherwise</m:t>
                    </m:r>
                    <m:r>
                      <m:t>.</m:t>
                    </m:r>
                  </m:e>
                </m:mr>
              </m:m>
            </m:e>
          </m:d>
          <m:r>
            <m:t>  </m:t>
          </m:r>
          <m:r>
            <m:t>(</m:t>
          </m:r>
          <m:r>
            <m:t>27</m:t>
          </m:r>
          <m:r>
            <m:t>)</m:t>
          </m:r>
        </m:oMath>
      </m:oMathPara>
    </w:p>
    <w:p>
      <w:pPr>
        <w:numPr>
          <w:ilvl w:val="0"/>
          <w:numId w:val="1002"/>
        </w:numPr>
      </w:pPr>
      <w:r>
        <w:t xml:space="preserve">분류(상하위 30% 선택) 단계에서는 모형 예측값의 순위 정보를, 가중(그룹 내 배분) 단계에서는 크기 정보를 각각 활용한다는 점에서,</w:t>
      </w:r>
      <w:r>
        <w:t xml:space="preserve"> </w:t>
      </w:r>
      <m:oMath>
        <m:sSup>
          <m:e>
            <m:r>
              <m:rPr>
                <m:sty m:val="b"/>
              </m:rPr>
              <m:t>p</m:t>
            </m:r>
          </m:e>
          <m:sup>
            <m:r>
              <m:rPr>
                <m:sty m:val="p"/>
              </m:rPr>
              <m:t>r</m:t>
            </m:r>
            <m:r>
              <m:rPr>
                <m:sty m:val="p"/>
              </m:rPr>
              <m:t>p</m:t>
            </m:r>
          </m:sup>
        </m:sSup>
      </m:oMath>
      <w:r>
        <w:t xml:space="preserve">는 모형의 예측값이 이중으로 활용되는 구조다. 이러한 구조는 변동성 예측 신호를 포트폴리오에 적극적으로 반영할 수 있다는 한편, 모델의 추정오차가 누적될 위험을 수반한다.</w:t>
      </w:r>
    </w:p>
    <w:p>
      <w:pPr>
        <w:pStyle w:val="Heading4"/>
      </w:pPr>
      <w:bookmarkStart w:id="51" w:name="뷰-기대수익률-q"/>
      <w:r>
        <w:t xml:space="preserve">뷰 기대수익률 (</w:t>
      </w:r>
      <m:oMath>
        <m:r>
          <m:t>q</m:t>
        </m:r>
      </m:oMath>
      <w:r>
        <w:t xml:space="preserve">)</w:t>
      </w:r>
      <w:bookmarkEnd w:id="51"/>
    </w:p>
    <w:p>
      <w:pPr/>
      <m:oMath>
        <m:r>
          <m:t>q</m:t>
        </m:r>
      </m:oMath>
      <w:r>
        <w:t xml:space="preserve">는 저변동-고변동 그룹 간 기대수익률 스프레드로, 본 연구는 다섯 가지 슬롯을 비교한다. 다섯 가지 슬롯은</w:t>
      </w:r>
      <w:r>
        <w:t xml:space="preserve"> </w:t>
      </w:r>
      <m:oMath>
        <m:r>
          <m:t>q</m:t>
        </m:r>
      </m:oMath>
      <w:r>
        <w:t xml:space="preserve">를 결정하는 정보 채널에 따라 다음 세 범주로 구분된다.</w:t>
      </w:r>
    </w:p>
    <w:p>
      <w:pPr>
        <w:numPr>
          <w:ilvl w:val="0"/>
          <w:numId w:val="1003"/>
        </w:numPr>
      </w:pPr>
      <w:r>
        <w:rPr>
          <w:b/>
        </w:rPr>
        <w:t xml:space="preserve">시장 위험회피도 (</w:t>
      </w:r>
      <m:oMath>
        <m:sSub>
          <m:e>
            <m:r>
              <m:t>λ</m:t>
            </m:r>
          </m:e>
          <m:sub>
            <m:r>
              <m:t>q</m:t>
            </m:r>
          </m:sub>
        </m:sSub>
      </m:oMath>
      <w:r>
        <w:rPr>
          <w:b/>
        </w:rPr>
        <w:t xml:space="preserve">) 기반</w:t>
      </w:r>
      <w:r>
        <w:t xml:space="preserve">:</w:t>
      </w:r>
      <w:r>
        <w:t xml:space="preserve"> </w:t>
      </w:r>
      <m:oMath>
        <m:sSup>
          <m:e>
            <m:r>
              <m:t>q</m:t>
            </m:r>
          </m:e>
          <m:sup>
            <m:r>
              <m:rPr>
                <m:sty m:val="p"/>
              </m:rPr>
              <m:t>l</m:t>
            </m:r>
            <m:r>
              <m:rPr>
                <m:sty m:val="p"/>
              </m:rPr>
              <m:t>a</m:t>
            </m:r>
            <m:r>
              <m:rPr>
                <m:sty m:val="p"/>
              </m:rPr>
              <m:t>m</m:t>
            </m:r>
          </m:sup>
        </m:sSup>
        <m:r>
          <m:t>,</m:t>
        </m:r>
        <m:sSup>
          <m:e>
            <m:r>
              <m:t>q</m:t>
            </m:r>
          </m:e>
          <m:sup>
            <m:r>
              <m:rPr>
                <m:sty m:val="p"/>
              </m:rPr>
              <m:t>r</m:t>
            </m:r>
            <m:r>
              <m:rPr>
                <m:sty m:val="p"/>
              </m:rPr>
              <m:t>a</m:t>
            </m:r>
            <m:r>
              <m:rPr>
                <m:sty m:val="p"/>
              </m:rPr>
              <m:t>w</m:t>
            </m:r>
          </m:sup>
        </m:sSup>
        <m:r>
          <m:t>,</m:t>
        </m:r>
        <m:sSup>
          <m:e>
            <m:r>
              <m:t>q</m:t>
            </m:r>
          </m:e>
          <m:sup>
            <m:r>
              <m:rPr>
                <m:sty m:val="p"/>
              </m:rPr>
              <m:t>i</m:t>
            </m:r>
            <m:r>
              <m:rPr>
                <m:sty m:val="p"/>
              </m:rPr>
              <m:t>n</m:t>
            </m:r>
            <m:r>
              <m:rPr>
                <m:sty m:val="p"/>
              </m:rPr>
              <m:t>v</m:t>
            </m:r>
          </m:sup>
        </m:sSup>
      </m:oMath>
      <w:r>
        <w:t xml:space="preserve"> </w:t>
      </w:r>
      <w:r>
        <w:t xml:space="preserve">— SPY 초과수익과 시장 분산으로 추정한 매크로 위험회피도를 신호로 사용한다.</w:t>
      </w:r>
    </w:p>
    <w:p>
      <w:pPr>
        <w:numPr>
          <w:ilvl w:val="0"/>
          <w:numId w:val="1003"/>
        </w:numPr>
      </w:pPr>
      <w:r>
        <w:rPr>
          <w:b/>
        </w:rPr>
        <w:t xml:space="preserve">예측 변동성 (</w:t>
      </w:r>
      <m:oMath>
        <m:r>
          <m:t>Δ</m:t>
        </m:r>
        <m:acc>
          <m:accPr>
            <m:chr m:val="̂"/>
          </m:accPr>
          <m:e>
            <m:r>
              <m:t>σ</m:t>
            </m:r>
          </m:e>
        </m:acc>
      </m:oMath>
      <w:r>
        <w:rPr>
          <w:b/>
        </w:rPr>
        <w:t xml:space="preserve">) 기반</w:t>
      </w:r>
      <w:r>
        <w:t xml:space="preserve">:</w:t>
      </w:r>
      <w:r>
        <w:t xml:space="preserve"> </w:t>
      </w:r>
      <m:oMath>
        <m:sSup>
          <m:e>
            <m:r>
              <m:t>q</m:t>
            </m:r>
          </m:e>
          <m:sup>
            <m:r>
              <m:rPr>
                <m:sty m:val="p"/>
              </m:rPr>
              <m:t>v</m:t>
            </m:r>
            <m:r>
              <m:rPr>
                <m:sty m:val="p"/>
              </m:rPr>
              <m:t>s</m:t>
            </m:r>
            <m:r>
              <m:rPr>
                <m:sty m:val="p"/>
              </m:rPr>
              <m:t>p</m:t>
            </m:r>
          </m:sup>
        </m:sSup>
      </m:oMath>
      <w:r>
        <w:t xml:space="preserve"> </w:t>
      </w:r>
      <w:r>
        <w:t xml:space="preserve">— 고/저변동 그룹의 예측 변동성 격차를</w:t>
      </w:r>
      <w:r>
        <w:t xml:space="preserve"> </w:t>
      </w:r>
      <m:oMath>
        <m:r>
          <m:t>q</m:t>
        </m:r>
      </m:oMath>
      <w:r>
        <w:t xml:space="preserve">에 직접 반영한다.</w:t>
      </w:r>
    </w:p>
    <w:p>
      <w:pPr>
        <w:numPr>
          <w:ilvl w:val="0"/>
          <w:numId w:val="1003"/>
        </w:numPr>
      </w:pPr>
      <w:r>
        <w:rPr>
          <w:b/>
        </w:rPr>
        <w:t xml:space="preserve">Fama-French 3팩터 모형 (FF3) 기반</w:t>
      </w:r>
      <w:r>
        <w:t xml:space="preserve">:</w:t>
      </w:r>
      <w:r>
        <w:t xml:space="preserve"> </w:t>
      </w:r>
      <m:oMath>
        <m:sSup>
          <m:e>
            <m:r>
              <m:t>q</m:t>
            </m:r>
          </m:e>
          <m:sup>
            <m:r>
              <m:rPr>
                <m:sty m:val="p"/>
              </m:rPr>
              <m:t>f</m:t>
            </m:r>
            <m:r>
              <m:rPr>
                <m:sty m:val="p"/>
              </m:rPr>
              <m:t>f</m:t>
            </m:r>
            <m:r>
              <m:rPr>
                <m:sty m:val="p"/>
              </m:rPr>
              <m:t>3</m:t>
            </m:r>
          </m:sup>
        </m:sSup>
      </m:oMath>
      <w:r>
        <w:t xml:space="preserve"> </w:t>
      </w:r>
      <w:r>
        <w:t xml:space="preserve">— Pyo and Lee (2018)의 원안에 해당하는 본 연구의 앵커 슬롯이다.</w:t>
      </w:r>
    </w:p>
    <w:p>
      <w:pPr/>
      <w:r>
        <w:t xml:space="preserve">앞의 두 범주에 속하는 4개의 슬롯은 공통 기준값</w:t>
      </w:r>
      <w:r>
        <w:t xml:space="preserve"> </w:t>
      </w:r>
      <m:oMath>
        <m:sSub>
          <m:e>
            <m:r>
              <m:t>q</m:t>
            </m:r>
          </m:e>
          <m:sub>
            <m:r>
              <m:t>0</m:t>
            </m:r>
          </m:sub>
        </m:sSub>
        <m:r>
          <m:t>=</m:t>
        </m:r>
        <m:r>
          <m:t>0.003</m:t>
        </m:r>
      </m:oMath>
      <w:r>
        <w:t xml:space="preserve">을 시장 신호로 동적 조정하는 반면,</w:t>
      </w:r>
      <w:r>
        <w:t xml:space="preserve"> </w:t>
      </w:r>
      <m:oMath>
        <m:sSup>
          <m:e>
            <m:r>
              <m:t>q</m:t>
            </m:r>
          </m:e>
          <m:sup>
            <m:r>
              <m:rPr>
                <m:sty m:val="p"/>
              </m:rPr>
              <m:t>f</m:t>
            </m:r>
            <m:r>
              <m:rPr>
                <m:sty m:val="p"/>
              </m:rPr>
              <m:t>f</m:t>
            </m:r>
            <m:r>
              <m:rPr>
                <m:sty m:val="p"/>
              </m:rPr>
              <m:t>3</m:t>
            </m:r>
          </m:sup>
        </m:sSup>
      </m:oMath>
      <w:r>
        <w:t xml:space="preserve">은 종목별 팩터 회귀 결과를</w:t>
      </w:r>
      <w:r>
        <w:t xml:space="preserve"> </w:t>
      </w:r>
      <m:oMath>
        <m:r>
          <m:rPr>
            <m:sty m:val="b"/>
          </m:rPr>
          <m:t>p</m:t>
        </m:r>
      </m:oMath>
      <w:r>
        <w:t xml:space="preserve"> </w:t>
      </w:r>
      <w:r>
        <w:t xml:space="preserve">벡터와 결합하여</w:t>
      </w:r>
      <w:r>
        <w:t xml:space="preserve"> </w:t>
      </w:r>
      <m:oMath>
        <m:r>
          <m:t>q</m:t>
        </m:r>
      </m:oMath>
      <w:r>
        <w:t xml:space="preserve">를 직접 산출한다.</w:t>
      </w:r>
    </w:p>
    <w:p>
      <w:pPr/>
      <w:r>
        <w:rPr>
          <w:b/>
        </w:rPr>
        <w:t xml:space="preserve">기준값</w:t>
      </w:r>
      <w:r>
        <w:rPr>
          <w:b/>
        </w:rPr>
        <w:t xml:space="preserve"> </w:t>
      </w:r>
      <m:oMath>
        <m:sSub>
          <m:e>
            <m:r>
              <m:t>q</m:t>
            </m:r>
          </m:e>
          <m:sub>
            <m:r>
              <m:t>0</m:t>
            </m:r>
          </m:sub>
        </m:sSub>
      </m:oMath>
      <w:r>
        <w:rPr>
          <w:b/>
        </w:rPr>
        <w:t xml:space="preserve"> </w:t>
      </w:r>
      <w:r>
        <w:rPr>
          <w:b/>
        </w:rPr>
        <w:t xml:space="preserve">설정.</w:t>
      </w:r>
      <w:r>
        <w:t xml:space="preserve"> </w:t>
      </w:r>
      <w:r>
        <w:t xml:space="preserve">4개 동적 조정 슬롯의 기준값</w:t>
      </w:r>
      <w:r>
        <w:t xml:space="preserve"> </w:t>
      </w:r>
      <m:oMath>
        <m:sSub>
          <m:e>
            <m:r>
              <m:t>q</m:t>
            </m:r>
          </m:e>
          <m:sub>
            <m:r>
              <m:t>0</m:t>
            </m:r>
          </m:sub>
        </m:sSub>
        <m:r>
          <m:t>=</m:t>
        </m:r>
        <m:r>
          <m:t>0.003</m:t>
        </m:r>
      </m:oMath>
      <w:r>
        <w:t xml:space="preserve">(월 0.3%)은 저위험 이상현상 실증 문헌의 보고치를 보수적으로 반영한 값이다. Frazzini and Pedersen (2014)는 미국 주식 표본에서 BAB(Betting Against Beta) 팩터의 월 평균 초과수익을 약 0.55–0.70% 수준으로 보고하며, Baker et al. (2011), Blitz and van Vliet (2007) 역시 저변동 long-short 전략의 월 수익이 0.4–0.7% 범위임을 확인한다. 본 연구는 예측 모형의 오판 가능성을 감안해 실증치의 약 절반인 0.3%를 기준값으로 채택한다.</w:t>
      </w:r>
    </w:p>
    <w:p>
      <w:pPr/>
      <m:oMath>
        <m:sSub>
          <m:e>
            <m:r>
              <m:t>λ</m:t>
            </m:r>
          </m:e>
          <m:sub>
            <m:r>
              <m:t>q</m:t>
            </m:r>
          </m:sub>
        </m:sSub>
      </m:oMath>
      <w:r>
        <w:rPr>
          <w:b/>
        </w:rPr>
        <w:t xml:space="preserve"> </w:t>
      </w:r>
      <w:r>
        <w:rPr>
          <w:b/>
        </w:rPr>
        <w:t xml:space="preserve">기반 슬롯.</w:t>
      </w:r>
      <w:r>
        <w:t xml:space="preserve"> </w:t>
      </w:r>
      <w:r>
        <w:t xml:space="preserve">동적 조정에 사용하는 시장 위험회피도</w:t>
      </w:r>
      <w:r>
        <w:t xml:space="preserve"> </w:t>
      </w:r>
      <m:oMath>
        <m:sSub>
          <m:e>
            <m:r>
              <m:t>λ</m:t>
            </m:r>
          </m:e>
          <m:sub>
            <m:r>
              <m:t>q</m:t>
            </m:r>
          </m:sub>
        </m:sSub>
      </m:oMath>
      <w:r>
        <w:t xml:space="preserve">는</w:t>
      </w:r>
      <w:r>
        <w:t xml:space="preserve"> </w:t>
      </w:r>
      <m:oMath>
        <m:r>
          <m:rPr>
            <m:sty m:val="b"/>
          </m:rPr>
          <m:t>π</m:t>
        </m:r>
      </m:oMath>
      <w:r>
        <w:t xml:space="preserve"> </w:t>
      </w:r>
      <w:r>
        <w:t xml:space="preserve">계산용 고정</w:t>
      </w:r>
      <w:r>
        <w:t xml:space="preserve"> </w:t>
      </w:r>
      <m:oMath>
        <m:r>
          <m:t>λ</m:t>
        </m:r>
        <m:r>
          <m:t>=</m:t>
        </m:r>
        <m:r>
          <m:t>2.5</m:t>
        </m:r>
      </m:oMath>
      <w:r>
        <w:t xml:space="preserve">와 별개로, 매 시점 다음과 같이 추정한다.</w:t>
      </w:r>
    </w:p>
    <w:p>
      <w:pPr/>
      <m:oMathPara>
        <m:oMathParaPr>
          <m:jc m:val="center"/>
        </m:oMathParaPr>
        <m:oMath>
          <m:sSub>
            <m:e>
              <m:r>
                <m:t>λ</m:t>
              </m:r>
            </m:e>
            <m:sub>
              <m:r>
                <m:t>q</m:t>
              </m:r>
            </m:sub>
          </m:sSub>
          <m:r>
            <m:t>=</m:t>
          </m:r>
          <m:r>
            <m:rPr>
              <m:sty m:val="p"/>
            </m:rPr>
            <m:t>c</m:t>
          </m:r>
          <m:r>
            <m:rPr>
              <m:sty m:val="p"/>
            </m:rPr>
            <m:t>l</m:t>
          </m:r>
          <m:r>
            <m:rPr>
              <m:sty m:val="p"/>
            </m:rPr>
            <m:t>i</m:t>
          </m:r>
          <m:r>
            <m:rPr>
              <m:sty m:val="p"/>
            </m:rPr>
            <m:t>p</m:t>
          </m:r>
          <m:r>
            <m:t>​</m:t>
          </m:r>
          <m:d>
            <m:dPr>
              <m:begChr m:val="("/>
              <m:endChr m:val=")"/>
              <m:grow/>
            </m:dPr>
            <m:e>
              <m:sSubSup>
                <m:e>
                  <m:acc>
                    <m:accPr>
                      <m:chr m:val="‾"/>
                    </m:accPr>
                    <m:e>
                      <m:r>
                        <m:t>r</m:t>
                      </m:r>
                    </m:e>
                  </m:acc>
                </m:e>
                <m:sub>
                  <m:r>
                    <m:rPr>
                      <m:sty m:val="p"/>
                    </m:rPr>
                    <m:t>S</m:t>
                  </m:r>
                  <m:r>
                    <m:rPr>
                      <m:sty m:val="p"/>
                    </m:rPr>
                    <m:t>P</m:t>
                  </m:r>
                  <m:r>
                    <m:rPr>
                      <m:sty m:val="p"/>
                    </m:rPr>
                    <m:t>Y</m:t>
                  </m:r>
                </m:sub>
                <m:sup>
                  <m:r>
                    <m:rPr>
                      <m:sty m:val="p"/>
                    </m:rPr>
                    <m:t>e</m:t>
                  </m:r>
                  <m:r>
                    <m:rPr>
                      <m:sty m:val="p"/>
                    </m:rPr>
                    <m:t>x</m:t>
                  </m:r>
                </m:sup>
              </m:sSubSup>
              <m:r>
                <m:t>/</m:t>
              </m:r>
              <m:sSubSup>
                <m:e>
                  <m:r>
                    <m:t>σ</m:t>
                  </m:r>
                </m:e>
                <m:sub>
                  <m:r>
                    <m:rPr>
                      <m:sty m:val="p"/>
                    </m:rPr>
                    <m:t>m</m:t>
                  </m:r>
                  <m:r>
                    <m:rPr>
                      <m:sty m:val="p"/>
                    </m:rPr>
                    <m:t>k</m:t>
                  </m:r>
                  <m:r>
                    <m:rPr>
                      <m:sty m:val="p"/>
                    </m:rPr>
                    <m:t>t</m:t>
                  </m:r>
                </m:sub>
                <m:sup>
                  <m:r>
                    <m:t>2</m:t>
                  </m:r>
                </m:sup>
              </m:sSubSup>
              <m:r>
                <m:t>,</m:t>
              </m:r>
              <m:r>
                <m:t> </m:t>
              </m:r>
              <m:r>
                <m:t>0.5</m:t>
              </m:r>
              <m:r>
                <m:t>,</m:t>
              </m:r>
              <m:r>
                <m:t> </m:t>
              </m:r>
              <m:r>
                <m:t>10.0</m:t>
              </m:r>
            </m:e>
          </m:d>
          <m:r>
            <m:t>,</m:t>
          </m:r>
        </m:oMath>
      </m:oMathPara>
    </w:p>
    <w:p>
      <w:pPr/>
      <w:r>
        <w:t xml:space="preserve">여기서</w:t>
      </w:r>
      <w:r>
        <w:t xml:space="preserve"> </w:t>
      </w:r>
      <m:oMath>
        <m:r>
          <m:rPr>
            <m:sty m:val="p"/>
          </m:rPr>
          <m:t>c</m:t>
        </m:r>
        <m:r>
          <m:rPr>
            <m:sty m:val="p"/>
          </m:rPr>
          <m:t>l</m:t>
        </m:r>
        <m:r>
          <m:rPr>
            <m:sty m:val="p"/>
          </m:rPr>
          <m:t>i</m:t>
        </m:r>
        <m:r>
          <m:rPr>
            <m:sty m:val="p"/>
          </m:rPr>
          <m:t>p</m:t>
        </m:r>
        <m:r>
          <m:t>(</m:t>
        </m:r>
        <m:r>
          <m:t>x</m:t>
        </m:r>
        <m:r>
          <m:t>,</m:t>
        </m:r>
        <m:r>
          <m:t>a</m:t>
        </m:r>
        <m:r>
          <m:t>,</m:t>
        </m:r>
        <m:r>
          <m:t>b</m:t>
        </m:r>
        <m:r>
          <m:t>)</m:t>
        </m:r>
        <m:r>
          <m:t>=</m:t>
        </m:r>
        <m:r>
          <m:rPr>
            <m:nor/>
            <m:sty m:val="p"/>
          </m:rPr>
          <m:t>min</m:t>
        </m:r>
        <m:r>
          <m:t>(</m:t>
        </m:r>
        <m:r>
          <m:rPr>
            <m:nor/>
            <m:sty m:val="p"/>
          </m:rPr>
          <m:t>max</m:t>
        </m:r>
        <m:r>
          <m:t>(</m:t>
        </m:r>
        <m:r>
          <m:t>x</m:t>
        </m:r>
        <m:r>
          <m:t>,</m:t>
        </m:r>
        <m:r>
          <m:t>a</m:t>
        </m:r>
        <m:r>
          <m:t>)</m:t>
        </m:r>
        <m:r>
          <m:t>,</m:t>
        </m:r>
        <m:r>
          <m:t>b</m:t>
        </m:r>
        <m:r>
          <m:t>)</m:t>
        </m:r>
      </m:oMath>
      <w:r>
        <w:t xml:space="preserve">는</w:t>
      </w:r>
      <w:r>
        <w:t xml:space="preserve"> </w:t>
      </w:r>
      <m:oMath>
        <m:r>
          <m:t>x</m:t>
        </m:r>
      </m:oMath>
      <w:r>
        <w:t xml:space="preserve">의 값을</w:t>
      </w:r>
      <w:r>
        <w:t xml:space="preserve"> </w:t>
      </w:r>
      <m:oMath>
        <m:r>
          <m:t>[</m:t>
        </m:r>
        <m:r>
          <m:t>a</m:t>
        </m:r>
        <m:r>
          <m:t>,</m:t>
        </m:r>
        <m:r>
          <m:t>b</m:t>
        </m:r>
        <m:r>
          <m:t>]</m:t>
        </m:r>
      </m:oMath>
      <w:r>
        <w:t xml:space="preserve"> </w:t>
      </w:r>
      <w:r>
        <w:t xml:space="preserve">범위로 상·하한을 제한하는 함수이며,</w:t>
      </w:r>
      <w:r>
        <w:t xml:space="preserve"> </w:t>
      </w:r>
      <m:oMath>
        <m:sSubSup>
          <m:e>
            <m:acc>
              <m:accPr>
                <m:chr m:val="‾"/>
              </m:accPr>
              <m:e>
                <m:r>
                  <m:t>r</m:t>
                </m:r>
              </m:e>
            </m:acc>
          </m:e>
          <m:sub>
            <m:r>
              <m:rPr>
                <m:sty m:val="p"/>
              </m:rPr>
              <m:t>S</m:t>
            </m:r>
            <m:r>
              <m:rPr>
                <m:sty m:val="p"/>
              </m:rPr>
              <m:t>P</m:t>
            </m:r>
            <m:r>
              <m:rPr>
                <m:sty m:val="p"/>
              </m:rPr>
              <m:t>Y</m:t>
            </m:r>
          </m:sub>
          <m:sup>
            <m:r>
              <m:rPr>
                <m:sty m:val="p"/>
              </m:rPr>
              <m:t>e</m:t>
            </m:r>
            <m:r>
              <m:rPr>
                <m:sty m:val="p"/>
              </m:rPr>
              <m:t>x</m:t>
            </m:r>
          </m:sup>
        </m:sSubSup>
      </m:oMath>
      <w:r>
        <w:t xml:space="preserve">는 SPY 평균 초과수익률,</w:t>
      </w:r>
      <w:r>
        <w:t xml:space="preserve"> </w:t>
      </w:r>
      <m:oMath>
        <m:sSubSup>
          <m:e>
            <m:r>
              <m:t>σ</m:t>
            </m:r>
          </m:e>
          <m:sub>
            <m:r>
              <m:rPr>
                <m:sty m:val="p"/>
              </m:rPr>
              <m:t>m</m:t>
            </m:r>
            <m:r>
              <m:rPr>
                <m:sty m:val="p"/>
              </m:rPr>
              <m:t>k</m:t>
            </m:r>
            <m:r>
              <m:rPr>
                <m:sty m:val="p"/>
              </m:rPr>
              <m:t>t</m:t>
            </m:r>
          </m:sub>
          <m:sup>
            <m:r>
              <m:t>2</m:t>
            </m:r>
          </m:sup>
        </m:sSubSup>
      </m:oMath>
      <w:r>
        <w:t xml:space="preserve">는 시장 수익률 분산,</w:t>
      </w:r>
      <w:r>
        <w:t xml:space="preserve"> </w:t>
      </w:r>
      <m:oMath>
        <m:sSub>
          <m:e>
            <m:acc>
              <m:accPr>
                <m:chr m:val="‾"/>
              </m:accPr>
              <m:e>
                <m:r>
                  <m:t>λ</m:t>
                </m:r>
              </m:e>
            </m:acc>
          </m:e>
          <m:sub>
            <m:r>
              <m:t>q</m:t>
            </m:r>
          </m:sub>
        </m:sSub>
      </m:oMath>
      <w:r>
        <w:t xml:space="preserve">는 훈련 기간 내</w:t>
      </w:r>
      <w:r>
        <w:t xml:space="preserve"> </w:t>
      </w:r>
      <m:oMath>
        <m:sSub>
          <m:e>
            <m:r>
              <m:t>λ</m:t>
            </m:r>
          </m:e>
          <m:sub>
            <m:r>
              <m:t>q</m:t>
            </m:r>
          </m:sub>
        </m:sSub>
      </m:oMath>
      <w:r>
        <w:t xml:space="preserve">의 평균이다.</w:t>
      </w:r>
    </w:p>
    <w:p>
      <w:pPr>
        <w:numPr>
          <w:ilvl w:val="0"/>
          <w:numId w:val="1004"/>
        </w:numPr>
      </w:pPr>
      <m:oMath>
        <m:sSup>
          <m:e>
            <m:r>
              <m:t>q</m:t>
            </m:r>
          </m:e>
          <m:sup>
            <m:r>
              <m:rPr>
                <m:sty m:val="p"/>
              </m:rPr>
              <m:t>l</m:t>
            </m:r>
            <m:r>
              <m:rPr>
                <m:sty m:val="p"/>
              </m:rPr>
              <m:t>a</m:t>
            </m:r>
            <m:r>
              <m:rPr>
                <m:sty m:val="p"/>
              </m:rPr>
              <m:t>m</m:t>
            </m:r>
          </m:sup>
        </m:sSup>
      </m:oMath>
      <w:r>
        <w:t xml:space="preserve">:</w:t>
      </w:r>
      <w:r>
        <w:t xml:space="preserve"> </w:t>
      </w:r>
      <m:oMath>
        <m:sSub>
          <m:e>
            <m:r>
              <m:t>λ</m:t>
            </m:r>
          </m:e>
          <m:sub>
            <m:r>
              <m:t>q</m:t>
            </m:r>
          </m:sub>
        </m:sSub>
      </m:oMath>
      <w:r>
        <w:t xml:space="preserve"> </w:t>
      </w:r>
      <w:r>
        <w:t xml:space="preserve">비례 조정. 시장이 안정적(</w:t>
      </w:r>
      <m:oMath>
        <m:sSub>
          <m:e>
            <m:r>
              <m:t>λ</m:t>
            </m:r>
          </m:e>
          <m:sub>
            <m:r>
              <m:t>q</m:t>
            </m:r>
          </m:sub>
        </m:sSub>
      </m:oMath>
      <w:r>
        <w:t xml:space="preserve"> </w:t>
      </w:r>
      <w:r>
        <w:t xml:space="preserve">상승)일수록</w:t>
      </w:r>
      <w:r>
        <w:t xml:space="preserve"> </w:t>
      </w:r>
      <m:oMath>
        <m:r>
          <m:t>q</m:t>
        </m:r>
      </m:oMath>
      <w:r>
        <w:t xml:space="preserve">를 강화하고, 불안정(</w:t>
      </w:r>
      <m:oMath>
        <m:sSub>
          <m:e>
            <m:r>
              <m:t>λ</m:t>
            </m:r>
          </m:e>
          <m:sub>
            <m:r>
              <m:t>q</m:t>
            </m:r>
          </m:sub>
        </m:sSub>
      </m:oMath>
      <w:r>
        <w:t xml:space="preserve"> </w:t>
      </w:r>
      <w:r>
        <w:t xml:space="preserve">하락)할수록 약화한다.</w:t>
      </w:r>
    </w:p>
    <w:p>
      <w:pPr/>
      <m:oMathPara>
        <m:oMathParaPr>
          <m:jc m:val="center"/>
        </m:oMathParaPr>
        <m:oMath>
          <m:sSup>
            <m:e>
              <m:r>
                <m:t>q</m:t>
              </m:r>
            </m:e>
            <m:sup>
              <m:r>
                <m:rPr>
                  <m:sty m:val="p"/>
                </m:rPr>
                <m:t>l</m:t>
              </m:r>
              <m:r>
                <m:rPr>
                  <m:sty m:val="p"/>
                </m:rPr>
                <m:t>a</m:t>
              </m:r>
              <m:r>
                <m:rPr>
                  <m:sty m:val="p"/>
                </m:rPr>
                <m:t>m</m:t>
              </m:r>
            </m:sup>
          </m:sSup>
          <m:r>
            <m:t>=</m:t>
          </m:r>
          <m:sSub>
            <m:e>
              <m:r>
                <m:t>q</m:t>
              </m:r>
            </m:e>
            <m:sub>
              <m:r>
                <m:t>0</m:t>
              </m:r>
            </m:sub>
          </m:sSub>
          <m:r>
            <m:t>×</m:t>
          </m:r>
          <m:r>
            <m:rPr>
              <m:sty m:val="p"/>
            </m:rPr>
            <m:t>c</m:t>
          </m:r>
          <m:r>
            <m:rPr>
              <m:sty m:val="p"/>
            </m:rPr>
            <m:t>l</m:t>
          </m:r>
          <m:r>
            <m:rPr>
              <m:sty m:val="p"/>
            </m:rPr>
            <m:t>i</m:t>
          </m:r>
          <m:r>
            <m:rPr>
              <m:sty m:val="p"/>
            </m:rPr>
            <m:t>p</m:t>
          </m:r>
          <m:r>
            <m:t>​</m:t>
          </m:r>
          <m:d>
            <m:dPr>
              <m:begChr m:val="("/>
              <m:endChr m:val=")"/>
              <m:grow/>
            </m:dPr>
            <m:e>
              <m:sSub>
                <m:e>
                  <m:r>
                    <m:t>λ</m:t>
                  </m:r>
                </m:e>
                <m:sub>
                  <m:r>
                    <m:t>q</m:t>
                  </m:r>
                </m:sub>
              </m:sSub>
              <m:r>
                <m:t>/</m:t>
              </m:r>
              <m:sSub>
                <m:e>
                  <m:acc>
                    <m:accPr>
                      <m:chr m:val="‾"/>
                    </m:accPr>
                    <m:e>
                      <m:r>
                        <m:t>λ</m:t>
                      </m:r>
                    </m:e>
                  </m:acc>
                </m:e>
                <m:sub>
                  <m:r>
                    <m:t>q</m:t>
                  </m:r>
                </m:sub>
              </m:sSub>
              <m:r>
                <m:t>,</m:t>
              </m:r>
              <m:r>
                <m:t> </m:t>
              </m:r>
              <m:r>
                <m:t>0.1</m:t>
              </m:r>
              <m:r>
                <m:t>,</m:t>
              </m:r>
              <m:r>
                <m:t> </m:t>
              </m:r>
              <m:r>
                <m:t>3.0</m:t>
              </m:r>
            </m:e>
          </m:d>
          <m:r>
            <m:t>.</m:t>
          </m:r>
        </m:oMath>
      </m:oMathPara>
    </w:p>
    <w:p>
      <w:pPr>
        <w:numPr>
          <w:ilvl w:val="0"/>
          <w:numId w:val="1004"/>
        </w:numPr>
      </w:pPr>
      <m:oMath>
        <m:r>
          <m:t>[</m:t>
        </m:r>
        <m:r>
          <m:t>0.1</m:t>
        </m:r>
        <m:r>
          <m:t>,</m:t>
        </m:r>
        <m:r>
          <m:t>3.0</m:t>
        </m:r>
        <m:r>
          <m:t>]</m:t>
        </m:r>
      </m:oMath>
      <w:r>
        <w:t xml:space="preserve"> </w:t>
      </w:r>
      <w:r>
        <w:t xml:space="preserve">범위의 상·하한 제약은</w:t>
      </w:r>
      <w:r>
        <w:t xml:space="preserve"> </w:t>
      </w:r>
      <m:oMath>
        <m:r>
          <m:t>q</m:t>
        </m:r>
      </m:oMath>
      <w:r>
        <w:t xml:space="preserve">가</w:t>
      </w:r>
      <w:r>
        <w:t xml:space="preserve"> </w:t>
      </w:r>
      <m:oMath>
        <m:sSub>
          <m:e>
            <m:r>
              <m:t>q</m:t>
            </m:r>
          </m:e>
          <m:sub>
            <m:r>
              <m:t>0</m:t>
            </m:r>
          </m:sub>
        </m:sSub>
      </m:oMath>
      <w:r>
        <w:t xml:space="preserve">의 10% 미만으로 소멸하거나 3배를 초과하여 증폭되는 것을 방지하기 위한 실용적 제약이며,</w:t>
      </w:r>
      <w:r>
        <w:t xml:space="preserve"> </w:t>
      </w:r>
      <m:oMath>
        <m:sSup>
          <m:e>
            <m:r>
              <m:t>q</m:t>
            </m:r>
          </m:e>
          <m:sup>
            <m:r>
              <m:rPr>
                <m:sty m:val="p"/>
              </m:rPr>
              <m:t>i</m:t>
            </m:r>
            <m:r>
              <m:rPr>
                <m:sty m:val="p"/>
              </m:rPr>
              <m:t>n</m:t>
            </m:r>
            <m:r>
              <m:rPr>
                <m:sty m:val="p"/>
              </m:rPr>
              <m:t>v</m:t>
            </m:r>
          </m:sup>
        </m:sSup>
      </m:oMath>
      <w:r>
        <w:t xml:space="preserve">와</w:t>
      </w:r>
      <w:r>
        <w:t xml:space="preserve"> </w:t>
      </w:r>
      <m:oMath>
        <m:sSup>
          <m:e>
            <m:r>
              <m:t>q</m:t>
            </m:r>
          </m:e>
          <m:sup>
            <m:r>
              <m:rPr>
                <m:sty m:val="p"/>
              </m:rPr>
              <m:t>v</m:t>
            </m:r>
            <m:r>
              <m:rPr>
                <m:sty m:val="p"/>
              </m:rPr>
              <m:t>s</m:t>
            </m:r>
            <m:r>
              <m:rPr>
                <m:sty m:val="p"/>
              </m:rPr>
              <m:t>p</m:t>
            </m:r>
          </m:sup>
        </m:sSup>
      </m:oMath>
      <w:r>
        <w:t xml:space="preserve">에도 동일하게 적용된다.</w:t>
      </w:r>
    </w:p>
    <w:p>
      <w:pPr>
        <w:numPr>
          <w:ilvl w:val="0"/>
          <w:numId w:val="1004"/>
        </w:numPr>
      </w:pPr>
      <m:oMath>
        <m:sSup>
          <m:e>
            <m:r>
              <m:t>q</m:t>
            </m:r>
          </m:e>
          <m:sup>
            <m:r>
              <m:rPr>
                <m:sty m:val="p"/>
              </m:rPr>
              <m:t>r</m:t>
            </m:r>
            <m:r>
              <m:rPr>
                <m:sty m:val="p"/>
              </m:rPr>
              <m:t>a</m:t>
            </m:r>
            <m:r>
              <m:rPr>
                <m:sty m:val="p"/>
              </m:rPr>
              <m:t>w</m:t>
            </m:r>
          </m:sup>
        </m:sSup>
      </m:oMath>
      <w:r>
        <w:t xml:space="preserve">: 상·하한 제약 적용 이전의</w:t>
      </w:r>
      <w:r>
        <w:t xml:space="preserve"> </w:t>
      </w:r>
      <m:oMath>
        <m:sSub>
          <m:e>
            <m:r>
              <m:t>λ</m:t>
            </m:r>
          </m:e>
          <m:sub>
            <m:r>
              <m:t>q</m:t>
            </m:r>
          </m:sub>
        </m:sSub>
      </m:oMath>
      <w:r>
        <w:t xml:space="preserve"> </w:t>
      </w:r>
      <w:r>
        <w:t xml:space="preserve">사용. SPY 하락으로</w:t>
      </w:r>
      <w:r>
        <w:t xml:space="preserve"> </w:t>
      </w:r>
      <m:oMath>
        <m:sSubSup>
          <m:e>
            <m:r>
              <m:t>λ</m:t>
            </m:r>
          </m:e>
          <m:sub>
            <m:r>
              <m:t>q</m:t>
            </m:r>
          </m:sub>
          <m:sup>
            <m:r>
              <m:rPr>
                <m:sty m:val="p"/>
              </m:rPr>
              <m:t>r</m:t>
            </m:r>
            <m:r>
              <m:rPr>
                <m:sty m:val="p"/>
              </m:rPr>
              <m:t>a</m:t>
            </m:r>
            <m:r>
              <m:rPr>
                <m:sty m:val="p"/>
              </m:rPr>
              <m:t>w</m:t>
            </m:r>
          </m:sup>
        </m:sSubSup>
        <m:r>
          <m:t>&lt;</m:t>
        </m:r>
        <m:r>
          <m:t>0</m:t>
        </m:r>
      </m:oMath>
      <w:r>
        <w:t xml:space="preserve">이면</w:t>
      </w:r>
      <w:r>
        <w:t xml:space="preserve"> </w:t>
      </w:r>
      <m:oMath>
        <m:r>
          <m:t>q</m:t>
        </m:r>
      </m:oMath>
      <w:r>
        <w:t xml:space="preserve">가 0으로 수렴하여, 시장 방향에 따라 뷰가 자연 소멸된다.</w:t>
      </w:r>
    </w:p>
    <w:p>
      <w:pPr/>
      <m:oMathPara>
        <m:oMathParaPr>
          <m:jc m:val="center"/>
        </m:oMathParaPr>
        <m:oMath>
          <m:sSup>
            <m:e>
              <m:r>
                <m:t>q</m:t>
              </m:r>
            </m:e>
            <m:sup>
              <m:r>
                <m:rPr>
                  <m:sty m:val="p"/>
                </m:rPr>
                <m:t>r</m:t>
              </m:r>
              <m:r>
                <m:rPr>
                  <m:sty m:val="p"/>
                </m:rPr>
                <m:t>a</m:t>
              </m:r>
              <m:r>
                <m:rPr>
                  <m:sty m:val="p"/>
                </m:rPr>
                <m:t>w</m:t>
              </m:r>
            </m:sup>
          </m:sSup>
          <m:r>
            <m:t>=</m:t>
          </m:r>
          <m:r>
            <m:rPr>
              <m:nor/>
              <m:sty m:val="p"/>
            </m:rPr>
            <m:t>max</m:t>
          </m:r>
          <m:r>
            <m:t>​</m:t>
          </m:r>
          <m:d>
            <m:dPr>
              <m:begChr m:val="("/>
              <m:endChr m:val=")"/>
              <m:grow/>
            </m:dPr>
            <m:e>
              <m:r>
                <m:t>0</m:t>
              </m:r>
              <m:r>
                <m:t>,</m:t>
              </m:r>
              <m:r>
                <m:t> </m:t>
              </m:r>
              <m:sSub>
                <m:e>
                  <m:r>
                    <m:t>q</m:t>
                  </m:r>
                </m:e>
                <m:sub>
                  <m:r>
                    <m:t>0</m:t>
                  </m:r>
                </m:sub>
              </m:sSub>
              <m:r>
                <m:t>×</m:t>
              </m:r>
              <m:sSubSup>
                <m:e>
                  <m:r>
                    <m:t>λ</m:t>
                  </m:r>
                </m:e>
                <m:sub>
                  <m:r>
                    <m:t>q</m:t>
                  </m:r>
                </m:sub>
                <m:sup>
                  <m:r>
                    <m:rPr>
                      <m:sty m:val="p"/>
                    </m:rPr>
                    <m:t>r</m:t>
                  </m:r>
                  <m:r>
                    <m:rPr>
                      <m:sty m:val="p"/>
                    </m:rPr>
                    <m:t>a</m:t>
                  </m:r>
                  <m:r>
                    <m:rPr>
                      <m:sty m:val="p"/>
                    </m:rPr>
                    <m:t>w</m:t>
                  </m:r>
                </m:sup>
              </m:sSubSup>
              <m:r>
                <m:t>/</m:t>
              </m:r>
              <m:sSub>
                <m:e>
                  <m:acc>
                    <m:accPr>
                      <m:chr m:val="‾"/>
                    </m:accPr>
                    <m:e>
                      <m:r>
                        <m:t>λ</m:t>
                      </m:r>
                    </m:e>
                  </m:acc>
                </m:e>
                <m:sub>
                  <m:r>
                    <m:t>q</m:t>
                  </m:r>
                </m:sub>
              </m:sSub>
            </m:e>
          </m:d>
          <m:r>
            <m:t>.</m:t>
          </m:r>
        </m:oMath>
      </m:oMathPara>
    </w:p>
    <w:p>
      <w:pPr>
        <w:numPr>
          <w:ilvl w:val="0"/>
          <w:numId w:val="1004"/>
        </w:numPr>
      </w:pPr>
      <m:oMath>
        <m:sSup>
          <m:e>
            <m:r>
              <m:t>q</m:t>
            </m:r>
          </m:e>
          <m:sup>
            <m:r>
              <m:rPr>
                <m:sty m:val="p"/>
              </m:rPr>
              <m:t>i</m:t>
            </m:r>
            <m:r>
              <m:rPr>
                <m:sty m:val="p"/>
              </m:rPr>
              <m:t>n</m:t>
            </m:r>
            <m:r>
              <m:rPr>
                <m:sty m:val="p"/>
              </m:rPr>
              <m:t>v</m:t>
            </m:r>
          </m:sup>
        </m:sSup>
      </m:oMath>
      <w:r>
        <w:t xml:space="preserve">:</w:t>
      </w:r>
      <w:r>
        <w:t xml:space="preserve"> </w:t>
      </w:r>
      <m:oMath>
        <m:sSub>
          <m:e>
            <m:r>
              <m:t>λ</m:t>
            </m:r>
          </m:e>
          <m:sub>
            <m:r>
              <m:t>q</m:t>
            </m:r>
          </m:sub>
        </m:sSub>
      </m:oMath>
      <w:r>
        <w:t xml:space="preserve"> </w:t>
      </w:r>
      <w:r>
        <w:t xml:space="preserve">역수 조정. 불안정 국면에서</w:t>
      </w:r>
      <w:r>
        <w:t xml:space="preserve"> </w:t>
      </w:r>
      <m:oMath>
        <m:r>
          <m:t>q</m:t>
        </m:r>
      </m:oMath>
      <w:r>
        <w:t xml:space="preserve">를 강화하여 저변동 방어 전략을 키우는,</w:t>
      </w:r>
      <w:r>
        <w:t xml:space="preserve"> </w:t>
      </w:r>
      <m:oMath>
        <m:sSup>
          <m:e>
            <m:r>
              <m:t>q</m:t>
            </m:r>
          </m:e>
          <m:sup>
            <m:r>
              <m:rPr>
                <m:sty m:val="p"/>
              </m:rPr>
              <m:t>l</m:t>
            </m:r>
            <m:r>
              <m:rPr>
                <m:sty m:val="p"/>
              </m:rPr>
              <m:t>a</m:t>
            </m:r>
            <m:r>
              <m:rPr>
                <m:sty m:val="p"/>
              </m:rPr>
              <m:t>m</m:t>
            </m:r>
          </m:sup>
        </m:sSup>
      </m:oMath>
      <w:r>
        <w:t xml:space="preserve">과 반대 방향으로 작동한다.</w:t>
      </w:r>
    </w:p>
    <w:p>
      <w:pPr/>
      <m:oMathPara>
        <m:oMathParaPr>
          <m:jc m:val="center"/>
        </m:oMathParaPr>
        <m:oMath>
          <m:sSup>
            <m:e>
              <m:r>
                <m:t>q</m:t>
              </m:r>
            </m:e>
            <m:sup>
              <m:r>
                <m:rPr>
                  <m:sty m:val="p"/>
                </m:rPr>
                <m:t>i</m:t>
              </m:r>
              <m:r>
                <m:rPr>
                  <m:sty m:val="p"/>
                </m:rPr>
                <m:t>n</m:t>
              </m:r>
              <m:r>
                <m:rPr>
                  <m:sty m:val="p"/>
                </m:rPr>
                <m:t>v</m:t>
              </m:r>
            </m:sup>
          </m:sSup>
          <m:r>
            <m:t>=</m:t>
          </m:r>
          <m:sSub>
            <m:e>
              <m:r>
                <m:t>q</m:t>
              </m:r>
            </m:e>
            <m:sub>
              <m:r>
                <m:t>0</m:t>
              </m:r>
            </m:sub>
          </m:sSub>
          <m:r>
            <m:t>×</m:t>
          </m:r>
          <m:r>
            <m:rPr>
              <m:sty m:val="p"/>
            </m:rPr>
            <m:t>c</m:t>
          </m:r>
          <m:r>
            <m:rPr>
              <m:sty m:val="p"/>
            </m:rPr>
            <m:t>l</m:t>
          </m:r>
          <m:r>
            <m:rPr>
              <m:sty m:val="p"/>
            </m:rPr>
            <m:t>i</m:t>
          </m:r>
          <m:r>
            <m:rPr>
              <m:sty m:val="p"/>
            </m:rPr>
            <m:t>p</m:t>
          </m:r>
          <m:r>
            <m:t>​</m:t>
          </m:r>
          <m:d>
            <m:dPr>
              <m:begChr m:val="("/>
              <m:endChr m:val=")"/>
              <m:grow/>
            </m:dPr>
            <m:e>
              <m:sSub>
                <m:e>
                  <m:acc>
                    <m:accPr>
                      <m:chr m:val="‾"/>
                    </m:accPr>
                    <m:e>
                      <m:r>
                        <m:t>λ</m:t>
                      </m:r>
                    </m:e>
                  </m:acc>
                </m:e>
                <m:sub>
                  <m:r>
                    <m:t>q</m:t>
                  </m:r>
                </m:sub>
              </m:sSub>
              <m:r>
                <m:t>/</m:t>
              </m:r>
              <m:sSub>
                <m:e>
                  <m:r>
                    <m:t>λ</m:t>
                  </m:r>
                </m:e>
                <m:sub>
                  <m:r>
                    <m:t>q</m:t>
                  </m:r>
                </m:sub>
              </m:sSub>
              <m:r>
                <m:t>,</m:t>
              </m:r>
              <m:r>
                <m:t> </m:t>
              </m:r>
              <m:r>
                <m:t>0.1</m:t>
              </m:r>
              <m:r>
                <m:t>,</m:t>
              </m:r>
              <m:r>
                <m:t> </m:t>
              </m:r>
              <m:r>
                <m:t>3.0</m:t>
              </m:r>
            </m:e>
          </m:d>
          <m:r>
            <m:t>.</m:t>
          </m:r>
        </m:oMath>
      </m:oMathPara>
    </w:p>
    <w:p>
      <w:pPr/>
      <w:r>
        <w:rPr>
          <w:b/>
        </w:rPr>
        <w:t xml:space="preserve">예측 변동성 기반 슬롯.</w:t>
      </w:r>
      <w:r>
        <w:t xml:space="preserve"> </w:t>
      </w:r>
      <m:oMath>
        <m:sSup>
          <m:e>
            <m:r>
              <m:t>q</m:t>
            </m:r>
          </m:e>
          <m:sup>
            <m:r>
              <m:rPr>
                <m:sty m:val="p"/>
              </m:rPr>
              <m:t>v</m:t>
            </m:r>
            <m:r>
              <m:rPr>
                <m:sty m:val="p"/>
              </m:rPr>
              <m:t>s</m:t>
            </m:r>
            <m:r>
              <m:rPr>
                <m:sty m:val="p"/>
              </m:rPr>
              <m:t>p</m:t>
            </m:r>
          </m:sup>
        </m:sSup>
      </m:oMath>
      <w:r>
        <w:t xml:space="preserve">는 모형의 예측 변동성 격차를 훈련 기간 중앙값으로 정규화하여</w:t>
      </w:r>
      <w:r>
        <w:t xml:space="preserve"> </w:t>
      </w:r>
      <m:oMath>
        <m:r>
          <m:t>q</m:t>
        </m:r>
      </m:oMath>
      <w:r>
        <w:t xml:space="preserve">의 크기를 조정한다.</w:t>
      </w:r>
      <w:r>
        <w:t xml:space="preserve"> </w:t>
      </w:r>
      <m:oMath>
        <m:sSub>
          <m:e>
            <m:r>
              <m:t>λ</m:t>
            </m:r>
          </m:e>
          <m:sub>
            <m:r>
              <m:t>q</m:t>
            </m:r>
          </m:sub>
        </m:sSub>
      </m:oMath>
      <w:r>
        <w:t xml:space="preserve"> </w:t>
      </w:r>
      <w:r>
        <w:t xml:space="preserve">분류가 매크로 시장 신호를 사용하는 반면,</w:t>
      </w:r>
      <w:r>
        <w:t xml:space="preserve"> </w:t>
      </w:r>
      <m:oMath>
        <m:sSup>
          <m:e>
            <m:r>
              <m:t>q</m:t>
            </m:r>
          </m:e>
          <m:sup>
            <m:r>
              <m:rPr>
                <m:sty m:val="p"/>
              </m:rPr>
              <m:t>v</m:t>
            </m:r>
            <m:r>
              <m:rPr>
                <m:sty m:val="p"/>
              </m:rPr>
              <m:t>s</m:t>
            </m:r>
            <m:r>
              <m:rPr>
                <m:sty m:val="p"/>
              </m:rPr>
              <m:t>p</m:t>
            </m:r>
          </m:sup>
        </m:sSup>
      </m:oMath>
      <w:r>
        <w:t xml:space="preserve">는 LSTM 예측 변동성을</w:t>
      </w:r>
      <w:r>
        <w:t xml:space="preserve"> </w:t>
      </w:r>
      <m:oMath>
        <m:r>
          <m:t>q</m:t>
        </m:r>
      </m:oMath>
      <w:r>
        <w:t xml:space="preserve">에 직접 반영한다.</w:t>
      </w:r>
    </w:p>
    <w:p>
      <w:pPr/>
      <m:oMathPara>
        <m:oMathParaPr>
          <m:jc m:val="center"/>
        </m:oMathParaPr>
        <m:oMath>
          <m:sSup>
            <m:e>
              <m:r>
                <m:t>q</m:t>
              </m:r>
            </m:e>
            <m:sup>
              <m:r>
                <m:rPr>
                  <m:sty m:val="p"/>
                </m:rPr>
                <m:t>v</m:t>
              </m:r>
              <m:r>
                <m:rPr>
                  <m:sty m:val="p"/>
                </m:rPr>
                <m:t>s</m:t>
              </m:r>
              <m:r>
                <m:rPr>
                  <m:sty m:val="p"/>
                </m:rPr>
                <m:t>p</m:t>
              </m:r>
            </m:sup>
          </m:sSup>
          <m:r>
            <m:t>=</m:t>
          </m:r>
          <m:sSub>
            <m:e>
              <m:r>
                <m:t>q</m:t>
              </m:r>
            </m:e>
            <m:sub>
              <m:r>
                <m:t>0</m:t>
              </m:r>
            </m:sub>
          </m:sSub>
          <m:r>
            <m:t>×</m:t>
          </m:r>
          <m:r>
            <m:rPr>
              <m:sty m:val="p"/>
            </m:rPr>
            <m:t>c</m:t>
          </m:r>
          <m:r>
            <m:rPr>
              <m:sty m:val="p"/>
            </m:rPr>
            <m:t>l</m:t>
          </m:r>
          <m:r>
            <m:rPr>
              <m:sty m:val="p"/>
            </m:rPr>
            <m:t>i</m:t>
          </m:r>
          <m:r>
            <m:rPr>
              <m:sty m:val="p"/>
            </m:rPr>
            <m:t>p</m:t>
          </m:r>
          <m:r>
            <m:t>​</m:t>
          </m:r>
          <m:d>
            <m:dPr>
              <m:begChr m:val="("/>
              <m:endChr m:val=")"/>
              <m:grow/>
            </m:dPr>
            <m:e>
              <m:r>
                <m:t>Δ</m:t>
              </m:r>
              <m:sSub>
                <m:e>
                  <m:acc>
                    <m:accPr>
                      <m:chr m:val="̂"/>
                    </m:accPr>
                    <m:e>
                      <m:r>
                        <m:t>σ</m:t>
                      </m:r>
                    </m:e>
                  </m:acc>
                </m:e>
                <m:sub>
                  <m:r>
                    <m:t>t</m:t>
                  </m:r>
                </m:sub>
              </m:sSub>
              <m:r>
                <m:t>/</m:t>
              </m:r>
              <m:r>
                <m:rPr>
                  <m:sty m:val="p"/>
                </m:rPr>
                <m:t>m</m:t>
              </m:r>
              <m:r>
                <m:rPr>
                  <m:sty m:val="p"/>
                </m:rPr>
                <m:t>e</m:t>
              </m:r>
              <m:r>
                <m:rPr>
                  <m:sty m:val="p"/>
                </m:rPr>
                <m:t>d</m:t>
              </m:r>
              <m:r>
                <m:rPr>
                  <m:sty m:val="p"/>
                </m:rPr>
                <m:t>i</m:t>
              </m:r>
              <m:r>
                <m:rPr>
                  <m:sty m:val="p"/>
                </m:rPr>
                <m:t>a</m:t>
              </m:r>
              <m:r>
                <m:rPr>
                  <m:sty m:val="p"/>
                </m:rPr>
                <m:t>n</m:t>
              </m:r>
              <m:r>
                <m:t>(</m:t>
              </m:r>
              <m:r>
                <m:t>Δ</m:t>
              </m:r>
              <m:sSub>
                <m:e>
                  <m:acc>
                    <m:accPr>
                      <m:chr m:val="̂"/>
                    </m:accPr>
                    <m:e>
                      <m:r>
                        <m:t>σ</m:t>
                      </m:r>
                    </m:e>
                  </m:acc>
                </m:e>
                <m:sub>
                  <m:r>
                    <m:rPr>
                      <m:sty m:val="p"/>
                    </m:rPr>
                    <m:t>t</m:t>
                  </m:r>
                  <m:r>
                    <m:rPr>
                      <m:sty m:val="p"/>
                    </m:rPr>
                    <m:t>r</m:t>
                  </m:r>
                  <m:r>
                    <m:rPr>
                      <m:sty m:val="p"/>
                    </m:rPr>
                    <m:t>a</m:t>
                  </m:r>
                  <m:r>
                    <m:rPr>
                      <m:sty m:val="p"/>
                    </m:rPr>
                    <m:t>i</m:t>
                  </m:r>
                  <m:r>
                    <m:rPr>
                      <m:sty m:val="p"/>
                    </m:rPr>
                    <m:t>n</m:t>
                  </m:r>
                </m:sub>
              </m:sSub>
              <m:r>
                <m:t>)</m:t>
              </m:r>
              <m:r>
                <m:t>,</m:t>
              </m:r>
              <m:r>
                <m:t> </m:t>
              </m:r>
              <m:r>
                <m:t>0.1</m:t>
              </m:r>
              <m:r>
                <m:t>,</m:t>
              </m:r>
              <m:r>
                <m:t> </m:t>
              </m:r>
              <m:r>
                <m:t>3.0</m:t>
              </m:r>
            </m:e>
          </m:d>
          <m:r>
            <m:t>,</m:t>
          </m:r>
        </m:oMath>
      </m:oMathPara>
    </w:p>
    <w:p>
      <w:pPr/>
      <w:r>
        <w:t xml:space="preserve">여기서</w:t>
      </w:r>
      <w:r>
        <w:t xml:space="preserve"> </w:t>
      </w:r>
      <m:oMath>
        <m:r>
          <m:t>Δ</m:t>
        </m:r>
        <m:sSub>
          <m:e>
            <m:acc>
              <m:accPr>
                <m:chr m:val="̂"/>
              </m:accPr>
              <m:e>
                <m:r>
                  <m:t>σ</m:t>
                </m:r>
              </m:e>
            </m:acc>
          </m:e>
          <m:sub>
            <m:r>
              <m:t>t</m:t>
            </m:r>
          </m:sub>
        </m:sSub>
        <m:r>
          <m:t>=</m:t>
        </m:r>
        <m:f>
          <m:fPr>
            <m:type m:val="bar"/>
          </m:fPr>
          <m:num>
            <m:r>
              <m:t>1</m:t>
            </m:r>
          </m:num>
          <m:den>
            <m:r>
              <m:t>|</m:t>
            </m:r>
            <m:r>
              <m:t>H</m:t>
            </m:r>
            <m:r>
              <m:t>|</m:t>
            </m:r>
          </m:den>
        </m:f>
        <m:nary>
          <m:naryPr>
            <m:chr m:val="∑"/>
            <m:limLoc m:val="undOvr"/>
            <m:subHide m:val="0"/>
            <m:supHide m:val="1"/>
          </m:naryPr>
          <m:sub>
            <m:r>
              <m:t>i</m:t>
            </m:r>
            <m:r>
              <m:t>∈</m:t>
            </m:r>
            <m:r>
              <m:t>H</m:t>
            </m:r>
          </m:sub>
          <m:sup>
            <m:r>
              <m:t>​</m:t>
            </m:r>
          </m:sup>
          <m:e>
            <m:sSub>
              <m:e>
                <m:acc>
                  <m:accPr>
                    <m:chr m:val="̂"/>
                  </m:accPr>
                  <m:e>
                    <m:r>
                      <m:t>σ</m:t>
                    </m:r>
                  </m:e>
                </m:acc>
              </m:e>
              <m:sub>
                <m:r>
                  <m:t>i</m:t>
                </m:r>
                <m:r>
                  <m:t>,</m:t>
                </m:r>
                <m:r>
                  <m:t>t</m:t>
                </m:r>
              </m:sub>
            </m:sSub>
          </m:e>
        </m:nary>
        <m:r>
          <m:t>−</m:t>
        </m:r>
        <m:f>
          <m:fPr>
            <m:type m:val="bar"/>
          </m:fPr>
          <m:num>
            <m:r>
              <m:t>1</m:t>
            </m:r>
          </m:num>
          <m:den>
            <m:r>
              <m:t>|</m:t>
            </m:r>
            <m:r>
              <m:t>L</m:t>
            </m:r>
            <m:r>
              <m:t>|</m:t>
            </m:r>
          </m:den>
        </m:f>
        <m:nary>
          <m:naryPr>
            <m:chr m:val="∑"/>
            <m:limLoc m:val="undOvr"/>
            <m:subHide m:val="0"/>
            <m:supHide m:val="1"/>
          </m:naryPr>
          <m:sub>
            <m:r>
              <m:t>i</m:t>
            </m:r>
            <m:r>
              <m:t>∈</m:t>
            </m:r>
            <m:r>
              <m:t>L</m:t>
            </m:r>
          </m:sub>
          <m:sup>
            <m:r>
              <m:t>​</m:t>
            </m:r>
          </m:sup>
          <m:e>
            <m:sSub>
              <m:e>
                <m:acc>
                  <m:accPr>
                    <m:chr m:val="̂"/>
                  </m:accPr>
                  <m:e>
                    <m:r>
                      <m:t>σ</m:t>
                    </m:r>
                  </m:e>
                </m:acc>
              </m:e>
              <m:sub>
                <m:r>
                  <m:t>i</m:t>
                </m:r>
                <m:r>
                  <m:t>,</m:t>
                </m:r>
                <m:r>
                  <m:t>t</m:t>
                </m:r>
              </m:sub>
            </m:sSub>
          </m:e>
        </m:nary>
      </m:oMath>
      <w:r>
        <w:t xml:space="preserve">이며,</w:t>
      </w:r>
      <w:r>
        <w:t xml:space="preserve"> </w:t>
      </w:r>
      <m:oMath>
        <m:r>
          <m:t>H</m:t>
        </m:r>
        <m:r>
          <m:t>,</m:t>
        </m:r>
        <m:r>
          <m:t>L</m:t>
        </m:r>
      </m:oMath>
      <w:r>
        <w:t xml:space="preserve">의 정의에 의해</w:t>
      </w:r>
      <w:r>
        <w:t xml:space="preserve"> </w:t>
      </w:r>
      <m:oMath>
        <m:r>
          <m:t>Δ</m:t>
        </m:r>
        <m:sSub>
          <m:e>
            <m:acc>
              <m:accPr>
                <m:chr m:val="̂"/>
              </m:accPr>
              <m:e>
                <m:r>
                  <m:t>σ</m:t>
                </m:r>
              </m:e>
            </m:acc>
          </m:e>
          <m:sub>
            <m:r>
              <m:t>t</m:t>
            </m:r>
          </m:sub>
        </m:sSub>
        <m:r>
          <m:t>&gt;</m:t>
        </m:r>
        <m:r>
          <m:t>0</m:t>
        </m:r>
      </m:oMath>
      <w:r>
        <w:t xml:space="preserve">이 보장된다. 이 값은 매 리밸런싱 시점마다 시장 상황에 따라 크게 달라질 수 있어, 훈련 기간 내</w:t>
      </w:r>
      <w:r>
        <w:t xml:space="preserve"> </w:t>
      </w:r>
      <m:oMath>
        <m:r>
          <m:t>Δ</m:t>
        </m:r>
        <m:sSub>
          <m:e>
            <m:acc>
              <m:accPr>
                <m:chr m:val="̂"/>
              </m:accPr>
              <m:e>
                <m:r>
                  <m:t>σ</m:t>
                </m:r>
              </m:e>
            </m:acc>
          </m:e>
          <m:sub>
            <m:r>
              <m:t>t</m:t>
            </m:r>
          </m:sub>
        </m:sSub>
      </m:oMath>
      <w:r>
        <w:t xml:space="preserve"> </w:t>
      </w:r>
      <w:r>
        <w:t xml:space="preserve">시계열의 중앙값으로 나누어 정규화함으로써 위기 구간 등 극단적으로 커지는 시점이 기준값에 미치는 영향을 억제하였다.</w:t>
      </w:r>
    </w:p>
    <w:p>
      <w:pPr/>
      <w:r>
        <w:rPr>
          <w:b/>
        </w:rPr>
        <w:t xml:space="preserve">팩터 모형 기반 슬롯.</w:t>
      </w:r>
      <w:r>
        <w:t xml:space="preserve"> </w:t>
      </w:r>
      <w:r>
        <w:t xml:space="preserve">Pyo and Lee (2018)는 FF3 회귀로</w:t>
      </w:r>
      <w:r>
        <w:t xml:space="preserve"> </w:t>
      </w:r>
      <m:oMath>
        <m:r>
          <m:t>q</m:t>
        </m:r>
      </m:oMath>
      <w:r>
        <w:t xml:space="preserve">를 산출한다는 방향만 제시하고 팩터 프리미엄 산정 방식의 세부는 명시하지 않아, 본 연구는 단기 추정의 불안정성을 피하기 위해 훈련 윈도우(60개월) 내 팩터 평균을 다음 달 기대 팩터 프리미엄으로 사용하는 방식 (Fama &amp; MacBeth, 1973; [cochrane2005? — bib 누락]) 으로 구현하였다. 종목별 FF3 롤링 회귀로 추정한 기대수익률</w:t>
      </w:r>
      <w:r>
        <w:t xml:space="preserve"> </w:t>
      </w:r>
      <m:oMath>
        <m:sSub>
          <m:e>
            <m:acc>
              <m:accPr>
                <m:chr m:val="̂"/>
              </m:accPr>
              <m:e>
                <m:r>
                  <m:t>r</m:t>
                </m:r>
              </m:e>
            </m:acc>
          </m:e>
          <m:sub>
            <m:r>
              <m:t>i</m:t>
            </m:r>
          </m:sub>
        </m:sSub>
      </m:oMath>
      <w:r>
        <w:t xml:space="preserve">와</w:t>
      </w:r>
      <w:r>
        <w:t xml:space="preserve"> </w:t>
      </w:r>
      <m:oMath>
        <m:r>
          <m:rPr>
            <m:sty m:val="b"/>
          </m:rPr>
          <m:t>p</m:t>
        </m:r>
      </m:oMath>
      <w:r>
        <w:t xml:space="preserve"> </w:t>
      </w:r>
      <w:r>
        <w:t xml:space="preserve">벡터의 결합으로</w:t>
      </w:r>
      <w:r>
        <w:t xml:space="preserve"> </w:t>
      </w:r>
      <m:oMath>
        <m:r>
          <m:t>q</m:t>
        </m:r>
      </m:oMath>
      <w:r>
        <w:t xml:space="preserve">를 산출하며, 훈련 기간 내 데이터만 사용하므로 look-ahead bias가 없다. 이 구현이 Pyo and Lee (2018)의 FF3 방식에 해당하는 본 연구의 앵커 슬롯이다.</w:t>
      </w:r>
    </w:p>
    <w:p>
      <w:pPr/>
      <m:oMathPara>
        <m:oMathParaPr>
          <m:jc m:val="center"/>
        </m:oMathParaPr>
        <m:oMath>
          <m:sSup>
            <m:e>
              <m:r>
                <m:t>q</m:t>
              </m:r>
            </m:e>
            <m:sup>
              <m:r>
                <m:rPr>
                  <m:sty m:val="p"/>
                </m:rPr>
                <m:t>f</m:t>
              </m:r>
              <m:r>
                <m:rPr>
                  <m:sty m:val="p"/>
                </m:rPr>
                <m:t>f</m:t>
              </m:r>
              <m:r>
                <m:rPr>
                  <m:sty m:val="p"/>
                </m:rPr>
                <m:t>3</m:t>
              </m:r>
            </m:sup>
          </m:sSup>
          <m:r>
            <m:t>=</m:t>
          </m:r>
          <m:r>
            <m:rPr>
              <m:sty m:val="b"/>
            </m:rPr>
            <m:t>p</m:t>
          </m:r>
          <m:acc>
            <m:accPr>
              <m:chr m:val="̂"/>
            </m:accPr>
            <m:e>
              <m:r>
                <m:rPr>
                  <m:sty m:val="b"/>
                </m:rPr>
                <m:t>r</m:t>
              </m:r>
            </m:e>
          </m:acc>
          <m:r>
            <m:t>,</m:t>
          </m:r>
          <m:r>
            <m:t>  </m:t>
          </m:r>
          <m:sSub>
            <m:e>
              <m:acc>
                <m:accPr>
                  <m:chr m:val="̂"/>
                </m:accPr>
                <m:e>
                  <m:r>
                    <m:t>r</m:t>
                  </m:r>
                </m:e>
              </m:acc>
            </m:e>
            <m:sub>
              <m:r>
                <m:t>i</m:t>
              </m:r>
            </m:sub>
          </m:sSub>
          <m:r>
            <m:t>=</m:t>
          </m:r>
          <m:sSub>
            <m:e>
              <m:acc>
                <m:accPr>
                  <m:chr m:val="̂"/>
                </m:accPr>
                <m:e>
                  <m:r>
                    <m:t>α</m:t>
                  </m:r>
                </m:e>
              </m:acc>
            </m:e>
            <m:sub>
              <m:r>
                <m:t>i</m:t>
              </m:r>
            </m:sub>
          </m:sSub>
          <m:r>
            <m:t>+</m:t>
          </m:r>
          <m:sSubSup>
            <m:e>
              <m:acc>
                <m:accPr>
                  <m:chr m:val="̂"/>
                </m:accPr>
                <m:e>
                  <m:r>
                    <m:t>β</m:t>
                  </m:r>
                </m:e>
              </m:acc>
            </m:e>
            <m:sub>
              <m:r>
                <m:t>i</m:t>
              </m:r>
            </m:sub>
            <m:sup>
              <m:r>
                <m:rPr>
                  <m:sty m:val="p"/>
                </m:rPr>
                <m:t>m</m:t>
              </m:r>
              <m:r>
                <m:rPr>
                  <m:sty m:val="p"/>
                </m:rPr>
                <m:t>k</m:t>
              </m:r>
              <m:r>
                <m:rPr>
                  <m:sty m:val="p"/>
                </m:rPr>
                <m:t>t</m:t>
              </m:r>
            </m:sup>
          </m:sSubSup>
          <m:sSub>
            <m:e>
              <m:acc>
                <m:accPr>
                  <m:chr m:val="‾"/>
                </m:accPr>
                <m:e>
                  <m:r>
                    <m:t>f</m:t>
                  </m:r>
                </m:e>
              </m:acc>
            </m:e>
            <m:sub>
              <m:r>
                <m:rPr>
                  <m:sty m:val="p"/>
                </m:rPr>
                <m:t>m</m:t>
              </m:r>
              <m:r>
                <m:rPr>
                  <m:sty m:val="p"/>
                </m:rPr>
                <m:t>k</m:t>
              </m:r>
              <m:r>
                <m:rPr>
                  <m:sty m:val="p"/>
                </m:rPr>
                <m:t>t</m:t>
              </m:r>
            </m:sub>
          </m:sSub>
          <m:r>
            <m:t>+</m:t>
          </m:r>
          <m:sSubSup>
            <m:e>
              <m:acc>
                <m:accPr>
                  <m:chr m:val="̂"/>
                </m:accPr>
                <m:e>
                  <m:r>
                    <m:t>β</m:t>
                  </m:r>
                </m:e>
              </m:acc>
            </m:e>
            <m:sub>
              <m:r>
                <m:t>i</m:t>
              </m:r>
            </m:sub>
            <m:sup>
              <m:r>
                <m:rPr>
                  <m:sty m:val="p"/>
                </m:rPr>
                <m:t>S</m:t>
              </m:r>
              <m:r>
                <m:rPr>
                  <m:sty m:val="p"/>
                </m:rPr>
                <m:t>M</m:t>
              </m:r>
              <m:r>
                <m:rPr>
                  <m:sty m:val="p"/>
                </m:rPr>
                <m:t>B</m:t>
              </m:r>
            </m:sup>
          </m:sSubSup>
          <m:sSub>
            <m:e>
              <m:acc>
                <m:accPr>
                  <m:chr m:val="‾"/>
                </m:accPr>
                <m:e>
                  <m:r>
                    <m:t>f</m:t>
                  </m:r>
                </m:e>
              </m:acc>
            </m:e>
            <m:sub>
              <m:r>
                <m:rPr>
                  <m:sty m:val="p"/>
                </m:rPr>
                <m:t>S</m:t>
              </m:r>
              <m:r>
                <m:rPr>
                  <m:sty m:val="p"/>
                </m:rPr>
                <m:t>M</m:t>
              </m:r>
              <m:r>
                <m:rPr>
                  <m:sty m:val="p"/>
                </m:rPr>
                <m:t>B</m:t>
              </m:r>
            </m:sub>
          </m:sSub>
          <m:r>
            <m:t>+</m:t>
          </m:r>
          <m:sSubSup>
            <m:e>
              <m:acc>
                <m:accPr>
                  <m:chr m:val="̂"/>
                </m:accPr>
                <m:e>
                  <m:r>
                    <m:t>β</m:t>
                  </m:r>
                </m:e>
              </m:acc>
            </m:e>
            <m:sub>
              <m:r>
                <m:t>i</m:t>
              </m:r>
            </m:sub>
            <m:sup>
              <m:r>
                <m:rPr>
                  <m:sty m:val="p"/>
                </m:rPr>
                <m:t>H</m:t>
              </m:r>
              <m:r>
                <m:rPr>
                  <m:sty m:val="p"/>
                </m:rPr>
                <m:t>M</m:t>
              </m:r>
              <m:r>
                <m:rPr>
                  <m:sty m:val="p"/>
                </m:rPr>
                <m:t>L</m:t>
              </m:r>
            </m:sup>
          </m:sSubSup>
          <m:sSub>
            <m:e>
              <m:acc>
                <m:accPr>
                  <m:chr m:val="‾"/>
                </m:accPr>
                <m:e>
                  <m:r>
                    <m:t>f</m:t>
                  </m:r>
                </m:e>
              </m:acc>
            </m:e>
            <m:sub>
              <m:r>
                <m:rPr>
                  <m:sty m:val="p"/>
                </m:rPr>
                <m:t>H</m:t>
              </m:r>
              <m:r>
                <m:rPr>
                  <m:sty m:val="p"/>
                </m:rPr>
                <m:t>M</m:t>
              </m:r>
              <m:r>
                <m:rPr>
                  <m:sty m:val="p"/>
                </m:rPr>
                <m:t>L</m:t>
              </m:r>
            </m:sub>
          </m:sSub>
          <m:r>
            <m:t>,</m:t>
          </m:r>
        </m:oMath>
      </m:oMathPara>
    </w:p>
    <w:p>
      <w:pPr/>
      <w:r>
        <w:t xml:space="preserve">여기서</w:t>
      </w:r>
      <w:r>
        <w:t xml:space="preserve"> </w:t>
      </w:r>
      <m:oMath>
        <m:sSub>
          <m:e>
            <m:acc>
              <m:accPr>
                <m:chr m:val="‾"/>
              </m:accPr>
              <m:e>
                <m:r>
                  <m:t>f</m:t>
                </m:r>
              </m:e>
            </m:acc>
          </m:e>
          <m:sub>
            <m:r>
              <m:t>k</m:t>
            </m:r>
          </m:sub>
        </m:sSub>
      </m:oMath>
      <w:r>
        <w:t xml:space="preserve">는 훈련 윈도우 내 팩터</w:t>
      </w:r>
      <w:r>
        <w:t xml:space="preserve"> </w:t>
      </w:r>
      <m:oMath>
        <m:r>
          <m:t>k</m:t>
        </m:r>
      </m:oMath>
      <w:r>
        <w:t xml:space="preserve">의 평균값이며, SMB(Small Minus Big)와 HML(High Minus Low)은 FF3 표준 팩터다.</w:t>
      </w:r>
    </w:p>
    <w:p>
      <w:pPr>
        <w:pStyle w:val="Heading4"/>
      </w:pPr>
      <w:bookmarkStart w:id="52" w:name="뷰-신뢰도-omega"/>
      <w:r>
        <w:t xml:space="preserve">뷰 신뢰도 (</w:t>
      </w:r>
      <m:oMath>
        <m:r>
          <m:t>ω</m:t>
        </m:r>
      </m:oMath>
      <w:r>
        <w:t xml:space="preserve">)</w:t>
      </w:r>
      <w:bookmarkEnd w:id="52"/>
    </w:p>
    <w:p>
      <w:pPr/>
      <m:oMath>
        <m:r>
          <m:t>ω</m:t>
        </m:r>
      </m:oMath>
      <w:r>
        <w:t xml:space="preserve">는 사전 균형 수익률 대비 투자자 뷰의 신뢰도를 결정하며, 본 연구는 다음 두 가지 설정을 비교한다.</w:t>
      </w:r>
    </w:p>
    <w:p>
      <w:pPr>
        <w:numPr>
          <w:ilvl w:val="0"/>
          <w:numId w:val="1005"/>
        </w:numPr>
      </w:pPr>
      <m:oMath>
        <m:sSup>
          <m:e>
            <m:r>
              <m:t>ω</m:t>
            </m:r>
          </m:e>
          <m:sup>
            <m:r>
              <m:rPr>
                <m:sty m:val="p"/>
              </m:rPr>
              <m:t>h</m:t>
            </m:r>
            <m:r>
              <m:rPr>
                <m:sty m:val="p"/>
              </m:rPr>
              <m:t>e</m:t>
            </m:r>
          </m:sup>
        </m:sSup>
      </m:oMath>
      <w:r>
        <w:t xml:space="preserve"> </w:t>
      </w:r>
      <w:r>
        <w:t xml:space="preserve">(He-Litterman 방식): 뷰 포트폴리오의 사전 분산에 비례하여 불확실성을 설정하는 BL 문헌의 표준 방식이다 (He &amp; Litterman, 1999).</w:t>
      </w:r>
    </w:p>
    <w:p>
      <w:pPr/>
      <m:oMathPara>
        <m:oMathParaPr>
          <m:jc m:val="center"/>
        </m:oMathParaPr>
        <m:oMath>
          <m:sSup>
            <m:e>
              <m:r>
                <m:t>ω</m:t>
              </m:r>
            </m:e>
            <m:sup>
              <m:r>
                <m:rPr>
                  <m:sty m:val="p"/>
                </m:rPr>
                <m:t>h</m:t>
              </m:r>
              <m:r>
                <m:rPr>
                  <m:sty m:val="p"/>
                </m:rPr>
                <m:t>e</m:t>
              </m:r>
            </m:sup>
          </m:sSup>
          <m:r>
            <m:t>=</m:t>
          </m:r>
          <m:r>
            <m:t>τ</m:t>
          </m:r>
          <m:r>
            <m:rPr>
              <m:sty m:val="b"/>
            </m:rPr>
            <m:t>p</m:t>
          </m:r>
          <m:r>
            <m:rPr>
              <m:sty m:val="b"/>
            </m:rPr>
            <m:t>Σ</m:t>
          </m:r>
          <m:sSup>
            <m:e>
              <m:r>
                <m:rPr>
                  <m:sty m:val="b"/>
                </m:rPr>
                <m:t>p</m:t>
              </m:r>
            </m:e>
            <m:sup>
              <m:r>
                <m:t>⊤</m:t>
              </m:r>
            </m:sup>
          </m:sSup>
          <m:r>
            <m:t>.</m:t>
          </m:r>
        </m:oMath>
      </m:oMathPara>
    </w:p>
    <w:p>
      <w:pPr>
        <w:numPr>
          <w:ilvl w:val="0"/>
          <w:numId w:val="1005"/>
        </w:numPr>
      </w:pPr>
      <m:oMath>
        <m:sSup>
          <m:e>
            <m:r>
              <m:t>ω</m:t>
            </m:r>
          </m:e>
          <m:sup>
            <m:r>
              <m:rPr>
                <m:sty m:val="p"/>
              </m:rPr>
              <m:t>e</m:t>
            </m:r>
            <m:r>
              <m:rPr>
                <m:sty m:val="p"/>
              </m:rPr>
              <m:t>r</m:t>
            </m:r>
            <m:r>
              <m:rPr>
                <m:sty m:val="p"/>
              </m:rPr>
              <m:t>r</m:t>
            </m:r>
          </m:sup>
        </m:sSup>
      </m:oMath>
      <w:r>
        <w:t xml:space="preserve"> </w:t>
      </w:r>
      <w:r>
        <w:t xml:space="preserve">(전월 예측 오차 기반): 각 시점</w:t>
      </w:r>
      <w:r>
        <w:t xml:space="preserve"> </w:t>
      </w:r>
      <m:oMath>
        <m:r>
          <m:t>t</m:t>
        </m:r>
      </m:oMath>
      <w:r>
        <w:t xml:space="preserve">에서 전월 (</w:t>
      </w:r>
      <m:oMath>
        <m:r>
          <m:t>t</m:t>
        </m:r>
        <m:r>
          <m:t>−</m:t>
        </m:r>
        <m:r>
          <m:t>1</m:t>
        </m:r>
      </m:oMath>
      <w:r>
        <w:t xml:space="preserve">)의 뷰 포트폴리오 예측 수익률과 실현 수익률 간 오차 제곱으로 불확실성을 추정하며, Pyo and Lee (2018)의 방식을 따른다.</w:t>
      </w:r>
    </w:p>
    <w:p>
      <w:pPr/>
      <m:oMathPara>
        <m:oMathParaPr>
          <m:jc m:val="center"/>
        </m:oMathParaPr>
        <m:oMath>
          <m:sSup>
            <m:e>
              <m:r>
                <m:t>ω</m:t>
              </m:r>
            </m:e>
            <m:sup>
              <m:r>
                <m:rPr>
                  <m:sty m:val="p"/>
                </m:rPr>
                <m:t>e</m:t>
              </m:r>
              <m:r>
                <m:rPr>
                  <m:sty m:val="p"/>
                </m:rPr>
                <m:t>r</m:t>
              </m:r>
              <m:r>
                <m:rPr>
                  <m:sty m:val="p"/>
                </m:rPr>
                <m:t>r</m:t>
              </m:r>
            </m:sup>
          </m:sSup>
          <m:r>
            <m:t>=</m:t>
          </m:r>
          <m:sSup>
            <m:e>
              <m:d>
                <m:dPr>
                  <m:begChr m:val="("/>
                  <m:endChr m:val=")"/>
                  <m:grow/>
                </m:dPr>
                <m:e>
                  <m:sSub>
                    <m:e>
                      <m:r>
                        <m:t>q</m:t>
                      </m:r>
                    </m:e>
                    <m:sub>
                      <m:r>
                        <m:t>t</m:t>
                      </m:r>
                      <m:r>
                        <m:t>−</m:t>
                      </m:r>
                      <m:r>
                        <m:t>1</m:t>
                      </m:r>
                    </m:sub>
                  </m:sSub>
                  <m:r>
                    <m:t>−</m:t>
                  </m:r>
                  <m:sSub>
                    <m:e>
                      <m:r>
                        <m:rPr>
                          <m:sty m:val="b"/>
                        </m:rPr>
                        <m:t>p</m:t>
                      </m:r>
                    </m:e>
                    <m:sub>
                      <m:r>
                        <m:t>t</m:t>
                      </m:r>
                      <m:r>
                        <m:t>−</m:t>
                      </m:r>
                      <m:r>
                        <m:t>1</m:t>
                      </m:r>
                    </m:sub>
                  </m:sSub>
                  <m:sSub>
                    <m:e>
                      <m:r>
                        <m:rPr>
                          <m:sty m:val="b"/>
                        </m:rPr>
                        <m:t>r</m:t>
                      </m:r>
                    </m:e>
                    <m:sub>
                      <m:r>
                        <m:t>t</m:t>
                      </m:r>
                      <m:r>
                        <m:t>−</m:t>
                      </m:r>
                      <m:r>
                        <m:t>1</m:t>
                      </m:r>
                    </m:sub>
                  </m:sSub>
                </m:e>
              </m:d>
            </m:e>
            <m:sup>
              <m:r>
                <m:t>2</m:t>
              </m:r>
            </m:sup>
          </m:sSup>
          <m:r>
            <m:t>,</m:t>
          </m:r>
        </m:oMath>
      </m:oMathPara>
    </w:p>
    <w:p>
      <w:pPr>
        <w:numPr>
          <w:ilvl w:val="0"/>
          <w:numId w:val="1005"/>
        </w:numPr>
      </w:pPr>
      <w:r>
        <w:t xml:space="preserve">여기서</w:t>
      </w:r>
      <w:r>
        <w:t xml:space="preserve"> </w:t>
      </w:r>
      <m:oMath>
        <m:sSub>
          <m:e>
            <m:r>
              <m:rPr>
                <m:sty m:val="b"/>
              </m:rPr>
              <m:t>r</m:t>
            </m:r>
          </m:e>
          <m:sub>
            <m:r>
              <m:t>t</m:t>
            </m:r>
            <m:r>
              <m:t>−</m:t>
            </m:r>
            <m:r>
              <m:t>1</m:t>
            </m:r>
          </m:sub>
        </m:sSub>
      </m:oMath>
      <w:r>
        <w:t xml:space="preserve">은</w:t>
      </w:r>
      <w:r>
        <w:t xml:space="preserve"> </w:t>
      </w:r>
      <m:oMath>
        <m:r>
          <m:t>t</m:t>
        </m:r>
        <m:r>
          <m:t>−</m:t>
        </m:r>
        <m:r>
          <m:t>1</m:t>
        </m:r>
      </m:oMath>
      <w:r>
        <w:t xml:space="preserve"> </w:t>
      </w:r>
      <w:r>
        <w:t xml:space="preserve">시점의 실현 수익률 벡터다. 전월 뷰 예측이 크게 빗나간 시점에서 불확실성이 자동으로 증가하는 자기교정적 구조이며, 첫 달은</w:t>
      </w:r>
      <w:r>
        <w:t xml:space="preserve"> </w:t>
      </w:r>
      <m:oMath>
        <m:sSup>
          <m:e>
            <m:r>
              <m:t>ω</m:t>
            </m:r>
          </m:e>
          <m:sup>
            <m:r>
              <m:rPr>
                <m:sty m:val="p"/>
              </m:rPr>
              <m:t>h</m:t>
            </m:r>
            <m:r>
              <m:rPr>
                <m:sty m:val="p"/>
              </m:rPr>
              <m:t>e</m:t>
            </m:r>
          </m:sup>
        </m:sSup>
      </m:oMath>
      <w:r>
        <w:t xml:space="preserve">로 초기화한다.</w:t>
      </w:r>
    </w:p>
    <w:p>
      <w:pPr>
        <w:numPr>
          <w:ilvl w:val="0"/>
          <w:numId w:val="1000"/>
        </w:numPr>
      </w:pPr>
      <w:r>
        <w:t xml:space="preserve">이 구현은 Pyo and Lee (2018) 가 제시한 일반형 식 (18) 의 한 가지 해석에 해당한다. 원 식</w:t>
      </w:r>
      <w:r>
        <w:t xml:space="preserve"> </w:t>
      </w:r>
      <m:oMath>
        <m:r>
          <m:t>ω</m:t>
        </m:r>
        <m:r>
          <m:t>=</m:t>
        </m:r>
        <m:r>
          <m:rPr>
            <m:sty m:val="p"/>
          </m:rPr>
          <m:t>v</m:t>
        </m:r>
        <m:r>
          <m:rPr>
            <m:sty m:val="p"/>
          </m:rPr>
          <m:t>a</m:t>
        </m:r>
        <m:r>
          <m:rPr>
            <m:sty m:val="p"/>
          </m:rPr>
          <m:t>r</m:t>
        </m:r>
        <m:r>
          <m:t>(</m:t>
        </m:r>
        <m:sSub>
          <m:e>
            <m:r>
              <m:rPr>
                <m:sty m:val="b"/>
              </m:rPr>
              <m:t>P</m:t>
            </m:r>
          </m:e>
          <m:sub>
            <m:r>
              <m:t>t</m:t>
            </m:r>
            <m:r>
              <m:t>−</m:t>
            </m:r>
            <m:r>
              <m:t>1</m:t>
            </m:r>
          </m:sub>
        </m:sSub>
        <m:sSub>
          <m:e>
            <m:acc>
              <m:accPr>
                <m:chr m:val="̂"/>
              </m:accPr>
              <m:e>
                <m:r>
                  <m:rPr>
                    <m:sty m:val="b"/>
                  </m:rPr>
                  <m:t>μ</m:t>
                </m:r>
              </m:e>
            </m:acc>
          </m:e>
          <m:sub>
            <m:r>
              <m:t>t</m:t>
            </m:r>
            <m:r>
              <m:t>−</m:t>
            </m:r>
            <m:r>
              <m:t>1</m:t>
            </m:r>
          </m:sub>
        </m:sSub>
        <m:r>
          <m:t>−</m:t>
        </m:r>
        <m:sSub>
          <m:e>
            <m:r>
              <m:rPr>
                <m:sty m:val="b"/>
              </m:rPr>
              <m:t>P</m:t>
            </m:r>
          </m:e>
          <m:sub>
            <m:r>
              <m:t>t</m:t>
            </m:r>
            <m:r>
              <m:t>−</m:t>
            </m:r>
            <m:r>
              <m:t>1</m:t>
            </m:r>
          </m:sub>
        </m:sSub>
        <m:sSub>
          <m:e>
            <m:r>
              <m:rPr>
                <m:sty m:val="b"/>
              </m:rPr>
              <m:t>μ</m:t>
            </m:r>
          </m:e>
          <m:sub>
            <m:r>
              <m:t>t</m:t>
            </m:r>
            <m:r>
              <m:t>−</m:t>
            </m:r>
            <m:r>
              <m:t>1</m:t>
            </m:r>
          </m:sub>
        </m:sSub>
        <m:r>
          <m:t>)</m:t>
        </m:r>
      </m:oMath>
      <w:r>
        <w:t xml:space="preserve">은 모두 단일 시점</w:t>
      </w:r>
      <w:r>
        <w:t xml:space="preserve"> </w:t>
      </w:r>
      <m:oMath>
        <m:r>
          <m:t>t</m:t>
        </m:r>
        <m:r>
          <m:t>−</m:t>
        </m:r>
        <m:r>
          <m:t>1</m:t>
        </m:r>
      </m:oMath>
      <w:r>
        <w:t xml:space="preserve">로 평가되어 있어,</w:t>
      </w:r>
      <w:r>
        <w:t xml:space="preserve"> </w:t>
      </w:r>
      <m:oMath>
        <m:r>
          <m:rPr>
            <m:sty m:val="p"/>
          </m:rPr>
          <m:t>v</m:t>
        </m:r>
        <m:r>
          <m:rPr>
            <m:sty m:val="p"/>
          </m:rPr>
          <m:t>a</m:t>
        </m:r>
        <m:r>
          <m:rPr>
            <m:sty m:val="p"/>
          </m:rPr>
          <m:t>r</m:t>
        </m:r>
      </m:oMath>
      <w:r>
        <w:t xml:space="preserve">이 (i)</w:t>
      </w:r>
      <w:r>
        <w:t xml:space="preserve"> </w:t>
      </w:r>
      <m:oMath>
        <m:r>
          <m:t>t</m:t>
        </m:r>
        <m:r>
          <m:t>−</m:t>
        </m:r>
        <m:r>
          <m:t>1</m:t>
        </m:r>
      </m:oMath>
      <w:r>
        <w:t xml:space="preserve">까지의 과거 시계열에 대한 표본분산인지, (ii) 단일 시점의 제곱 편차인지, (iii) 종목 단면 분산인지가 수학적으로 명확히 규정되지 않는 모호성이 존재한다. 본 연구는 BL 산출의 단순성과 직관성을 확보하기 위해 (ii) 의 해석을 채택하였다. 결과적으로</w:t>
      </w:r>
      <w:r>
        <w:t xml:space="preserve"> </w:t>
      </w:r>
      <m:oMath>
        <m:sSup>
          <m:e>
            <m:r>
              <m:t>ω</m:t>
            </m:r>
          </m:e>
          <m:sup>
            <m:r>
              <m:rPr>
                <m:sty m:val="p"/>
              </m:rPr>
              <m:t>e</m:t>
            </m:r>
            <m:r>
              <m:rPr>
                <m:sty m:val="p"/>
              </m:rPr>
              <m:t>r</m:t>
            </m:r>
            <m:r>
              <m:rPr>
                <m:sty m:val="p"/>
              </m:rPr>
              <m:t>r</m:t>
            </m:r>
          </m:sup>
        </m:sSup>
      </m:oMath>
      <w:r>
        <w:t xml:space="preserve"> </w:t>
      </w:r>
      <w:r>
        <w:t xml:space="preserve">는 엄밀한 분산 추정량이 아닌 직전 시점 제곱 오차 추정치이나, 전월 오차 크기에 비례해 뷰 신뢰도가 자동 조정되는 자기교정 효과는 동일하게 보존된다.</w:t>
      </w:r>
    </w:p>
    <w:p>
      <w:pPr>
        <w:pStyle w:val="3"/>
      </w:pPr>
      <w:bookmarkStart w:id="53" w:name="subsubsec:bl_walkforward"/>
      <w:r>
        <w:t xml:space="preserve">Walk-Forward 및 최적화</w:t>
      </w:r>
      <w:bookmarkEnd w:id="53"/>
    </w:p>
    <w:p>
      <w:pPr/>
      <w:r>
        <w:t xml:space="preserve">포트폴리오 비중은 월별 리밸런싱 시점마다 시간 순서를 따라 산출하는 Walk-Forward 슬라이딩 방식으로 추정한다. 변동성 예측 단계(3.2절)와 달리 현재 시점의 가중치를 산출하므로, 별도의 퍼징·엠바고 구간 없이, 매 리밸런싱 시점에서 직전 60개월 데이터를 사용한다. 각 리밸런싱 시점</w:t>
      </w:r>
      <w:r>
        <w:t xml:space="preserve"> </w:t>
      </w:r>
      <m:oMath>
        <m:r>
          <m:t>t</m:t>
        </m:r>
      </m:oMath>
      <w:r>
        <w:t xml:space="preserve">(월 1회)에서 다음 절차를 수행한다.</w:t>
      </w:r>
    </w:p>
    <w:p>
      <w:pPr>
        <w:numPr>
          <w:ilvl w:val="0"/>
          <w:numId w:val="1006"/>
        </w:numPr>
      </w:pPr>
      <w:r>
        <w:t xml:space="preserve">직전 60개월 일별 로그 수익률에 Ledoit-Wolf 수축 추정량 (Ledoit &amp; Wolf, 2004)을 적용하여 공분산 행렬</w:t>
      </w:r>
      <w:r>
        <w:t xml:space="preserve"> </w:t>
      </w:r>
      <m:oMath>
        <m:sSub>
          <m:e>
            <m:r>
              <m:rPr>
                <m:sty m:val="b"/>
              </m:rPr>
              <m:t>Σ</m:t>
            </m:r>
          </m:e>
          <m:sub>
            <m:r>
              <m:t>t</m:t>
            </m:r>
          </m:sub>
        </m:sSub>
      </m:oMath>
      <w:r>
        <w:t xml:space="preserve">를 산출한다. 이는 BL 프레임워크의 사전·사후 분포 계산에 사용되며, 변동성 예측 모형의 출력(</w:t>
      </w:r>
      <m:oMath>
        <m:sSub>
          <m:e>
            <m:acc>
              <m:accPr>
                <m:chr m:val="̂"/>
              </m:accPr>
              <m:e>
                <m:r>
                  <m:t>σ</m:t>
                </m:r>
              </m:e>
            </m:acc>
          </m:e>
          <m:sub>
            <m:r>
              <m:t>i</m:t>
            </m:r>
            <m:r>
              <m:t>,</m:t>
            </m:r>
            <m:r>
              <m:t>t</m:t>
            </m:r>
          </m:sub>
        </m:sSub>
      </m:oMath>
      <w:r>
        <w:t xml:space="preserve">)과는 독립적으로 산출된다.</w:t>
      </w:r>
    </w:p>
    <w:p>
      <w:pPr>
        <w:numPr>
          <w:ilvl w:val="0"/>
          <w:numId w:val="1006"/>
        </w:numPr>
      </w:pPr>
      <w:r>
        <w:t xml:space="preserve">해당 시점의 시장 비중</w:t>
      </w:r>
      <w:r>
        <w:t xml:space="preserve"> </w:t>
      </w:r>
      <m:oMath>
        <m:sSub>
          <m:e>
            <m:r>
              <m:rPr>
                <m:sty m:val="b"/>
              </m:rPr>
              <m:t>w</m:t>
            </m:r>
          </m:e>
          <m:sub>
            <m:r>
              <m:t>m</m:t>
            </m:r>
            <m:r>
              <m:t>k</m:t>
            </m:r>
            <m:r>
              <m:t>t</m:t>
            </m:r>
            <m:r>
              <m:t>,</m:t>
            </m:r>
            <m:r>
              <m:t>t</m:t>
            </m:r>
          </m:sub>
        </m:sSub>
      </m:oMath>
      <w:r>
        <w:t xml:space="preserve">와 고정 위험회피도</w:t>
      </w:r>
      <w:r>
        <w:t xml:space="preserve"> </w:t>
      </w:r>
      <m:oMath>
        <m:r>
          <m:t>λ</m:t>
        </m:r>
        <m:r>
          <m:t>=</m:t>
        </m:r>
        <m:r>
          <m:t>2.5</m:t>
        </m:r>
      </m:oMath>
      <w:r>
        <w:t xml:space="preserve">로 식 (1)에 따라 균형 수익률</w:t>
      </w:r>
      <w:r>
        <w:t xml:space="preserve"> </w:t>
      </w:r>
      <m:oMath>
        <m:sSub>
          <m:e>
            <m:r>
              <m:rPr>
                <m:sty m:val="b"/>
              </m:rPr>
              <m:t>π</m:t>
            </m:r>
          </m:e>
          <m:sub>
            <m:r>
              <m:t>t</m:t>
            </m:r>
          </m:sub>
        </m:sSub>
      </m:oMath>
      <w:r>
        <w:t xml:space="preserve">를 계산한다.</w:t>
      </w:r>
    </w:p>
    <w:p>
      <w:pPr>
        <w:numPr>
          <w:ilvl w:val="0"/>
          <w:numId w:val="1006"/>
        </w:numPr>
      </w:pPr>
      <w:r>
        <w:t xml:space="preserve">앙상블 모형(또는 ANN 기준 모형)의 예측 변동성</w:t>
      </w:r>
      <w:r>
        <w:t xml:space="preserve"> </w:t>
      </w:r>
      <m:oMath>
        <m:sSub>
          <m:e>
            <m:acc>
              <m:accPr>
                <m:chr m:val="̂"/>
              </m:accPr>
              <m:e>
                <m:r>
                  <m:t>σ</m:t>
                </m:r>
              </m:e>
            </m:acc>
          </m:e>
          <m:sub>
            <m:r>
              <m:t>i</m:t>
            </m:r>
            <m:r>
              <m:t>,</m:t>
            </m:r>
            <m:r>
              <m:t>t</m:t>
            </m:r>
          </m:sub>
        </m:sSub>
      </m:oMath>
      <w:r>
        <w:t xml:space="preserve">로</w:t>
      </w:r>
      <w:r>
        <w:t xml:space="preserve"> </w:t>
      </w:r>
      <m:oMath>
        <m:sSub>
          <m:e>
            <m:r>
              <m:rPr>
                <m:sty m:val="b"/>
              </m:rPr>
              <m:t>p</m:t>
            </m:r>
          </m:e>
          <m:sub>
            <m:r>
              <m:t>t</m:t>
            </m:r>
          </m:sub>
        </m:sSub>
      </m:oMath>
      <w:r>
        <w:t xml:space="preserve">를 구성하고, 슬롯 설정에 따라</w:t>
      </w:r>
      <w:r>
        <w:t xml:space="preserve"> </w:t>
      </w:r>
      <m:oMath>
        <m:sSub>
          <m:e>
            <m:r>
              <m:t>q</m:t>
            </m:r>
          </m:e>
          <m:sub>
            <m:r>
              <m:t>t</m:t>
            </m:r>
          </m:sub>
        </m:sSub>
      </m:oMath>
      <w:r>
        <w:t xml:space="preserve">와</w:t>
      </w:r>
      <w:r>
        <w:t xml:space="preserve"> </w:t>
      </w:r>
      <m:oMath>
        <m:sSub>
          <m:e>
            <m:r>
              <m:t>ω</m:t>
            </m:r>
          </m:e>
          <m:sub>
            <m:r>
              <m:t>t</m:t>
            </m:r>
          </m:sub>
        </m:sSub>
      </m:oMath>
      <w:r>
        <w:t xml:space="preserve">를 산출한다.</w:t>
      </w:r>
    </w:p>
    <w:p>
      <w:pPr>
        <w:numPr>
          <w:ilvl w:val="0"/>
          <w:numId w:val="1006"/>
        </w:numPr>
      </w:pPr>
      <w:r>
        <w:t xml:space="preserve">식 (4), (5)에 따라 BL 사후 분포의 평균</w:t>
      </w:r>
      <w:r>
        <w:t xml:space="preserve"> </w:t>
      </w:r>
      <m:oMath>
        <m:sSub>
          <m:e>
            <m:r>
              <m:rPr>
                <m:sty m:val="b"/>
              </m:rPr>
              <m:t>μ</m:t>
            </m:r>
          </m:e>
          <m:sub>
            <m:r>
              <m:t>B</m:t>
            </m:r>
            <m:r>
              <m:t>L</m:t>
            </m:r>
            <m:r>
              <m:t>,</m:t>
            </m:r>
            <m:r>
              <m:t>t</m:t>
            </m:r>
          </m:sub>
        </m:sSub>
      </m:oMath>
      <w:r>
        <w:t xml:space="preserve">와 공분산</w:t>
      </w:r>
      <w:r>
        <w:t xml:space="preserve"> </w:t>
      </w:r>
      <m:oMath>
        <m:sSub>
          <m:e>
            <m:r>
              <m:rPr>
                <m:sty m:val="b"/>
              </m:rPr>
              <m:t>Σ</m:t>
            </m:r>
          </m:e>
          <m:sub>
            <m:r>
              <m:t>B</m:t>
            </m:r>
            <m:r>
              <m:t>L</m:t>
            </m:r>
            <m:r>
              <m:t>,</m:t>
            </m:r>
            <m:r>
              <m:t>t</m:t>
            </m:r>
          </m:sub>
        </m:sSub>
      </m:oMath>
      <w:r>
        <w:t xml:space="preserve">를 계산한다.</w:t>
      </w:r>
    </w:p>
    <w:p>
      <w:pPr>
        <w:numPr>
          <w:ilvl w:val="0"/>
          <w:numId w:val="1006"/>
        </w:numPr>
      </w:pPr>
      <w:r>
        <w:t xml:space="preserve">식 (6)에 단일 종목 비중 상한</w:t>
      </w:r>
      <w:r>
        <w:t xml:space="preserve"> </w:t>
      </w:r>
      <m:oMath>
        <m:sSub>
          <m:e>
            <m:r>
              <m:t>w</m:t>
            </m:r>
          </m:e>
          <m:sub>
            <m:r>
              <m:t>i</m:t>
            </m:r>
          </m:sub>
        </m:sSub>
        <m:r>
          <m:t>≤</m:t>
        </m:r>
        <m:r>
          <m:t>0.10</m:t>
        </m:r>
      </m:oMath>
      <w:r>
        <w:t xml:space="preserve"> </w:t>
      </w:r>
      <w:r>
        <w:t xml:space="preserve">제약을 추가한 형태로 최적화하여 포트폴리오 비중을 산출한다.</w:t>
      </w:r>
    </w:p>
    <w:p>
      <w:pPr/>
      <w:r>
        <w:t xml:space="preserve">비중 상한 10%는 극단적 집중 투자를 방지하기 위한 운용상 제약이다. 또한 데이터의 가용성을 확보하기 위해 각 리밸런싱 시점에서 훈련 윈도우(60개월) 내 일별 수익률 데이터가 90% 이상 존재하는 종목만 유효 유니버스로 선별한다. 거래비용은 편측 20bp를 적용하며, 월별 실제 비중 변화량</w:t>
      </w:r>
      <w:r>
        <w:t xml:space="preserve"> </w:t>
      </w:r>
      <m:oMath>
        <m:nary>
          <m:naryPr>
            <m:chr m:val="∑"/>
            <m:limLoc m:val="undOvr"/>
            <m:subHide m:val="0"/>
            <m:supHide m:val="1"/>
          </m:naryPr>
          <m:sub>
            <m:r>
              <m:t>i</m:t>
            </m:r>
          </m:sub>
          <m:sup>
            <m:r>
              <m:t>​</m:t>
            </m:r>
          </m:sup>
          <m:e>
            <m:r>
              <m:t>|</m:t>
            </m:r>
          </m:e>
        </m:nary>
        <m:r>
          <m:t>Δ</m:t>
        </m:r>
        <m:sSub>
          <m:e>
            <m:r>
              <m:t>w</m:t>
            </m:r>
          </m:e>
          <m:sub>
            <m:r>
              <m:t>i</m:t>
            </m:r>
            <m:r>
              <m:t>,</m:t>
            </m:r>
            <m:r>
              <m:t>t</m:t>
            </m:r>
          </m:sub>
        </m:sSub>
        <m:r>
          <m:t>|</m:t>
        </m:r>
      </m:oMath>
      <w:r>
        <w:t xml:space="preserve">에 비례하여 차감한다. 이는 S&amp;P 500 구성 종목의 실제 매매 스프레드 대비 보수적인 설정으로,</w:t>
      </w:r>
      <w:r>
        <w:t xml:space="preserve"> </w:t>
      </w:r>
      <m:oMath>
        <m:sSup>
          <m:e>
            <m:r>
              <m:t>ω</m:t>
            </m:r>
          </m:e>
          <m:sup>
            <m:r>
              <m:rPr>
                <m:sty m:val="p"/>
              </m:rPr>
              <m:t>e</m:t>
            </m:r>
            <m:r>
              <m:rPr>
                <m:sty m:val="p"/>
              </m:rPr>
              <m:t>r</m:t>
            </m:r>
            <m:r>
              <m:rPr>
                <m:sty m:val="p"/>
              </m:rPr>
              <m:t>r</m:t>
            </m:r>
          </m:sup>
        </m:sSup>
      </m:oMath>
      <w:r>
        <w:t xml:space="preserve"> </w:t>
      </w:r>
      <w:r>
        <w:t xml:space="preserve">슬롯의 예측오차 기반 신뢰도 조정이 고변동 구간에서 회전율을 높일 수 있다는 점을 고려한 것이다. 무위험 수익률은 미국 3개월 국채 수익률을 사용하며, 샤프 비율 산출 시 초과수익률 계산에 적용한다.</w:t>
      </w:r>
    </w:p>
    <w:p>
      <w:pPr>
        <w:pStyle w:val="3"/>
      </w:pPr>
      <w:bookmarkStart w:id="54" w:name="subsubsec:bl_eval"/>
      <w:r>
        <w:t xml:space="preserve">평가 방법론</w:t>
      </w:r>
      <w:bookmarkEnd w:id="54"/>
    </w:p>
    <w:p>
      <w:pPr/>
      <w:r>
        <w:t xml:space="preserve">전체 분석 기간은 2010년 1월부터 2025년 12월까지(192개월)이며, 시장 국면에 따라 성과가 크게 달라질 수 있으므로 전체 기간 평가와 국면별 성과 분해를 병행한다.</w:t>
      </w:r>
    </w:p>
    <w:p>
      <w:pPr/>
      <w:r>
        <w:t xml:space="preserve">구체적인 국면 분류 과정은 부록 A에 상세히 기술되어 있으며, 본 연구는 Hidden Markov Model(HMM, [hamilton1989new? — bib 누락]) 기반의 통계적 구조전환점 탐지와 금융 이벤트 도메인 지식을 결합하여 네 개의 비중첩 구간을 식별하였다(표 1).</w:t>
      </w:r>
    </w:p>
    <w:p>
      <w:pPr/>
      <w:r>
        <w:t xml:space="preserve">각 국면 및 전체 기간에 대한 성과지표로는 샤프 비율, Sortino 비율, 최대 낙폭(Maximum Drawdown, MDD)을 산출한다. 이와 같은 국면별 성과 분해를 통해 앙상블 기반 BL 포트폴리오의 ANN 대비 우위가 특정 시장 국면에 의존하는지, 혹은 전 국면에 걸쳐 일관되게 유지되는지를 체계적으로 검증한다. 이를 위해 앙상블 모형과 ANN 기준 모형은 동일한 90개 슬롯 조합에 대해 1:1 대응 비교하며, 슬롯 구성은 두 모형 간 완전히 동일하게 유지한다.</w:t>
      </w:r>
    </w:p>
    <w:bookmarkStart w:id="55" w:name="tab:regimes"/>
    <w:p>
      <w:pPr>
        <w:keepNext/>
        <w:jc w:val="center"/>
      </w:pPr>
      <w:r>
        <w:t xml:space="preserve">&lt;표 1&gt; 분석 국면(regime) 구분 및 시기별 특성</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pPr>
              <w:pStyle w:val="a8"/>
              <w:jc w:val="left"/>
            </w:pPr>
            <w:r>
              <w:t xml:space="preserve">국면</w:t>
            </w:r>
          </w:p>
        </w:tc>
        <w:tc>
          <w:tcPr>
            <w:tcBorders>
              <w:top w:val="single" w:sz="12" w:space="0" w:color="auto"/>
              <w:bottom w:val="single" w:sz="4" w:space="0" w:color="auto"/>
            </w:tcBorders>
            <w:vAlign w:val="center"/>
          </w:tcPr>
          <w:p>
            <w:pPr>
              <w:pStyle w:val="a8"/>
              <w:jc w:val="left"/>
            </w:pPr>
            <w:r>
              <w:t xml:space="preserve">기간</w:t>
            </w:r>
          </w:p>
        </w:tc>
        <w:tc>
          <w:tcPr>
            <w:tcBorders>
              <w:top w:val="single" w:sz="12" w:space="0" w:color="auto"/>
              <w:bottom w:val="single" w:sz="4" w:space="0" w:color="auto"/>
            </w:tcBorders>
            <w:vAlign w:val="center"/>
          </w:tcPr>
          <w:p>
            <w:pPr>
              <w:pStyle w:val="a8"/>
              <w:jc w:val="center"/>
            </w:pPr>
            <w:r>
              <w:t xml:space="preserve">기간(개월)</w:t>
            </w:r>
          </w:p>
        </w:tc>
        <w:tc>
          <w:tcPr>
            <w:tcBorders>
              <w:top w:val="single" w:sz="12" w:space="0" w:color="auto"/>
              <w:bottom w:val="single" w:sz="4" w:space="0" w:color="auto"/>
            </w:tcBorders>
            <w:vAlign w:val="center"/>
          </w:tcPr>
          <w:p>
            <w:pPr>
              <w:pStyle w:val="a8"/>
              <w:jc w:val="left"/>
            </w:pPr>
            <w:r>
              <w:t xml:space="preserve">특성</w:t>
            </w:r>
          </w:p>
        </w:tc>
      </w:tr>
      <w:tr>
        <w:tc>
          <w:tcPr>
            <w:vAlign w:val="center"/>
          </w:tcPr>
          <w:p>
            <w:pPr>
              <w:pStyle w:val="a8"/>
              <w:jc w:val="left"/>
            </w:pPr>
            <w:r>
              <w:t xml:space="preserve">R1 (회복기)</w:t>
            </w:r>
          </w:p>
        </w:tc>
        <w:tc>
          <w:tcPr>
            <w:vAlign w:val="center"/>
          </w:tcPr>
          <w:p>
            <w:pPr>
              <w:pStyle w:val="a8"/>
              <w:jc w:val="left"/>
            </w:pPr>
            <w:r>
              <w:t xml:space="preserve">2010.01–2012.06</w:t>
            </w:r>
          </w:p>
        </w:tc>
        <w:tc>
          <w:tcPr>
            <w:vAlign w:val="center"/>
          </w:tcPr>
          <w:p>
            <w:pPr>
              <w:pStyle w:val="a8"/>
              <w:jc w:val="center"/>
            </w:pPr>
            <w:r>
              <w:t xml:space="preserve">30</w:t>
            </w:r>
          </w:p>
        </w:tc>
        <w:tc>
          <w:tcPr>
            <w:vAlign w:val="center"/>
          </w:tcPr>
          <w:p>
            <w:pPr>
              <w:pStyle w:val="a8"/>
              <w:jc w:val="left"/>
            </w:pPr>
            <w:r>
              <w:t xml:space="preserve">Post-GFC 회복, 유럽 재정위기</w:t>
            </w:r>
          </w:p>
        </w:tc>
      </w:tr>
      <w:tr>
        <w:tc>
          <w:tcPr>
            <w:vAlign w:val="center"/>
          </w:tcPr>
          <w:p>
            <w:pPr>
              <w:pStyle w:val="a8"/>
              <w:jc w:val="left"/>
            </w:pPr>
            <w:r>
              <w:t xml:space="preserve">R2 (확장기)</w:t>
            </w:r>
          </w:p>
        </w:tc>
        <w:tc>
          <w:tcPr>
            <w:vAlign w:val="center"/>
          </w:tcPr>
          <w:p>
            <w:pPr>
              <w:pStyle w:val="a8"/>
              <w:jc w:val="left"/>
            </w:pPr>
            <w:r>
              <w:t xml:space="preserve">2012.07–2019.12</w:t>
            </w:r>
          </w:p>
        </w:tc>
        <w:tc>
          <w:tcPr>
            <w:vAlign w:val="center"/>
          </w:tcPr>
          <w:p>
            <w:pPr>
              <w:pStyle w:val="a8"/>
              <w:jc w:val="center"/>
            </w:pPr>
            <w:r>
              <w:t xml:space="preserve">90</w:t>
            </w:r>
          </w:p>
        </w:tc>
        <w:tc>
          <w:tcPr>
            <w:vAlign w:val="center"/>
          </w:tcPr>
          <w:p>
            <w:pPr>
              <w:pStyle w:val="a8"/>
              <w:jc w:val="left"/>
            </w:pPr>
            <w:r>
              <w:t xml:space="preserve">장기 Bull Market, 저변동</w:t>
            </w:r>
          </w:p>
        </w:tc>
      </w:tr>
      <w:tr>
        <w:tc>
          <w:tcPr>
            <w:vAlign w:val="center"/>
          </w:tcPr>
          <w:p>
            <w:pPr>
              <w:pStyle w:val="a8"/>
              <w:jc w:val="left"/>
            </w:pPr>
            <w:r>
              <w:t xml:space="preserve">R3 (위기기)</w:t>
            </w:r>
          </w:p>
        </w:tc>
        <w:tc>
          <w:tcPr>
            <w:vAlign w:val="center"/>
          </w:tcPr>
          <w:p>
            <w:pPr>
              <w:pStyle w:val="a8"/>
              <w:jc w:val="left"/>
            </w:pPr>
            <w:r>
              <w:t xml:space="preserve">2020.01–2023.06</w:t>
            </w:r>
          </w:p>
        </w:tc>
        <w:tc>
          <w:tcPr>
            <w:vAlign w:val="center"/>
          </w:tcPr>
          <w:p>
            <w:pPr>
              <w:pStyle w:val="a8"/>
              <w:jc w:val="center"/>
            </w:pPr>
            <w:r>
              <w:t xml:space="preserve">42</w:t>
            </w:r>
          </w:p>
        </w:tc>
        <w:tc>
          <w:tcPr>
            <w:vAlign w:val="center"/>
          </w:tcPr>
          <w:p>
            <w:pPr>
              <w:pStyle w:val="a8"/>
              <w:jc w:val="left"/>
            </w:pPr>
            <w:r>
              <w:t xml:space="preserve">COVID-19, 2022 약세장</w:t>
            </w:r>
          </w:p>
        </w:tc>
      </w:tr>
      <w:tr>
        <w:tc>
          <w:tcPr>
            <w:vAlign w:val="center"/>
          </w:tcPr>
          <w:p>
            <w:pPr>
              <w:pStyle w:val="a8"/>
              <w:jc w:val="left"/>
            </w:pPr>
            <w:r>
              <w:t xml:space="preserve">R4 (정상화)</w:t>
            </w:r>
          </w:p>
        </w:tc>
        <w:tc>
          <w:tcPr>
            <w:vAlign w:val="center"/>
          </w:tcPr>
          <w:p>
            <w:pPr>
              <w:pStyle w:val="a8"/>
              <w:jc w:val="left"/>
            </w:pPr>
            <w:r>
              <w:t xml:space="preserve">2023.07–2025.12</w:t>
            </w:r>
          </w:p>
        </w:tc>
        <w:tc>
          <w:tcPr>
            <w:vAlign w:val="center"/>
          </w:tcPr>
          <w:p>
            <w:pPr>
              <w:pStyle w:val="a8"/>
              <w:jc w:val="center"/>
            </w:pPr>
            <w:r>
              <w:t xml:space="preserve">30</w:t>
            </w:r>
          </w:p>
        </w:tc>
        <w:tc>
          <w:tcPr>
            <w:vAlign w:val="center"/>
          </w:tcPr>
          <w:p>
            <w:pPr>
              <w:pStyle w:val="a8"/>
              <w:jc w:val="left"/>
            </w:pPr>
            <w:r>
              <w:t xml:space="preserve">AI 주도 랠리</w:t>
            </w:r>
          </w:p>
        </w:tc>
      </w:tr>
      <w:tr>
        <w:tc>
          <w:tcPr>
            <w:tcBorders>
              <w:top w:val="single" w:sz="4" w:space="0" w:color="auto"/>
              <w:bottom w:val="single" w:sz="12" w:space="0" w:color="auto"/>
            </w:tcBorders>
            <w:vAlign w:val="center"/>
          </w:tcPr>
          <w:p>
            <w:pPr>
              <w:pStyle w:val="a8"/>
            </w:pPr>
            <w:r>
              <w:rPr>
                <w:rFonts w:ascii="Times New Roman" w:hAnsi="Times New Roman" w:eastAsia="바탕"/>
              </w:rPr>
              <w:t xml:space="preserve">전체</w:t>
            </w:r>
          </w:p>
        </w:tc>
        <w:tc>
          <w:tcPr>
            <w:tcBorders>
              <w:top w:val="single" w:sz="4" w:space="0" w:color="auto"/>
              <w:bottom w:val="single" w:sz="12" w:space="0" w:color="auto"/>
            </w:tcBorders>
            <w:vAlign w:val="center"/>
          </w:tcPr>
          <w:p>
            <w:pPr>
              <w:pStyle w:val="a8"/>
              <w:jc w:val="left"/>
            </w:pPr>
            <w:r>
              <w:t xml:space="preserve">2010.01–2025.12</w:t>
            </w:r>
          </w:p>
        </w:tc>
        <w:tc>
          <w:tcPr>
            <w:tcBorders>
              <w:top w:val="single" w:sz="4" w:space="0" w:color="auto"/>
              <w:bottom w:val="single" w:sz="12" w:space="0" w:color="auto"/>
            </w:tcBorders>
            <w:vAlign w:val="center"/>
          </w:tcPr>
          <w:p>
            <w:pPr>
              <w:pStyle w:val="a8"/>
              <w:jc w:val="center"/>
            </w:pPr>
            <w:r>
              <w:t xml:space="preserve">192</w:t>
            </w:r>
          </w:p>
        </w:tc>
        <w:tc>
          <w:tcPr>
            <w:tcBorders>
              <w:top w:val="single" w:sz="4" w:space="0" w:color="auto"/>
              <w:bottom w:val="single" w:sz="12" w:space="0" w:color="auto"/>
            </w:tcBorders>
            <w:vAlign w:val="center"/>
          </w:tcPr>
          <w:p>
            <w:pPr>
              <w:pStyle w:val="a8"/>
              <w:jc w:val="left"/>
            </w:pPr>
            <w:r>
              <w:t xml:space="preserve">—</w:t>
            </w:r>
          </w:p>
        </w:tc>
      </w:tr>
    </w:tbl>
    <w:bookmarkEnd w:id="55"/>
    <w:p>
      <w:pPr>
        <w:pStyle w:val="1"/>
      </w:pPr>
      <w:bookmarkStart w:id="56" w:name="sec:result"/>
      <w:r>
        <w:t xml:space="preserve">실증 분석</w:t>
      </w:r>
      <w:bookmarkEnd w:id="56"/>
    </w:p>
    <w:p>
      <w:pPr/>
      <w:r>
        <w:t xml:space="preserve">본 연구의 실증 분석은 2010년 1월부터 2025년 12월까지 총 16년(192개월) 동안 미국 S&amp;P 500 지수에 편입된 종목을 대상으로 수행한다. 종목 유니버스는 분석 기간 중 한 번이라도 S&amp;P 500에 포함되었던 833개 종목에서 출발하였다. 이 중 야후 파이낸스(Yahoo Finance)를 통해 일별 가격 데이터 확보가 가능한 617개 종목을 최종 분석 대상으로 선정하였으며, 데이터가 제외된 종목들은 상장 폐지나 인수합병 등으로 인한 가용성의 한계에 기인한다. 특히 매 리밸런싱 시점마다 해당 시점의 실제 S&amp;P 500 편입 종목만을 포트폴리오에 포함시키는 시점별 멤버십 필터링을 적용함으로써 생존 편향을 완화하였으나, 데이터 가용성 한계로 인한 편향을 완전히 배제할 수 없다. 그 외 결측치 처리, 거래비용, 자산별 비중 상한 등 구체적인 포트폴리오 운용 조건은 3.3.2절에서 기술한 바와 같다.</w:t>
      </w:r>
    </w:p>
    <w:p>
      <w:pPr/>
      <w:r>
        <w:t xml:space="preserve">분석에 사용된 주가, 시가총액, VIX 지수, 무위험 수익률 데이터는 야후 파이낸스에서 수집하였으며, FF3 시계열 데이터는 케네스 프렌치(Kenneth French) 데이터 라이브러리를 활용하였다. 또한, 시점별 S&amp;P 500 편입 종목 정보는 위키피디아(Wikipedia)의 S&amp;P 500 변경 이력을 바탕으로 구축하였다. 본 절은 변동성 예측 성능(4.1절), 기준 슬롯의 1차원 변형(4.2절), 슬롯 차원별 주변 분포(4.3절), 외부 벤치마크 대비 성과(4.4절) 순으로 실증 분석 결과를 제시한다.</w:t>
      </w:r>
    </w:p>
    <w:p>
      <w:pPr>
        <w:pStyle w:val="2"/>
      </w:pPr>
      <w:bookmarkStart w:id="57" w:name="subsec:vol_pred_eval"/>
      <w:r>
        <w:t xml:space="preserve">변동성 예측 성능</w:t>
      </w:r>
      <w:bookmarkEnd w:id="57"/>
    </w:p>
    <w:p>
      <w:pPr/>
      <w:r>
        <w:t xml:space="preserve">표 2는 LSTM 모형과 HAR 모형, 두 모형의 앙상블, 그리고 ANN 기준 모형의 변동성 예측 성능을 전체 기간과 4개 국면 구간 별로 비교한 결과이다.</w:t>
      </w:r>
    </w:p>
    <w:p>
      <w:pPr/>
      <w:r>
        <w:t xml:space="preserve">먼저 단독 모형 성능을 보면, LSTM과 HAR 모형 모두 ANN 기준 모형 대비 일관된 우위를 보여 두 모형의 유용성을 확인하였다. 다만, 두 모형 간의 직접 비교에서는 지표에 따라 차별적인 강점이 관찰된다. LSTM 모형은 금융위기 구간인 R3 국면에서 Spearman 순위상관계수 우위(0.6772 vs HAR 0.6031)를 보이며 종목 간 상대적 변동성 순위를 우수하게 포착하였다. HAR 모형은 전 구간에 걸쳐 RMSE와 Hit Rate 측면에서 보다 안정적인 성능을 기록하였으며, 특히 R3 구간에서의 RMSE 격차(0.4336 vs LSTM 0.5064)가 두드러졌다. 이는 변동성이 급변하는 구간에서 LSTM 모형의 복잡한 학습 구조가 비정상적 패턴에 과적합되어 변동성 예측 오차를 확산시킨 반면, HAR 모형의 단순한 선형 구조는 짧은 표본에서도 안정적인 성능을 유지함을 시사한다.</w:t>
      </w:r>
    </w:p>
    <w:p>
      <w:pPr/>
      <w:r>
        <w:t xml:space="preserve">이처럼 두 단독 모형이 상이한 오차 특성을 지닌다는 점은, 모형 결합 시 결합 오차의 분산 감소 효과를 기대할 수 있다는 논리적 배경이 된다. 실제로 앙상블 모형은 이러한 상호 보완성을 효과적으로 활용하여 두 단독 모형의 성과를 모두 상회하였으며, 분석 대상인 총 20개의 셀(4개 평가지표</w:t>
      </w:r>
      <w:r>
        <w:t xml:space="preserve"> </w:t>
      </w:r>
      <m:oMath>
        <m:r>
          <m:t>×</m:t>
        </m:r>
      </m:oMath>
      <w:r>
        <w:t xml:space="preserve"> </w:t>
      </w:r>
      <w:r>
        <w:t xml:space="preserve">5개 분석 기간) 전반에서 가장 좋은 성능을 보인다. 이는 서로 다른 가정과 구조에 기반한 모형 결합이 단일 모형 대비 안정적인 예측력을 제공한다는 이론적 기대(2.2.3)와 궤를 같이 한다.</w:t>
      </w:r>
    </w:p>
    <w:p>
      <w:pPr/>
      <w:r>
        <w:t xml:space="preserve">특히 앙상블 모형과 ANN 기준 모형 간의 성과 격차는 R3 국면에서 가장 극명하게 나타났다. Spearman 순위상관 격차가 +0.310 (앙상블 0.6874 vs ANN 0.3771)로 가장 유의미한 향상을 보였는데, 이는 제안한 앙상블 모형이 시장의 극단적인 불확실성 하에서도 종목 간 상대적인 서열을 가장 안정적으로 보존할 수 있음을 의미한다. Hit Rate 역시 동일한 맥락에서, R3 국면 내 하위 30%(저변동성) 식별 정확도는 +0.040 (앙상블 0.6245 vs ANN 0.5842), 상위 30%(고변동성) 식별 정확도는 +0.036 (0.6913 vs 0.6549)의 성과 개선이 관찰되었다. 본 연구의 자산 배분 전략은 저변동성 종목의 비중 확대와 고변동성 종목의 비중 축소를 동시에 수반한다는 점을 고려할 때, 이처럼 양 극단 영역에서 확보된 높은 식별 정확도는 예측 단계의 우수성이 포트폴리오의 실질적인 위험조정수익률 제고로 전이될 수 있음을 지지하는 근거가 된다. 이러한 변동성 예측 성과가 실제 포트폴리오 구축 단계에서 어떻게 구현되는지는 이어지는 4.2절에서 상세히 논한다.</w:t>
      </w:r>
    </w:p>
    <w:bookmarkStart w:id="58" w:name="tab:sigma_pred"/>
    <w:p>
      <w:pPr>
        <w:keepNext/>
        <w:jc w:val="center"/>
      </w:pPr>
      <w:r>
        <w:t xml:space="preserve">&lt;표 2&gt; 변동성 예측 성능 (RMSE, Spearman, Hit Rate). ANN을 제외한 모형은 각 월의 마지막 거래일 예측값을 사용. 굵은 글씨는 지표·기간 별 최고 성능.</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pPr>
              <w:pStyle w:val="a8"/>
              <w:jc w:val="left"/>
            </w:pPr>
            <w:r>
              <w:t xml:space="preserve">Metric</w:t>
            </w:r>
          </w:p>
        </w:tc>
        <w:tc>
          <w:tcPr>
            <w:tcBorders>
              <w:top w:val="single" w:sz="12" w:space="0" w:color="auto"/>
              <w:bottom w:val="single" w:sz="4" w:space="0" w:color="auto"/>
            </w:tcBorders>
            <w:vAlign w:val="center"/>
          </w:tcPr>
          <w:p>
            <w:pPr>
              <w:pStyle w:val="a8"/>
              <w:jc w:val="left"/>
            </w:pPr>
            <w:r>
              <w:t xml:space="preserve">Period</w:t>
            </w:r>
          </w:p>
        </w:tc>
        <w:tc>
          <w:tcPr>
            <w:tcBorders>
              <w:top w:val="single" w:sz="12" w:space="0" w:color="auto"/>
              <w:bottom w:val="single" w:sz="4" w:space="0" w:color="auto"/>
            </w:tcBorders>
            <w:vAlign w:val="center"/>
          </w:tcPr>
          <w:p>
            <w:pPr>
              <w:pStyle w:val="a8"/>
              <w:jc w:val="center"/>
            </w:pPr>
            <w:r>
              <w:t xml:space="preserve">LSTM</w:t>
            </w:r>
          </w:p>
        </w:tc>
        <w:tc>
          <w:tcPr>
            <w:tcBorders>
              <w:top w:val="single" w:sz="12" w:space="0" w:color="auto"/>
              <w:bottom w:val="single" w:sz="4" w:space="0" w:color="auto"/>
            </w:tcBorders>
            <w:vAlign w:val="center"/>
          </w:tcPr>
          <w:p>
            <w:pPr>
              <w:pStyle w:val="a8"/>
              <w:jc w:val="center"/>
            </w:pPr>
            <w:r>
              <w:t xml:space="preserve">HAR</w:t>
            </w:r>
          </w:p>
        </w:tc>
        <w:tc>
          <w:tcPr>
            <w:tcBorders>
              <w:top w:val="single" w:sz="12" w:space="0" w:color="auto"/>
              <w:bottom w:val="single" w:sz="4" w:space="0" w:color="auto"/>
            </w:tcBorders>
            <w:vAlign w:val="center"/>
          </w:tcPr>
          <w:p>
            <w:pPr>
              <w:pStyle w:val="a8"/>
              <w:jc w:val="center"/>
            </w:pPr>
            <w:r>
              <w:t xml:space="preserve">Ens.</w:t>
            </w:r>
          </w:p>
        </w:tc>
        <w:tc>
          <w:tcPr>
            <w:tcBorders>
              <w:top w:val="single" w:sz="12" w:space="0" w:color="auto"/>
              <w:bottom w:val="single" w:sz="4" w:space="0" w:color="auto"/>
            </w:tcBorders>
            <w:vAlign w:val="center"/>
          </w:tcPr>
          <w:p>
            <w:pPr>
              <w:pStyle w:val="a8"/>
              <w:jc w:val="center"/>
            </w:pPr>
            <w:r>
              <w:t xml:space="preserve">ANN</w:t>
            </w:r>
          </w:p>
        </w:tc>
      </w:tr>
      <w:tr>
        <w:tc>
          <w:tcPr>
            <w:vMerge w:val="restart"/>
            <w:vAlign w:val="center"/>
          </w:tcPr>
          <w:p>
            <w:pPr>
              <w:pStyle w:val="a8"/>
            </w:pPr>
            <w:r>
              <w:rPr>
                <w:rFonts w:ascii="Times New Roman" w:hAnsi="Times New Roman" w:eastAsia="바탕"/>
                <w:sz w:val="22"/>
                <w:szCs w:val="22"/>
              </w:rPr>
              <w:t xml:space="preserve">RMSE ↓</w:t>
            </w:r>
          </w:p>
        </w:tc>
        <w:tc>
          <w:tcPr>
            <w:vAlign w:val="center"/>
          </w:tcPr>
          <w:p>
            <w:pPr>
              <w:pStyle w:val="a8"/>
              <w:jc w:val="left"/>
            </w:pPr>
            <w:r>
              <w:t xml:space="preserve">All</w:t>
            </w:r>
          </w:p>
        </w:tc>
        <w:tc>
          <w:tcPr>
            <w:vAlign w:val="center"/>
          </w:tcPr>
          <w:p>
            <w:pPr>
              <w:pStyle w:val="a8"/>
              <w:jc w:val="center"/>
            </w:pPr>
            <w:r>
              <w:t xml:space="preserve">0.4157</w:t>
            </w:r>
          </w:p>
        </w:tc>
        <w:tc>
          <w:tcPr>
            <w:vAlign w:val="center"/>
          </w:tcPr>
          <w:p>
            <w:pPr>
              <w:pStyle w:val="a8"/>
              <w:jc w:val="center"/>
            </w:pPr>
            <w:r>
              <w:t xml:space="preserve">0.3825</w:t>
            </w:r>
          </w:p>
        </w:tc>
        <w:tc>
          <w:tcPr>
            <w:vAlign w:val="center"/>
          </w:tcPr>
          <w:p>
            <w:pPr>
              <w:pStyle w:val="a8"/>
              <w:jc w:val="center"/>
            </w:pPr>
            <w:r>
              <w:rPr>
                <w:b/>
              </w:rPr>
              <w:t xml:space="preserve">0.3684</w:t>
            </w:r>
          </w:p>
        </w:tc>
        <w:tc>
          <w:tcPr>
            <w:vAlign w:val="center"/>
          </w:tcPr>
          <w:p>
            <w:pPr>
              <w:pStyle w:val="a8"/>
              <w:jc w:val="center"/>
            </w:pPr>
            <w:r>
              <w:t xml:space="preserve">0.4969</w:t>
            </w:r>
          </w:p>
        </w:tc>
      </w:tr>
      <w:tr>
        <w:tc>
          <w:tcPr>
            <w:vMerge/>
            <w:vAlign w:val="center"/>
          </w:tcPr>
          <w:p/>
        </w:tc>
        <w:tc>
          <w:tcPr>
            <w:vAlign w:val="center"/>
          </w:tcPr>
          <w:p>
            <w:pPr>
              <w:pStyle w:val="a8"/>
              <w:jc w:val="left"/>
            </w:pPr>
            <w:r>
              <w:t xml:space="preserve">R1 (회복)</w:t>
            </w:r>
          </w:p>
        </w:tc>
        <w:tc>
          <w:tcPr>
            <w:vAlign w:val="center"/>
          </w:tcPr>
          <w:p>
            <w:pPr>
              <w:pStyle w:val="a8"/>
              <w:jc w:val="center"/>
            </w:pPr>
            <w:r>
              <w:t xml:space="preserve">0.3839</w:t>
            </w:r>
          </w:p>
        </w:tc>
        <w:tc>
          <w:tcPr>
            <w:vAlign w:val="center"/>
          </w:tcPr>
          <w:p>
            <w:pPr>
              <w:pStyle w:val="a8"/>
              <w:jc w:val="center"/>
            </w:pPr>
            <w:r>
              <w:t xml:space="preserve">0.3488</w:t>
            </w:r>
          </w:p>
        </w:tc>
        <w:tc>
          <w:tcPr>
            <w:vAlign w:val="center"/>
          </w:tcPr>
          <w:p>
            <w:pPr>
              <w:pStyle w:val="a8"/>
              <w:jc w:val="center"/>
            </w:pPr>
            <w:r>
              <w:rPr>
                <w:b/>
              </w:rPr>
              <w:t xml:space="preserve">0.3479</w:t>
            </w:r>
          </w:p>
        </w:tc>
        <w:tc>
          <w:tcPr>
            <w:vAlign w:val="center"/>
          </w:tcPr>
          <w:p>
            <w:pPr>
              <w:pStyle w:val="a8"/>
              <w:jc w:val="center"/>
            </w:pPr>
            <w:r>
              <w:t xml:space="preserve">0.5885</w:t>
            </w:r>
          </w:p>
        </w:tc>
      </w:tr>
      <w:tr>
        <w:tc>
          <w:tcPr>
            <w:vMerge/>
            <w:vAlign w:val="center"/>
          </w:tcPr>
          <w:p/>
        </w:tc>
        <w:tc>
          <w:tcPr>
            <w:vAlign w:val="center"/>
          </w:tcPr>
          <w:p>
            <w:pPr>
              <w:pStyle w:val="a8"/>
              <w:jc w:val="left"/>
            </w:pPr>
            <w:r>
              <w:t xml:space="preserve">R2 (확장)</w:t>
            </w:r>
          </w:p>
        </w:tc>
        <w:tc>
          <w:tcPr>
            <w:vAlign w:val="center"/>
          </w:tcPr>
          <w:p>
            <w:pPr>
              <w:pStyle w:val="a8"/>
              <w:jc w:val="center"/>
            </w:pPr>
            <w:r>
              <w:t xml:space="preserve">0.3869</w:t>
            </w:r>
          </w:p>
        </w:tc>
        <w:tc>
          <w:tcPr>
            <w:vAlign w:val="center"/>
          </w:tcPr>
          <w:p>
            <w:pPr>
              <w:pStyle w:val="a8"/>
              <w:jc w:val="center"/>
            </w:pPr>
            <w:r>
              <w:t xml:space="preserve">0.3694</w:t>
            </w:r>
          </w:p>
        </w:tc>
        <w:tc>
          <w:tcPr>
            <w:vAlign w:val="center"/>
          </w:tcPr>
          <w:p>
            <w:pPr>
              <w:pStyle w:val="a8"/>
              <w:jc w:val="center"/>
            </w:pPr>
            <w:r>
              <w:rPr>
                <w:b/>
              </w:rPr>
              <w:t xml:space="preserve">0.3648</w:t>
            </w:r>
          </w:p>
        </w:tc>
        <w:tc>
          <w:tcPr>
            <w:vAlign w:val="center"/>
          </w:tcPr>
          <w:p>
            <w:pPr>
              <w:pStyle w:val="a8"/>
              <w:jc w:val="center"/>
            </w:pPr>
            <w:r>
              <w:t xml:space="preserve">0.4784</w:t>
            </w:r>
          </w:p>
        </w:tc>
      </w:tr>
      <w:tr>
        <w:tc>
          <w:tcPr>
            <w:vMerge/>
            <w:vAlign w:val="center"/>
          </w:tcPr>
          <w:p/>
        </w:tc>
        <w:tc>
          <w:tcPr>
            <w:vAlign w:val="center"/>
          </w:tcPr>
          <w:p>
            <w:pPr>
              <w:pStyle w:val="a8"/>
              <w:jc w:val="left"/>
            </w:pPr>
            <w:r>
              <w:t xml:space="preserve">R3 (위기)</w:t>
            </w:r>
          </w:p>
        </w:tc>
        <w:tc>
          <w:tcPr>
            <w:vAlign w:val="center"/>
          </w:tcPr>
          <w:p>
            <w:pPr>
              <w:pStyle w:val="a8"/>
              <w:jc w:val="center"/>
            </w:pPr>
            <w:r>
              <w:t xml:space="preserve">0.5064</w:t>
            </w:r>
          </w:p>
        </w:tc>
        <w:tc>
          <w:tcPr>
            <w:vAlign w:val="center"/>
          </w:tcPr>
          <w:p>
            <w:pPr>
              <w:pStyle w:val="a8"/>
              <w:jc w:val="center"/>
            </w:pPr>
            <w:r>
              <w:t xml:space="preserve">0.4336</w:t>
            </w:r>
          </w:p>
        </w:tc>
        <w:tc>
          <w:tcPr>
            <w:vAlign w:val="center"/>
          </w:tcPr>
          <w:p>
            <w:pPr>
              <w:pStyle w:val="a8"/>
              <w:jc w:val="center"/>
            </w:pPr>
            <w:r>
              <w:rPr>
                <w:b/>
              </w:rPr>
              <w:t xml:space="preserve">0.3916</w:t>
            </w:r>
          </w:p>
        </w:tc>
        <w:tc>
          <w:tcPr>
            <w:vAlign w:val="center"/>
          </w:tcPr>
          <w:p>
            <w:pPr>
              <w:pStyle w:val="a8"/>
              <w:jc w:val="center"/>
            </w:pPr>
            <w:r>
              <w:t xml:space="preserve">0.5303</w:t>
            </w:r>
          </w:p>
        </w:tc>
      </w:tr>
      <w:tr>
        <w:tc>
          <w:tcPr>
            <w:vMerge/>
            <w:vAlign w:val="center"/>
          </w:tcPr>
          <w:p/>
        </w:tc>
        <w:tc>
          <w:tcPr>
            <w:vAlign w:val="center"/>
          </w:tcPr>
          <w:p>
            <w:pPr>
              <w:pStyle w:val="a8"/>
              <w:jc w:val="left"/>
            </w:pPr>
            <w:r>
              <w:t xml:space="preserve">R4 (정상화)</w:t>
            </w:r>
          </w:p>
        </w:tc>
        <w:tc>
          <w:tcPr>
            <w:vAlign w:val="center"/>
          </w:tcPr>
          <w:p>
            <w:pPr>
              <w:pStyle w:val="a8"/>
              <w:jc w:val="center"/>
            </w:pPr>
            <w:r>
              <w:t xml:space="preserve">0.3774</w:t>
            </w:r>
          </w:p>
        </w:tc>
        <w:tc>
          <w:tcPr>
            <w:vAlign w:val="center"/>
          </w:tcPr>
          <w:p>
            <w:pPr>
              <w:pStyle w:val="a8"/>
              <w:jc w:val="center"/>
            </w:pPr>
            <w:r>
              <w:t xml:space="preserve">0.3696</w:t>
            </w:r>
          </w:p>
        </w:tc>
        <w:tc>
          <w:tcPr>
            <w:vAlign w:val="center"/>
          </w:tcPr>
          <w:p>
            <w:pPr>
              <w:pStyle w:val="a8"/>
              <w:jc w:val="center"/>
            </w:pPr>
            <w:r>
              <w:rPr>
                <w:b/>
              </w:rPr>
              <w:t xml:space="preserve">0.3620</w:t>
            </w:r>
          </w:p>
        </w:tc>
        <w:tc>
          <w:tcPr>
            <w:vAlign w:val="center"/>
          </w:tcPr>
          <w:p>
            <w:pPr>
              <w:pStyle w:val="a8"/>
              <w:jc w:val="center"/>
            </w:pPr>
            <w:r>
              <w:t xml:space="preserve">0.4041</w:t>
            </w:r>
          </w:p>
        </w:tc>
      </w:tr>
      <w:tr>
        <w:tc>
          <w:tcPr>
            <w:vMerge w:val="restart"/>
            <w:tcBorders>
              <w:top w:val="single" w:sz="4" w:space="0" w:color="auto"/>
            </w:tcBorders>
            <w:vAlign w:val="center"/>
          </w:tcPr>
          <w:p>
            <w:pPr>
              <w:pStyle w:val="a8"/>
            </w:pPr>
            <w:r>
              <w:rPr>
                <w:rFonts w:ascii="Times New Roman" w:hAnsi="Times New Roman" w:eastAsia="바탕"/>
                <w:sz w:val="22"/>
                <w:szCs w:val="22"/>
              </w:rPr>
              <w:t xml:space="preserve">Spearman ↑</w:t>
            </w:r>
          </w:p>
        </w:tc>
        <w:tc>
          <w:tcPr>
            <w:tcBorders>
              <w:top w:val="single" w:sz="4" w:space="0" w:color="auto"/>
            </w:tcBorders>
            <w:vAlign w:val="center"/>
          </w:tcPr>
          <w:p>
            <w:pPr>
              <w:pStyle w:val="a8"/>
              <w:jc w:val="left"/>
            </w:pPr>
            <w:r>
              <w:t xml:space="preserve">All</w:t>
            </w:r>
          </w:p>
        </w:tc>
        <w:tc>
          <w:tcPr>
            <w:tcBorders>
              <w:top w:val="single" w:sz="4" w:space="0" w:color="auto"/>
            </w:tcBorders>
            <w:vAlign w:val="center"/>
          </w:tcPr>
          <w:p>
            <w:pPr>
              <w:pStyle w:val="a8"/>
              <w:jc w:val="center"/>
            </w:pPr>
            <w:r>
              <w:t xml:space="preserve">0.6635</w:t>
            </w:r>
          </w:p>
        </w:tc>
        <w:tc>
          <w:tcPr>
            <w:tcBorders>
              <w:top w:val="single" w:sz="4" w:space="0" w:color="auto"/>
            </w:tcBorders>
            <w:vAlign w:val="center"/>
          </w:tcPr>
          <w:p>
            <w:pPr>
              <w:pStyle w:val="a8"/>
              <w:jc w:val="center"/>
            </w:pPr>
            <w:r>
              <w:t xml:space="preserve">0.6473</w:t>
            </w:r>
          </w:p>
        </w:tc>
        <w:tc>
          <w:tcPr>
            <w:tcBorders>
              <w:top w:val="single" w:sz="4" w:space="0" w:color="auto"/>
            </w:tcBorders>
            <w:vAlign w:val="center"/>
          </w:tcPr>
          <w:p>
            <w:pPr>
              <w:pStyle w:val="a8"/>
              <w:jc w:val="center"/>
            </w:pPr>
            <w:r>
              <w:rPr>
                <w:b/>
              </w:rPr>
              <w:t xml:space="preserve">0.6822</w:t>
            </w:r>
          </w:p>
        </w:tc>
        <w:tc>
          <w:tcPr>
            <w:tcBorders>
              <w:top w:val="single" w:sz="4" w:space="0" w:color="auto"/>
            </w:tcBorders>
            <w:vAlign w:val="center"/>
          </w:tcPr>
          <w:p>
            <w:pPr>
              <w:pStyle w:val="a8"/>
              <w:jc w:val="center"/>
            </w:pPr>
            <w:r>
              <w:t xml:space="preserve">0.5312</w:t>
            </w:r>
          </w:p>
        </w:tc>
      </w:tr>
      <w:tr>
        <w:tc>
          <w:tcPr>
            <w:vMerge/>
            <w:vAlign w:val="center"/>
          </w:tcPr>
          <w:p/>
        </w:tc>
        <w:tc>
          <w:tcPr>
            <w:vAlign w:val="center"/>
          </w:tcPr>
          <w:p>
            <w:pPr>
              <w:pStyle w:val="a8"/>
              <w:jc w:val="left"/>
            </w:pPr>
            <w:r>
              <w:t xml:space="preserve">R1 (회복)</w:t>
            </w:r>
          </w:p>
        </w:tc>
        <w:tc>
          <w:tcPr>
            <w:vAlign w:val="center"/>
          </w:tcPr>
          <w:p>
            <w:pPr>
              <w:pStyle w:val="a8"/>
              <w:jc w:val="center"/>
            </w:pPr>
            <w:r>
              <w:t xml:space="preserve">0.6997</w:t>
            </w:r>
          </w:p>
        </w:tc>
        <w:tc>
          <w:tcPr>
            <w:vAlign w:val="center"/>
          </w:tcPr>
          <w:p>
            <w:pPr>
              <w:pStyle w:val="a8"/>
              <w:jc w:val="center"/>
            </w:pPr>
            <w:r>
              <w:t xml:space="preserve">0.7061</w:t>
            </w:r>
          </w:p>
        </w:tc>
        <w:tc>
          <w:tcPr>
            <w:vAlign w:val="center"/>
          </w:tcPr>
          <w:p>
            <w:pPr>
              <w:pStyle w:val="a8"/>
              <w:jc w:val="center"/>
            </w:pPr>
            <w:r>
              <w:rPr>
                <w:b/>
              </w:rPr>
              <w:t xml:space="preserve">0.7236</w:t>
            </w:r>
          </w:p>
        </w:tc>
        <w:tc>
          <w:tcPr>
            <w:vAlign w:val="center"/>
          </w:tcPr>
          <w:p>
            <w:pPr>
              <w:pStyle w:val="a8"/>
              <w:jc w:val="center"/>
            </w:pPr>
            <w:r>
              <w:t xml:space="preserve">0.5481</w:t>
            </w:r>
          </w:p>
        </w:tc>
      </w:tr>
      <w:tr>
        <w:tc>
          <w:tcPr>
            <w:vMerge/>
            <w:vAlign w:val="center"/>
          </w:tcPr>
          <w:p/>
        </w:tc>
        <w:tc>
          <w:tcPr>
            <w:vAlign w:val="center"/>
          </w:tcPr>
          <w:p>
            <w:pPr>
              <w:pStyle w:val="a8"/>
              <w:jc w:val="left"/>
            </w:pPr>
            <w:r>
              <w:t xml:space="preserve">R2 (확장)</w:t>
            </w:r>
          </w:p>
        </w:tc>
        <w:tc>
          <w:tcPr>
            <w:vAlign w:val="center"/>
          </w:tcPr>
          <w:p>
            <w:pPr>
              <w:pStyle w:val="a8"/>
              <w:jc w:val="center"/>
            </w:pPr>
            <w:r>
              <w:t xml:space="preserve">0.5722</w:t>
            </w:r>
          </w:p>
        </w:tc>
        <w:tc>
          <w:tcPr>
            <w:vAlign w:val="center"/>
          </w:tcPr>
          <w:p>
            <w:pPr>
              <w:pStyle w:val="a8"/>
              <w:jc w:val="center"/>
            </w:pPr>
            <w:r>
              <w:t xml:space="preserve">0.5786</w:t>
            </w:r>
          </w:p>
        </w:tc>
        <w:tc>
          <w:tcPr>
            <w:vAlign w:val="center"/>
          </w:tcPr>
          <w:p>
            <w:pPr>
              <w:pStyle w:val="a8"/>
              <w:jc w:val="center"/>
            </w:pPr>
            <w:r>
              <w:rPr>
                <w:b/>
              </w:rPr>
              <w:t xml:space="preserve">0.5972</w:t>
            </w:r>
          </w:p>
        </w:tc>
        <w:tc>
          <w:tcPr>
            <w:vAlign w:val="center"/>
          </w:tcPr>
          <w:p>
            <w:pPr>
              <w:pStyle w:val="a8"/>
              <w:jc w:val="center"/>
            </w:pPr>
            <w:r>
              <w:t xml:space="preserve">0.5070</w:t>
            </w:r>
          </w:p>
        </w:tc>
      </w:tr>
      <w:tr>
        <w:tc>
          <w:tcPr>
            <w:vMerge/>
            <w:vAlign w:val="center"/>
          </w:tcPr>
          <w:p/>
        </w:tc>
        <w:tc>
          <w:tcPr>
            <w:vAlign w:val="center"/>
          </w:tcPr>
          <w:p>
            <w:pPr>
              <w:pStyle w:val="a8"/>
              <w:jc w:val="left"/>
            </w:pPr>
            <w:r>
              <w:t xml:space="preserve">R3 (위기)</w:t>
            </w:r>
          </w:p>
        </w:tc>
        <w:tc>
          <w:tcPr>
            <w:vAlign w:val="center"/>
          </w:tcPr>
          <w:p>
            <w:pPr>
              <w:pStyle w:val="a8"/>
              <w:jc w:val="center"/>
            </w:pPr>
            <w:r>
              <w:t xml:space="preserve">0.6772</w:t>
            </w:r>
          </w:p>
        </w:tc>
        <w:tc>
          <w:tcPr>
            <w:vAlign w:val="center"/>
          </w:tcPr>
          <w:p>
            <w:pPr>
              <w:pStyle w:val="a8"/>
              <w:jc w:val="center"/>
            </w:pPr>
            <w:r>
              <w:t xml:space="preserve">0.6031</w:t>
            </w:r>
          </w:p>
        </w:tc>
        <w:tc>
          <w:tcPr>
            <w:vAlign w:val="center"/>
          </w:tcPr>
          <w:p>
            <w:pPr>
              <w:pStyle w:val="a8"/>
              <w:jc w:val="center"/>
            </w:pPr>
            <w:r>
              <w:rPr>
                <w:b/>
              </w:rPr>
              <w:t xml:space="preserve">0.6874</w:t>
            </w:r>
          </w:p>
        </w:tc>
        <w:tc>
          <w:tcPr>
            <w:vAlign w:val="center"/>
          </w:tcPr>
          <w:p>
            <w:pPr>
              <w:pStyle w:val="a8"/>
              <w:jc w:val="center"/>
            </w:pPr>
            <w:r>
              <w:t xml:space="preserve">0.3771</w:t>
            </w:r>
          </w:p>
        </w:tc>
      </w:tr>
      <w:tr>
        <w:tc>
          <w:tcPr>
            <w:vMerge/>
            <w:vAlign w:val="center"/>
          </w:tcPr>
          <w:p/>
        </w:tc>
        <w:tc>
          <w:tcPr>
            <w:vAlign w:val="center"/>
          </w:tcPr>
          <w:p>
            <w:pPr>
              <w:pStyle w:val="a8"/>
              <w:jc w:val="left"/>
            </w:pPr>
            <w:r>
              <w:t xml:space="preserve">R4 (정상화)</w:t>
            </w:r>
          </w:p>
        </w:tc>
        <w:tc>
          <w:tcPr>
            <w:vAlign w:val="center"/>
          </w:tcPr>
          <w:p>
            <w:pPr>
              <w:pStyle w:val="a8"/>
              <w:jc w:val="center"/>
            </w:pPr>
            <w:r>
              <w:t xml:space="preserve">0.6289</w:t>
            </w:r>
          </w:p>
        </w:tc>
        <w:tc>
          <w:tcPr>
            <w:vAlign w:val="center"/>
          </w:tcPr>
          <w:p>
            <w:pPr>
              <w:pStyle w:val="a8"/>
              <w:jc w:val="center"/>
            </w:pPr>
            <w:r>
              <w:t xml:space="preserve">0.6300</w:t>
            </w:r>
          </w:p>
        </w:tc>
        <w:tc>
          <w:tcPr>
            <w:vAlign w:val="center"/>
          </w:tcPr>
          <w:p>
            <w:pPr>
              <w:pStyle w:val="a8"/>
              <w:jc w:val="center"/>
            </w:pPr>
            <w:r>
              <w:rPr>
                <w:b/>
              </w:rPr>
              <w:t xml:space="preserve">0.6532</w:t>
            </w:r>
          </w:p>
        </w:tc>
        <w:tc>
          <w:tcPr>
            <w:vAlign w:val="center"/>
          </w:tcPr>
          <w:p>
            <w:pPr>
              <w:pStyle w:val="a8"/>
              <w:jc w:val="center"/>
            </w:pPr>
            <w:r>
              <w:t xml:space="preserve">0.5400</w:t>
            </w:r>
          </w:p>
        </w:tc>
      </w:tr>
      <w:tr>
        <w:tc>
          <w:tcPr>
            <w:vMerge w:val="restart"/>
            <w:tcBorders>
              <w:top w:val="single" w:sz="4" w:space="0" w:color="auto"/>
            </w:tcBorders>
            <w:vAlign w:val="center"/>
          </w:tcPr>
          <w:p>
            <w:pPr>
              <w:pStyle w:val="a8"/>
            </w:pPr>
            <w:r>
              <w:rPr>
                <w:rFonts w:ascii="Times New Roman" w:hAnsi="Times New Roman" w:eastAsia="바탕"/>
                <w:sz w:val="22"/>
                <w:szCs w:val="22"/>
              </w:rPr>
              <w:t xml:space="preserve">Hit-Low (30%) ↑</w:t>
            </w:r>
          </w:p>
        </w:tc>
        <w:tc>
          <w:tcPr>
            <w:tcBorders>
              <w:top w:val="single" w:sz="4" w:space="0" w:color="auto"/>
            </w:tcBorders>
            <w:vAlign w:val="center"/>
          </w:tcPr>
          <w:p>
            <w:pPr>
              <w:pStyle w:val="a8"/>
              <w:jc w:val="left"/>
            </w:pPr>
            <w:r>
              <w:t xml:space="preserve">All</w:t>
            </w:r>
          </w:p>
        </w:tc>
        <w:tc>
          <w:tcPr>
            <w:tcBorders>
              <w:top w:val="single" w:sz="4" w:space="0" w:color="auto"/>
            </w:tcBorders>
            <w:vAlign w:val="center"/>
          </w:tcPr>
          <w:p>
            <w:pPr>
              <w:pStyle w:val="a8"/>
              <w:jc w:val="center"/>
            </w:pPr>
            <w:r>
              <w:t xml:space="preserve">0.6126</w:t>
            </w:r>
          </w:p>
        </w:tc>
        <w:tc>
          <w:tcPr>
            <w:tcBorders>
              <w:top w:val="single" w:sz="4" w:space="0" w:color="auto"/>
            </w:tcBorders>
            <w:vAlign w:val="center"/>
          </w:tcPr>
          <w:p>
            <w:pPr>
              <w:pStyle w:val="a8"/>
              <w:jc w:val="center"/>
            </w:pPr>
            <w:r>
              <w:t xml:space="preserve">0.6211</w:t>
            </w:r>
          </w:p>
        </w:tc>
        <w:tc>
          <w:tcPr>
            <w:tcBorders>
              <w:top w:val="single" w:sz="4" w:space="0" w:color="auto"/>
            </w:tcBorders>
            <w:vAlign w:val="center"/>
          </w:tcPr>
          <w:p>
            <w:pPr>
              <w:pStyle w:val="a8"/>
              <w:jc w:val="center"/>
            </w:pPr>
            <w:r>
              <w:rPr>
                <w:b/>
              </w:rPr>
              <w:t xml:space="preserve">0.6300</w:t>
            </w:r>
          </w:p>
        </w:tc>
        <w:tc>
          <w:tcPr>
            <w:tcBorders>
              <w:top w:val="single" w:sz="4" w:space="0" w:color="auto"/>
            </w:tcBorders>
            <w:vAlign w:val="center"/>
          </w:tcPr>
          <w:p>
            <w:pPr>
              <w:pStyle w:val="a8"/>
              <w:jc w:val="center"/>
            </w:pPr>
            <w:r>
              <w:t xml:space="preserve">0.6025</w:t>
            </w:r>
          </w:p>
        </w:tc>
      </w:tr>
      <w:tr>
        <w:tc>
          <w:tcPr>
            <w:vMerge/>
            <w:vAlign w:val="center"/>
          </w:tcPr>
          <w:p/>
        </w:tc>
        <w:tc>
          <w:tcPr>
            <w:vAlign w:val="center"/>
          </w:tcPr>
          <w:p>
            <w:pPr>
              <w:pStyle w:val="a8"/>
              <w:jc w:val="left"/>
            </w:pPr>
            <w:r>
              <w:t xml:space="preserve">R1 (회복)</w:t>
            </w:r>
          </w:p>
        </w:tc>
        <w:tc>
          <w:tcPr>
            <w:vAlign w:val="center"/>
          </w:tcPr>
          <w:p>
            <w:pPr>
              <w:pStyle w:val="a8"/>
              <w:jc w:val="center"/>
            </w:pPr>
            <w:r>
              <w:t xml:space="preserve">0.7086</w:t>
            </w:r>
          </w:p>
        </w:tc>
        <w:tc>
          <w:tcPr>
            <w:vAlign w:val="center"/>
          </w:tcPr>
          <w:p>
            <w:pPr>
              <w:pStyle w:val="a8"/>
              <w:jc w:val="center"/>
            </w:pPr>
            <w:r>
              <w:t xml:space="preserve">0.7004</w:t>
            </w:r>
          </w:p>
        </w:tc>
        <w:tc>
          <w:tcPr>
            <w:vAlign w:val="center"/>
          </w:tcPr>
          <w:p>
            <w:pPr>
              <w:pStyle w:val="a8"/>
              <w:jc w:val="center"/>
            </w:pPr>
            <w:r>
              <w:rPr>
                <w:b/>
              </w:rPr>
              <w:t xml:space="preserve">0.7174</w:t>
            </w:r>
          </w:p>
        </w:tc>
        <w:tc>
          <w:tcPr>
            <w:vAlign w:val="center"/>
          </w:tcPr>
          <w:p>
            <w:pPr>
              <w:pStyle w:val="a8"/>
              <w:jc w:val="center"/>
            </w:pPr>
            <w:r>
              <w:t xml:space="preserve">0.6938</w:t>
            </w:r>
          </w:p>
        </w:tc>
      </w:tr>
      <w:tr>
        <w:tc>
          <w:tcPr>
            <w:vMerge/>
            <w:vAlign w:val="center"/>
          </w:tcPr>
          <w:p/>
        </w:tc>
        <w:tc>
          <w:tcPr>
            <w:vAlign w:val="center"/>
          </w:tcPr>
          <w:p>
            <w:pPr>
              <w:pStyle w:val="a8"/>
              <w:jc w:val="left"/>
            </w:pPr>
            <w:r>
              <w:t xml:space="preserve">R2 (확장)</w:t>
            </w:r>
          </w:p>
        </w:tc>
        <w:tc>
          <w:tcPr>
            <w:vAlign w:val="center"/>
          </w:tcPr>
          <w:p>
            <w:pPr>
              <w:pStyle w:val="a8"/>
              <w:jc w:val="center"/>
            </w:pPr>
            <w:r>
              <w:t xml:space="preserve">0.5935</w:t>
            </w:r>
          </w:p>
        </w:tc>
        <w:tc>
          <w:tcPr>
            <w:vAlign w:val="center"/>
          </w:tcPr>
          <w:p>
            <w:pPr>
              <w:pStyle w:val="a8"/>
              <w:jc w:val="center"/>
            </w:pPr>
            <w:r>
              <w:t xml:space="preserve">0.6029</w:t>
            </w:r>
          </w:p>
        </w:tc>
        <w:tc>
          <w:tcPr>
            <w:vAlign w:val="center"/>
          </w:tcPr>
          <w:p>
            <w:pPr>
              <w:pStyle w:val="a8"/>
              <w:jc w:val="center"/>
            </w:pPr>
            <w:r>
              <w:rPr>
                <w:b/>
              </w:rPr>
              <w:t xml:space="preserve">0.6082</w:t>
            </w:r>
          </w:p>
        </w:tc>
        <w:tc>
          <w:tcPr>
            <w:vAlign w:val="center"/>
          </w:tcPr>
          <w:p>
            <w:pPr>
              <w:pStyle w:val="a8"/>
              <w:jc w:val="center"/>
            </w:pPr>
            <w:r>
              <w:t xml:space="preserve">0.5827</w:t>
            </w:r>
          </w:p>
        </w:tc>
      </w:tr>
      <w:tr>
        <w:tc>
          <w:tcPr>
            <w:vMerge/>
            <w:vAlign w:val="center"/>
          </w:tcPr>
          <w:p/>
        </w:tc>
        <w:tc>
          <w:tcPr>
            <w:vAlign w:val="center"/>
          </w:tcPr>
          <w:p>
            <w:pPr>
              <w:pStyle w:val="a8"/>
              <w:jc w:val="left"/>
            </w:pPr>
            <w:r>
              <w:t xml:space="preserve">R3 (위기)</w:t>
            </w:r>
          </w:p>
        </w:tc>
        <w:tc>
          <w:tcPr>
            <w:vAlign w:val="center"/>
          </w:tcPr>
          <w:p>
            <w:pPr>
              <w:pStyle w:val="a8"/>
              <w:jc w:val="center"/>
            </w:pPr>
            <w:r>
              <w:t xml:space="preserve">0.5919</w:t>
            </w:r>
          </w:p>
        </w:tc>
        <w:tc>
          <w:tcPr>
            <w:vAlign w:val="center"/>
          </w:tcPr>
          <w:p>
            <w:pPr>
              <w:pStyle w:val="a8"/>
              <w:jc w:val="center"/>
            </w:pPr>
            <w:r>
              <w:t xml:space="preserve">0.6163</w:t>
            </w:r>
          </w:p>
        </w:tc>
        <w:tc>
          <w:tcPr>
            <w:vAlign w:val="center"/>
          </w:tcPr>
          <w:p>
            <w:pPr>
              <w:pStyle w:val="a8"/>
              <w:jc w:val="center"/>
            </w:pPr>
            <w:r>
              <w:rPr>
                <w:b/>
              </w:rPr>
              <w:t xml:space="preserve">0.6245</w:t>
            </w:r>
          </w:p>
        </w:tc>
        <w:tc>
          <w:tcPr>
            <w:vAlign w:val="center"/>
          </w:tcPr>
          <w:p>
            <w:pPr>
              <w:pStyle w:val="a8"/>
              <w:jc w:val="center"/>
            </w:pPr>
            <w:r>
              <w:t xml:space="preserve">0.5842</w:t>
            </w:r>
          </w:p>
        </w:tc>
      </w:tr>
      <w:tr>
        <w:tc>
          <w:tcPr>
            <w:vMerge/>
            <w:vAlign w:val="center"/>
          </w:tcPr>
          <w:p/>
        </w:tc>
        <w:tc>
          <w:tcPr>
            <w:vAlign w:val="center"/>
          </w:tcPr>
          <w:p>
            <w:pPr>
              <w:pStyle w:val="a8"/>
              <w:jc w:val="left"/>
            </w:pPr>
            <w:r>
              <w:t xml:space="preserve">R4 (정상화)</w:t>
            </w:r>
          </w:p>
        </w:tc>
        <w:tc>
          <w:tcPr>
            <w:vAlign w:val="center"/>
          </w:tcPr>
          <w:p>
            <w:pPr>
              <w:pStyle w:val="a8"/>
              <w:jc w:val="center"/>
            </w:pPr>
            <w:r>
              <w:t xml:space="preserve">0.6028</w:t>
            </w:r>
          </w:p>
        </w:tc>
        <w:tc>
          <w:tcPr>
            <w:vAlign w:val="center"/>
          </w:tcPr>
          <w:p>
            <w:pPr>
              <w:pStyle w:val="a8"/>
              <w:jc w:val="center"/>
            </w:pPr>
            <w:r>
              <w:t xml:space="preserve">0.6031</w:t>
            </w:r>
          </w:p>
        </w:tc>
        <w:tc>
          <w:tcPr>
            <w:vAlign w:val="center"/>
          </w:tcPr>
          <w:p>
            <w:pPr>
              <w:pStyle w:val="a8"/>
              <w:jc w:val="center"/>
            </w:pPr>
            <w:r>
              <w:rPr>
                <w:b/>
              </w:rPr>
              <w:t xml:space="preserve">0.6157</w:t>
            </w:r>
          </w:p>
        </w:tc>
        <w:tc>
          <w:tcPr>
            <w:vAlign w:val="center"/>
          </w:tcPr>
          <w:p>
            <w:pPr>
              <w:pStyle w:val="a8"/>
              <w:jc w:val="center"/>
            </w:pPr>
            <w:r>
              <w:t xml:space="preserve">0.5962</w:t>
            </w:r>
          </w:p>
        </w:tc>
      </w:tr>
      <w:tr>
        <w:tc>
          <w:tcPr>
            <w:vMerge w:val="restart"/>
            <w:tcBorders>
              <w:top w:val="single" w:sz="4" w:space="0" w:color="auto"/>
            </w:tcBorders>
            <w:vAlign w:val="center"/>
          </w:tcPr>
          <w:p>
            <w:pPr>
              <w:pStyle w:val="a8"/>
            </w:pPr>
            <w:r>
              <w:rPr>
                <w:rFonts w:ascii="Times New Roman" w:hAnsi="Times New Roman" w:eastAsia="바탕"/>
                <w:sz w:val="22"/>
                <w:szCs w:val="22"/>
              </w:rPr>
              <w:t xml:space="preserve">Hit-High (30%) ↑</w:t>
            </w:r>
          </w:p>
        </w:tc>
        <w:tc>
          <w:tcPr>
            <w:tcBorders>
              <w:top w:val="single" w:sz="4" w:space="0" w:color="auto"/>
            </w:tcBorders>
            <w:vAlign w:val="center"/>
          </w:tcPr>
          <w:p>
            <w:pPr>
              <w:pStyle w:val="a8"/>
              <w:jc w:val="left"/>
            </w:pPr>
            <w:r>
              <w:t xml:space="preserve">All</w:t>
            </w:r>
          </w:p>
        </w:tc>
        <w:tc>
          <w:tcPr>
            <w:tcBorders>
              <w:top w:val="single" w:sz="4" w:space="0" w:color="auto"/>
            </w:tcBorders>
            <w:vAlign w:val="center"/>
          </w:tcPr>
          <w:p>
            <w:pPr>
              <w:pStyle w:val="a8"/>
              <w:jc w:val="center"/>
            </w:pPr>
            <w:r>
              <w:t xml:space="preserve">0.6378</w:t>
            </w:r>
          </w:p>
        </w:tc>
        <w:tc>
          <w:tcPr>
            <w:tcBorders>
              <w:top w:val="single" w:sz="4" w:space="0" w:color="auto"/>
            </w:tcBorders>
            <w:vAlign w:val="center"/>
          </w:tcPr>
          <w:p>
            <w:pPr>
              <w:pStyle w:val="a8"/>
              <w:jc w:val="center"/>
            </w:pPr>
            <w:r>
              <w:t xml:space="preserve">0.6589</w:t>
            </w:r>
          </w:p>
        </w:tc>
        <w:tc>
          <w:tcPr>
            <w:tcBorders>
              <w:top w:val="single" w:sz="4" w:space="0" w:color="auto"/>
            </w:tcBorders>
            <w:vAlign w:val="center"/>
          </w:tcPr>
          <w:p>
            <w:pPr>
              <w:pStyle w:val="a8"/>
              <w:jc w:val="center"/>
            </w:pPr>
            <w:r>
              <w:rPr>
                <w:b/>
              </w:rPr>
              <w:t xml:space="preserve">0.6621</w:t>
            </w:r>
          </w:p>
        </w:tc>
        <w:tc>
          <w:tcPr>
            <w:tcBorders>
              <w:top w:val="single" w:sz="4" w:space="0" w:color="auto"/>
            </w:tcBorders>
            <w:vAlign w:val="center"/>
          </w:tcPr>
          <w:p>
            <w:pPr>
              <w:pStyle w:val="a8"/>
              <w:jc w:val="center"/>
            </w:pPr>
            <w:r>
              <w:t xml:space="preserve">0.6403</w:t>
            </w:r>
          </w:p>
        </w:tc>
      </w:tr>
      <w:tr>
        <w:tc>
          <w:tcPr>
            <w:vMerge/>
            <w:vAlign w:val="center"/>
          </w:tcPr>
          <w:p/>
        </w:tc>
        <w:tc>
          <w:tcPr>
            <w:vAlign w:val="center"/>
          </w:tcPr>
          <w:p>
            <w:pPr>
              <w:pStyle w:val="a8"/>
              <w:jc w:val="left"/>
            </w:pPr>
            <w:r>
              <w:t xml:space="preserve">R1 (회복)</w:t>
            </w:r>
          </w:p>
        </w:tc>
        <w:tc>
          <w:tcPr>
            <w:vAlign w:val="center"/>
          </w:tcPr>
          <w:p>
            <w:pPr>
              <w:pStyle w:val="a8"/>
              <w:jc w:val="center"/>
            </w:pPr>
            <w:r>
              <w:t xml:space="preserve">0.6791</w:t>
            </w:r>
          </w:p>
        </w:tc>
        <w:tc>
          <w:tcPr>
            <w:vAlign w:val="center"/>
          </w:tcPr>
          <w:p>
            <w:pPr>
              <w:pStyle w:val="a8"/>
              <w:jc w:val="center"/>
            </w:pPr>
            <w:r>
              <w:t xml:space="preserve">0.6878</w:t>
            </w:r>
          </w:p>
        </w:tc>
        <w:tc>
          <w:tcPr>
            <w:vAlign w:val="center"/>
          </w:tcPr>
          <w:p>
            <w:pPr>
              <w:pStyle w:val="a8"/>
              <w:jc w:val="center"/>
            </w:pPr>
            <w:r>
              <w:rPr>
                <w:b/>
              </w:rPr>
              <w:t xml:space="preserve">0.6950</w:t>
            </w:r>
          </w:p>
        </w:tc>
        <w:tc>
          <w:tcPr>
            <w:vAlign w:val="center"/>
          </w:tcPr>
          <w:p>
            <w:pPr>
              <w:pStyle w:val="a8"/>
              <w:jc w:val="center"/>
            </w:pPr>
            <w:r>
              <w:t xml:space="preserve">0.6675</w:t>
            </w:r>
          </w:p>
        </w:tc>
      </w:tr>
      <w:tr>
        <w:tc>
          <w:tcPr>
            <w:vMerge/>
            <w:vAlign w:val="center"/>
          </w:tcPr>
          <w:p/>
        </w:tc>
        <w:tc>
          <w:tcPr>
            <w:vAlign w:val="center"/>
          </w:tcPr>
          <w:p>
            <w:pPr>
              <w:pStyle w:val="a8"/>
              <w:jc w:val="left"/>
            </w:pPr>
            <w:r>
              <w:t xml:space="preserve">R2 (확장)</w:t>
            </w:r>
          </w:p>
        </w:tc>
        <w:tc>
          <w:tcPr>
            <w:vAlign w:val="center"/>
          </w:tcPr>
          <w:p>
            <w:pPr>
              <w:pStyle w:val="a8"/>
              <w:jc w:val="center"/>
            </w:pPr>
            <w:r>
              <w:t xml:space="preserve">0.6163</w:t>
            </w:r>
          </w:p>
        </w:tc>
        <w:tc>
          <w:tcPr>
            <w:vAlign w:val="center"/>
          </w:tcPr>
          <w:p>
            <w:pPr>
              <w:pStyle w:val="a8"/>
              <w:jc w:val="center"/>
            </w:pPr>
            <w:r>
              <w:t xml:space="preserve">0.6361</w:t>
            </w:r>
          </w:p>
        </w:tc>
        <w:tc>
          <w:tcPr>
            <w:vAlign w:val="center"/>
          </w:tcPr>
          <w:p>
            <w:pPr>
              <w:pStyle w:val="a8"/>
              <w:jc w:val="center"/>
            </w:pPr>
            <w:r>
              <w:rPr>
                <w:b/>
              </w:rPr>
              <w:t xml:space="preserve">0.6383</w:t>
            </w:r>
          </w:p>
        </w:tc>
        <w:tc>
          <w:tcPr>
            <w:vAlign w:val="center"/>
          </w:tcPr>
          <w:p>
            <w:pPr>
              <w:pStyle w:val="a8"/>
              <w:jc w:val="center"/>
            </w:pPr>
            <w:r>
              <w:t xml:space="preserve">0.6256</w:t>
            </w:r>
          </w:p>
        </w:tc>
      </w:tr>
      <w:tr>
        <w:tc>
          <w:tcPr>
            <w:vMerge/>
            <w:vAlign w:val="center"/>
          </w:tcPr>
          <w:p/>
        </w:tc>
        <w:tc>
          <w:tcPr>
            <w:vAlign w:val="center"/>
          </w:tcPr>
          <w:p>
            <w:pPr>
              <w:pStyle w:val="a8"/>
              <w:jc w:val="left"/>
            </w:pPr>
            <w:r>
              <w:t xml:space="preserve">R3 (위기)</w:t>
            </w:r>
          </w:p>
        </w:tc>
        <w:tc>
          <w:tcPr>
            <w:vAlign w:val="center"/>
          </w:tcPr>
          <w:p>
            <w:pPr>
              <w:pStyle w:val="a8"/>
              <w:jc w:val="center"/>
            </w:pPr>
            <w:r>
              <w:t xml:space="preserve">0.6548</w:t>
            </w:r>
          </w:p>
        </w:tc>
        <w:tc>
          <w:tcPr>
            <w:vAlign w:val="center"/>
          </w:tcPr>
          <w:p>
            <w:pPr>
              <w:pStyle w:val="a8"/>
              <w:jc w:val="center"/>
            </w:pPr>
            <w:r>
              <w:t xml:space="preserve">0.6911</w:t>
            </w:r>
          </w:p>
        </w:tc>
        <w:tc>
          <w:tcPr>
            <w:vAlign w:val="center"/>
          </w:tcPr>
          <w:p>
            <w:pPr>
              <w:pStyle w:val="a8"/>
              <w:jc w:val="center"/>
            </w:pPr>
            <w:r>
              <w:rPr>
                <w:b/>
              </w:rPr>
              <w:t xml:space="preserve">0.6913</w:t>
            </w:r>
          </w:p>
        </w:tc>
        <w:tc>
          <w:tcPr>
            <w:vAlign w:val="center"/>
          </w:tcPr>
          <w:p>
            <w:pPr>
              <w:pStyle w:val="a8"/>
              <w:jc w:val="center"/>
            </w:pPr>
            <w:r>
              <w:t xml:space="preserve">0.6549</w:t>
            </w:r>
          </w:p>
        </w:tc>
      </w:tr>
      <w:tr>
        <w:tc>
          <w:tcPr>
            <w:vMerge/>
            <w:tcBorders>
              <w:bottom w:val="single" w:sz="12" w:space="0" w:color="auto"/>
            </w:tcBorders>
            <w:vAlign w:val="center"/>
          </w:tcPr>
          <w:p/>
        </w:tc>
        <w:tc>
          <w:tcPr>
            <w:tcBorders>
              <w:bottom w:val="single" w:sz="12" w:space="0" w:color="auto"/>
            </w:tcBorders>
            <w:vAlign w:val="center"/>
          </w:tcPr>
          <w:p>
            <w:pPr>
              <w:pStyle w:val="a8"/>
              <w:jc w:val="left"/>
            </w:pPr>
            <w:r>
              <w:t xml:space="preserve">R4 (정상화)</w:t>
            </w:r>
          </w:p>
        </w:tc>
        <w:tc>
          <w:tcPr>
            <w:tcBorders>
              <w:bottom w:val="single" w:sz="12" w:space="0" w:color="auto"/>
            </w:tcBorders>
            <w:vAlign w:val="center"/>
          </w:tcPr>
          <w:p>
            <w:pPr>
              <w:pStyle w:val="a8"/>
              <w:jc w:val="center"/>
            </w:pPr>
            <w:r>
              <w:t xml:space="preserve">0.6373</w:t>
            </w:r>
          </w:p>
        </w:tc>
        <w:tc>
          <w:tcPr>
            <w:tcBorders>
              <w:bottom w:val="single" w:sz="12" w:space="0" w:color="auto"/>
            </w:tcBorders>
            <w:vAlign w:val="center"/>
          </w:tcPr>
          <w:p>
            <w:pPr>
              <w:pStyle w:val="a8"/>
              <w:jc w:val="center"/>
            </w:pPr>
            <w:r>
              <w:t xml:space="preserve">0.6531</w:t>
            </w:r>
          </w:p>
        </w:tc>
        <w:tc>
          <w:tcPr>
            <w:tcBorders>
              <w:bottom w:val="single" w:sz="12" w:space="0" w:color="auto"/>
            </w:tcBorders>
            <w:vAlign w:val="center"/>
          </w:tcPr>
          <w:p>
            <w:pPr>
              <w:pStyle w:val="a8"/>
              <w:jc w:val="center"/>
            </w:pPr>
            <w:r>
              <w:rPr>
                <w:b/>
              </w:rPr>
              <w:t xml:space="preserve">0.6599</w:t>
            </w:r>
          </w:p>
        </w:tc>
        <w:tc>
          <w:tcPr>
            <w:tcBorders>
              <w:bottom w:val="single" w:sz="12" w:space="0" w:color="auto"/>
            </w:tcBorders>
            <w:vAlign w:val="center"/>
          </w:tcPr>
          <w:p>
            <w:pPr>
              <w:pStyle w:val="a8"/>
              <w:jc w:val="center"/>
            </w:pPr>
            <w:r>
              <w:t xml:space="preserve">0.6366</w:t>
            </w:r>
          </w:p>
        </w:tc>
      </w:tr>
    </w:tbl>
    <w:bookmarkEnd w:id="58"/>
    <w:p>
      <w:pPr>
        <w:pStyle w:val="2"/>
      </w:pPr>
      <w:bookmarkStart w:id="59" w:name="subsec:baseline_slot"/>
      <w:r>
        <w:t xml:space="preserve">기준 슬롯과 1차원 변형</w:t>
      </w:r>
      <w:bookmarkEnd w:id="59"/>
    </w:p>
    <w:p>
      <w:pPr/>
      <w:r>
        <w:t xml:space="preserve">본 절 이후 슬롯 조합은</w:t>
      </w:r>
      <w:r>
        <w:t xml:space="preserve"> </w:t>
      </w:r>
      <w:r>
        <w:rPr>
          <w:rStyle w:val="VerbatimChar"/>
        </w:rPr>
        <w:t xml:space="preserve">&lt;prior&gt;_&lt;p&gt;_&lt;q&gt;_&lt;omega&gt;</w:t>
      </w:r>
      <w:r>
        <w:t xml:space="preserve"> </w:t>
      </w:r>
      <w:r>
        <w:t xml:space="preserve">순서의 토큰 결합으로 표기하며 (예:</w:t>
      </w:r>
      <w:r>
        <w:t xml:space="preserve"> </w:t>
      </w:r>
      <w:r>
        <w:rPr>
          <w:rStyle w:val="VerbatimChar"/>
        </w:rPr>
        <w:t xml:space="preserve">mcap_mcap_ff3_err</w:t>
      </w:r>
      <w:r>
        <w:t xml:space="preserve"> </w:t>
      </w:r>
      <m:oMath>
        <m:r>
          <m:t>=</m:t>
        </m:r>
        <m:r>
          <m:t>(</m:t>
        </m:r>
        <m:sSup>
          <m:e>
            <m:r>
              <m:rPr>
                <m:sty m:val="b"/>
              </m:rPr>
              <m:t>w</m:t>
            </m:r>
          </m:e>
          <m:sup>
            <m:r>
              <m:rPr>
                <m:sty m:val="p"/>
              </m:rPr>
              <m:t>m</m:t>
            </m:r>
            <m:r>
              <m:rPr>
                <m:sty m:val="p"/>
              </m:rPr>
              <m:t>c</m:t>
            </m:r>
            <m:r>
              <m:rPr>
                <m:sty m:val="p"/>
              </m:rPr>
              <m:t>a</m:t>
            </m:r>
            <m:r>
              <m:rPr>
                <m:sty m:val="p"/>
              </m:rPr>
              <m:t>p</m:t>
            </m:r>
          </m:sup>
        </m:sSup>
        <m:r>
          <m:t>,</m:t>
        </m:r>
        <m:sSup>
          <m:e>
            <m:r>
              <m:rPr>
                <m:sty m:val="b"/>
              </m:rPr>
              <m:t>p</m:t>
            </m:r>
          </m:e>
          <m:sup>
            <m:r>
              <m:rPr>
                <m:sty m:val="p"/>
              </m:rPr>
              <m:t>m</m:t>
            </m:r>
            <m:r>
              <m:rPr>
                <m:sty m:val="p"/>
              </m:rPr>
              <m:t>c</m:t>
            </m:r>
            <m:r>
              <m:rPr>
                <m:sty m:val="p"/>
              </m:rPr>
              <m:t>a</m:t>
            </m:r>
            <m:r>
              <m:rPr>
                <m:sty m:val="p"/>
              </m:rPr>
              <m:t>p</m:t>
            </m:r>
          </m:sup>
        </m:sSup>
        <m:r>
          <m:t>,</m:t>
        </m:r>
        <m:sSup>
          <m:e>
            <m:r>
              <m:t>q</m:t>
            </m:r>
          </m:e>
          <m:sup>
            <m:r>
              <m:rPr>
                <m:sty m:val="p"/>
              </m:rPr>
              <m:t>f</m:t>
            </m:r>
            <m:r>
              <m:rPr>
                <m:sty m:val="p"/>
              </m:rPr>
              <m:t>f</m:t>
            </m:r>
            <m:r>
              <m:rPr>
                <m:sty m:val="p"/>
              </m:rPr>
              <m:t>3</m:t>
            </m:r>
          </m:sup>
        </m:sSup>
        <m:r>
          <m:t>,</m:t>
        </m:r>
        <m:sSup>
          <m:e>
            <m:r>
              <m:t>ω</m:t>
            </m:r>
          </m:e>
          <m:sup>
            <m:r>
              <m:rPr>
                <m:sty m:val="p"/>
              </m:rPr>
              <m:t>e</m:t>
            </m:r>
            <m:r>
              <m:rPr>
                <m:sty m:val="p"/>
              </m:rPr>
              <m:t>r</m:t>
            </m:r>
            <m:r>
              <m:rPr>
                <m:sty m:val="p"/>
              </m:rPr>
              <m:t>r</m:t>
            </m:r>
          </m:sup>
        </m:sSup>
        <m:r>
          <m:t>)</m:t>
        </m:r>
      </m:oMath>
      <w:r>
        <w:t xml:space="preserve">), 이는 Pyo and Lee (2018)의 기준 모형 설정에 해당한다. 본 절에서는 해당 기준 슬롯 조합을 출발점으로 설정하고, 네 차원의 입력 변수를 순차적으로 변경하며 앙상블 모형과 ANN 모형 간의 샤프 비율 차이를 비교</w:t>
      </w:r>
      <m:oMath>
        <m:r>
          <m:t>⋅</m:t>
        </m:r>
      </m:oMath>
      <w:r>
        <w:t xml:space="preserve">분석한다. 각 SET의 첫 행(</w:t>
      </w:r>
      <m:oMath>
        <m:r>
          <m:t>⋆</m:t>
        </m:r>
      </m:oMath>
      <w:r>
        <w:t xml:space="preserve"> </w:t>
      </w:r>
      <w:r>
        <w:t xml:space="preserve">표시)은 기준 슬롯 조합을 의미하며, 해당 SET 내 변수 변경에 따른 성과 비교를 위해 반복하여 표기하였다.</w:t>
      </w:r>
    </w:p>
    <w:p>
      <w:pPr>
        <w:keepNext/>
        <w:jc w:val="center"/>
        <w:spacing w:after="40"/>
      </w:pPr>
      <w:r>
        <w:rPr>
          <w:rFonts w:ascii="Times New Roman" w:hAnsi="Times New Roman" w:eastAsia="바탕"/>
          <w:sz w:val="20"/>
          <w:szCs w:val="20"/>
        </w:rPr>
        <w:t xml:space="preserve">&lt;표 3&gt; Pyo and Lee (2018)의 기준 슬롯(mcap_mcap_ff3_err, ★)에서 한 차원씩 변경한 슬롯의 샤프 비율. 앙상블(E), ANN(A), 차이 Δ = E - A. 녹색은 앙상블 우위, 빨강은 ANN 우위.</w:t>
      </w:r>
    </w:p>
    <w:tbl>
      <w:tblPr>
        <w:tblW w:w="9298" w:type="dxa"/>
        <w:jc w:val="center"/>
        <w:tblBorders>
          <w:top w:val="none" w:sz="0" w:space="0"/>
          <w:left w:val="none" w:sz="0" w:space="0"/>
          <w:bottom w:val="none" w:sz="0" w:space="0"/>
          <w:right w:val="none" w:sz="0" w:space="0"/>
          <w:insideH w:val="none" w:sz="0" w:space="0"/>
          <w:insideV w:val="none" w:sz="0" w:space="0"/>
        </w:tblBorders>
        <w:tblLayout w:type="fixed"/>
        <w:tblLook w:val="04A0" w:firstRow="1" w:lastRow="0" w:firstColumn="0" w:lastColumn="0" w:noHBand="0" w:noVBand="1"/>
      </w:tblPr>
      <w:tblGrid>
        <w:gridCol w:w="546"/>
        <w:gridCol w:w="546"/>
        <w:gridCol w:w="546"/>
        <w:gridCol w:w="546"/>
        <w:gridCol w:w="546"/>
        <w:gridCol w:w="546"/>
        <w:gridCol w:w="546"/>
        <w:gridCol w:w="546"/>
        <w:gridCol w:w="546"/>
        <w:gridCol w:w="546"/>
        <w:gridCol w:w="546"/>
        <w:gridCol w:w="546"/>
        <w:gridCol w:w="546"/>
        <w:gridCol w:w="546"/>
        <w:gridCol w:w="546"/>
        <w:gridCol w:w="546"/>
        <w:gridCol w:w="562"/>
      </w:tblGrid>
      <w:tr>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All</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R1</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R2</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R3</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R4</w:t>
            </w:r>
          </w:p>
        </w:tc>
      </w:tr>
      <w:tr>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차원</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슬롯</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r>
      <w:tr>
        <w:tc>
          <w:tcPr>
            <w:vMerge w:val="restart"/>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SET 1 (q)</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0.643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0.720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r>
              <w:rPr>
                <w:rFonts w:ascii="Times New Roman" w:hAnsi="Times New Roman" w:eastAsia="바탕"/>
                <w:sz w:val="13"/>
                <w:szCs w:val="13"/>
              </w:rPr>
              <w:t xml:space="preserve"> ★</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+0.228</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SET 2 (p)</w:t>
            </w:r>
          </w:p>
        </w:tc>
        <w:tc>
          <w:tcPr>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mcap</w:t>
            </w:r>
            <w:r>
              <w:rPr>
                <w:rFonts w:ascii="Times New Roman" w:hAnsi="Times New Roman" w:eastAsia="바탕"/>
                <w:sz w:val="13"/>
                <w:szCs w:val="13"/>
              </w:rPr>
              <w:t xml:space="preserve"> ★</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-0.321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0.850</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eq</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rp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+0.202</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SET 3 (</w:t>
            </w:r>
            <w:r>
              <w:rPr>
                <w:b/>
                <w:rFonts w:ascii="Times New Roman" w:hAnsi="Times New Roman" w:eastAsia="바탕"/>
                <w:sz w:val="13"/>
                <w:szCs w:val="13"/>
              </w:rPr>
              <w:t xml:space="preserve">w</w:t>
            </w:r>
            <w:r>
              <w:rPr>
                <w:rFonts w:ascii="Times New Roman" w:hAnsi="Times New Roman" w:eastAsia="바탕"/>
                <w:sz w:val="13"/>
                <w:szCs w:val="13"/>
                <w:vertAlign w:val="subscript"/>
              </w:rPr>
              <w:t xml:space="preserve">mkt</w:t>
            </w:r>
            <w:r>
              <w:rPr>
                <w:rFonts w:ascii="Times New Roman" w:hAnsi="Times New Roman" w:eastAsia="바탕"/>
                <w:sz w:val="13"/>
                <w:szCs w:val="13"/>
              </w:rPr>
              <w:t xml:space="preserve">)</w:t>
            </w:r>
          </w:p>
        </w:tc>
        <w:tc>
          <w:tcPr>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r>
              <w:rPr>
                <w:rFonts w:ascii="Times New Roman" w:hAnsi="Times New Roman" w:eastAsia="바탕"/>
                <w:sz w:val="13"/>
                <w:szCs w:val="13"/>
              </w:rPr>
              <w:t xml:space="preserve"> ★</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-0.321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0.850</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+0.257</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SET 4 (ω)</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ω</w:t>
            </w:r>
            <w:r>
              <w:rPr>
                <w:rFonts w:ascii="Times New Roman" w:hAnsi="Times New Roman" w:eastAsia="바탕"/>
                <w:sz w:val="13"/>
                <w:szCs w:val="13"/>
                <w:vertAlign w:val="superscript"/>
              </w:rPr>
              <w:t xml:space="preserve">err</w:t>
            </w:r>
            <w:r>
              <w:rPr>
                <w:rFonts w:ascii="Times New Roman" w:hAnsi="Times New Roman" w:eastAsia="바탕"/>
                <w:sz w:val="13"/>
                <w:szCs w:val="13"/>
              </w:rPr>
              <w:t xml:space="preserve"> ★</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-0.321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0.850</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+0.228</w:t>
            </w:r>
          </w:p>
        </w:tc>
      </w:tr>
      <w:tr>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ω</w:t>
            </w:r>
            <w:r>
              <w:rPr>
                <w:rFonts w:ascii="Times New Roman" w:hAnsi="Times New Roman" w:eastAsia="바탕"/>
                <w:sz w:val="13"/>
                <w:szCs w:val="13"/>
                <w:vertAlign w:val="superscript"/>
              </w:rPr>
              <w:t xml:space="preserve">he</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0.871</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-0.041</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0.882</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1.133</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-0.251</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1.178</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1.043</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+0.135</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0.680</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0.599</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0.637</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r>
    </w:tbl>
    <w:p>
      <w:pPr/>
      <w:r>
        <w:t xml:space="preserve">전체 분석 기간의 결과를 보면, 앙상블 모형은 다수 슬롯 조합에서 ANN 대비 우위를 점하고 있으나, 정작 기준 슬롯 자체에서의 샤프 비율 격차는</w:t>
      </w:r>
      <w:r>
        <w:t xml:space="preserve"> </w:t>
      </w:r>
      <m:oMath>
        <m:r>
          <m:t>Δ</m:t>
        </m:r>
        <m:r>
          <m:t>=</m:t>
        </m:r>
        <m:r>
          <m:t>+</m:t>
        </m:r>
        <m:r>
          <m:t>0.000</m:t>
        </m:r>
      </m:oMath>
      <w:r>
        <w:t xml:space="preserve"> </w:t>
      </w:r>
      <w:r>
        <w:t xml:space="preserve">으로 미미하다. 이러한 결과는 앞선 변동성 예측 모형 자체의 우위가 실제 포트폴리오 성과로 직결되기 위해서는 BL을 구성하는 슬롯 차원의 설계가 함께 동반되어야 함을 시사한다. 이에 아래에서는 4개 차원별 변형에 따른 모형 간 성과 차이의 패턴을 분리하여 상세히 분석한다.</w:t>
      </w:r>
    </w:p>
    <w:p>
      <w:pPr/>
      <w:r>
        <w:t xml:space="preserve">먼저 표 3의</w:t>
      </w:r>
      <w:r>
        <w:t xml:space="preserve"> </w:t>
      </w:r>
      <m:oMath>
        <m:r>
          <m:t>q</m:t>
        </m:r>
      </m:oMath>
      <w:r>
        <w:t xml:space="preserve"> </w:t>
      </w:r>
      <w:r>
        <w:t xml:space="preserve">변형 결과를 보면, 기준 슬롯의</w:t>
      </w:r>
      <w:r>
        <w:t xml:space="preserve"> </w:t>
      </w:r>
      <m:oMath>
        <m:sSup>
          <m:e>
            <m:r>
              <m:t>q</m:t>
            </m:r>
          </m:e>
          <m:sup>
            <m:r>
              <m:rPr>
                <m:sty m:val="p"/>
              </m:rPr>
              <m:t>f</m:t>
            </m:r>
            <m:r>
              <m:rPr>
                <m:sty m:val="p"/>
              </m:rPr>
              <m:t>f</m:t>
            </m:r>
            <m:r>
              <m:rPr>
                <m:sty m:val="p"/>
              </m:rPr>
              <m:t>3</m:t>
            </m:r>
          </m:sup>
        </m:sSup>
      </m:oMath>
      <w:r>
        <w:t xml:space="preserve">는 FF3 회귀 기반으로 산출되어 부호 제약이 없는 반면, 본 연구가 추가한 네 가지 슬롯(</w:t>
      </w:r>
      <m:oMath>
        <m:sSup>
          <m:e>
            <m:r>
              <m:t>q</m:t>
            </m:r>
          </m:e>
          <m:sup>
            <m:r>
              <m:rPr>
                <m:sty m:val="p"/>
              </m:rPr>
              <m:t>l</m:t>
            </m:r>
            <m:r>
              <m:rPr>
                <m:sty m:val="p"/>
              </m:rPr>
              <m:t>a</m:t>
            </m:r>
            <m:r>
              <m:rPr>
                <m:sty m:val="p"/>
              </m:rPr>
              <m:t>m</m:t>
            </m:r>
          </m:sup>
        </m:sSup>
        <m:r>
          <m:t>,</m:t>
        </m:r>
        <m:sSup>
          <m:e>
            <m:r>
              <m:t>q</m:t>
            </m:r>
          </m:e>
          <m:sup>
            <m:r>
              <m:rPr>
                <m:sty m:val="p"/>
              </m:rPr>
              <m:t>r</m:t>
            </m:r>
            <m:r>
              <m:rPr>
                <m:sty m:val="p"/>
              </m:rPr>
              <m:t>a</m:t>
            </m:r>
            <m:r>
              <m:rPr>
                <m:sty m:val="p"/>
              </m:rPr>
              <m:t>w</m:t>
            </m:r>
          </m:sup>
        </m:sSup>
        <m:r>
          <m:t>,</m:t>
        </m:r>
        <m:sSup>
          <m:e>
            <m:r>
              <m:t>q</m:t>
            </m:r>
          </m:e>
          <m:sup>
            <m:r>
              <m:rPr>
                <m:sty m:val="p"/>
              </m:rPr>
              <m:t>i</m:t>
            </m:r>
            <m:r>
              <m:rPr>
                <m:sty m:val="p"/>
              </m:rPr>
              <m:t>n</m:t>
            </m:r>
            <m:r>
              <m:rPr>
                <m:sty m:val="p"/>
              </m:rPr>
              <m:t>v</m:t>
            </m:r>
          </m:sup>
        </m:sSup>
        <m:r>
          <m:t>,</m:t>
        </m:r>
        <m:sSup>
          <m:e>
            <m:r>
              <m:t>q</m:t>
            </m:r>
          </m:e>
          <m:sup>
            <m:r>
              <m:rPr>
                <m:sty m:val="p"/>
              </m:rPr>
              <m:t>v</m:t>
            </m:r>
            <m:r>
              <m:rPr>
                <m:sty m:val="p"/>
              </m:rPr>
              <m:t>s</m:t>
            </m:r>
            <m:r>
              <m:rPr>
                <m:sty m:val="p"/>
              </m:rPr>
              <m:t>p</m:t>
            </m:r>
          </m:sup>
        </m:sSup>
      </m:oMath>
      <w:r>
        <w:t xml:space="preserve">)은 구조적으로</w:t>
      </w:r>
      <w:r>
        <w:t xml:space="preserve"> </w:t>
      </w:r>
      <m:oMath>
        <m:r>
          <m:t>q</m:t>
        </m:r>
        <m:r>
          <m:t>≥</m:t>
        </m:r>
        <m:r>
          <m:t>0</m:t>
        </m:r>
      </m:oMath>
      <w:r>
        <w:t xml:space="preserve">이 항상 보장된다. 이처럼 부호 제약이 부여된 슬롯으로 변경할 경우, R3(위기) 구간에서 앙상블 모형의 우위가</w:t>
      </w:r>
      <w:r>
        <w:t xml:space="preserve"> </w:t>
      </w:r>
      <m:oMath>
        <m:r>
          <m:t>Δ</m:t>
        </m:r>
        <m:r>
          <m:t>=</m:t>
        </m:r>
        <m:r>
          <m:t>+</m:t>
        </m:r>
        <m:r>
          <m:t>0.156</m:t>
        </m:r>
        <m:r>
          <m:t>∼</m:t>
        </m:r>
        <m:r>
          <m:t>+</m:t>
        </m:r>
        <m:r>
          <m:t>0.357</m:t>
        </m:r>
      </m:oMath>
      <w:r>
        <w:t xml:space="preserve">에 이르는 강한 샤프 비율 상승으로 나타난다. 반면, 기준 슬롯의</w:t>
      </w:r>
      <w:r>
        <w:t xml:space="preserve"> </w:t>
      </w:r>
      <m:oMath>
        <m:sSup>
          <m:e>
            <m:r>
              <m:t>q</m:t>
            </m:r>
          </m:e>
          <m:sup>
            <m:r>
              <m:rPr>
                <m:sty m:val="p"/>
              </m:rPr>
              <m:t>f</m:t>
            </m:r>
            <m:r>
              <m:rPr>
                <m:sty m:val="p"/>
              </m:rPr>
              <m:t>f</m:t>
            </m:r>
            <m:r>
              <m:rPr>
                <m:sty m:val="p"/>
              </m:rPr>
              <m:t>3</m:t>
            </m:r>
          </m:sup>
        </m:sSup>
      </m:oMath>
      <w:r>
        <w:t xml:space="preserve">는 R3 구간에서 오히려 ANN 모형이 우위를 보인다 (</w:t>
      </w:r>
      <m:oMath>
        <m:r>
          <m:t>Δ</m:t>
        </m:r>
        <m:r>
          <m:t>=</m:t>
        </m:r>
        <m:r>
          <m:t>−</m:t>
        </m:r>
        <m:r>
          <m:t>0.148</m:t>
        </m:r>
      </m:oMath>
      <w:r>
        <w:t xml:space="preserve">). 이는 위기 구간에서의 모형 간 성과 차이가</w:t>
      </w:r>
      <w:r>
        <w:t xml:space="preserve"> </w:t>
      </w:r>
      <m:oMath>
        <m:r>
          <m:t>q</m:t>
        </m:r>
      </m:oMath>
      <w:r>
        <w:t xml:space="preserve"> </w:t>
      </w:r>
      <w:r>
        <w:t xml:space="preserve">부호의 안정성에 의존함을 보여주며, 부호가 유동적일 경우 위기 구간에서 앙상블 모형의 변동성 순위 식별력이 포트폴리오 자산 배분 단계에서 희석되거나 상쇄될 수 있음을 시사한다.</w:t>
      </w:r>
    </w:p>
    <w:p>
      <w:pPr/>
      <m:oMath>
        <m:r>
          <m:rPr>
            <m:sty m:val="b"/>
          </m:rPr>
          <m:t>p</m:t>
        </m:r>
      </m:oMath>
      <w:r>
        <w:t xml:space="preserve"> </w:t>
      </w:r>
      <w:r>
        <w:t xml:space="preserve">벡터를 기준 슬롯</w:t>
      </w:r>
      <w:r>
        <w:t xml:space="preserve"> </w:t>
      </w:r>
      <m:oMath>
        <m:sSup>
          <m:e>
            <m:r>
              <m:rPr>
                <m:sty m:val="b"/>
              </m:rPr>
              <m:t>p</m:t>
            </m:r>
          </m:e>
          <m:sup>
            <m:r>
              <m:rPr>
                <m:sty m:val="p"/>
              </m:rPr>
              <m:t>m</m:t>
            </m:r>
            <m:r>
              <m:rPr>
                <m:sty m:val="p"/>
              </m:rPr>
              <m:t>c</m:t>
            </m:r>
            <m:r>
              <m:rPr>
                <m:sty m:val="p"/>
              </m:rPr>
              <m:t>a</m:t>
            </m:r>
            <m:r>
              <m:rPr>
                <m:sty m:val="p"/>
              </m:rPr>
              <m:t>p</m:t>
            </m:r>
          </m:sup>
        </m:sSup>
      </m:oMath>
      <w:r>
        <w:t xml:space="preserve">에서</w:t>
      </w:r>
      <w:r>
        <w:t xml:space="preserve"> </w:t>
      </w:r>
      <m:oMath>
        <m:sSup>
          <m:e>
            <m:r>
              <m:rPr>
                <m:sty m:val="b"/>
              </m:rPr>
              <m:t>p</m:t>
            </m:r>
          </m:e>
          <m:sup>
            <m:r>
              <m:rPr>
                <m:sty m:val="p"/>
              </m:rPr>
              <m:t>e</m:t>
            </m:r>
            <m:r>
              <m:rPr>
                <m:sty m:val="p"/>
              </m:rPr>
              <m:t>q</m:t>
            </m:r>
          </m:sup>
        </m:sSup>
      </m:oMath>
      <w:r>
        <w:t xml:space="preserve"> </w:t>
      </w:r>
      <w:r>
        <w:t xml:space="preserve">또는</w:t>
      </w:r>
      <w:r>
        <w:t xml:space="preserve"> </w:t>
      </w:r>
      <m:oMath>
        <m:sSup>
          <m:e>
            <m:r>
              <m:rPr>
                <m:sty m:val="b"/>
              </m:rPr>
              <m:t>p</m:t>
            </m:r>
          </m:e>
          <m:sup>
            <m:r>
              <m:rPr>
                <m:sty m:val="p"/>
              </m:rPr>
              <m:t>r</m:t>
            </m:r>
            <m:r>
              <m:rPr>
                <m:sty m:val="p"/>
              </m:rPr>
              <m:t>p</m:t>
            </m:r>
          </m:sup>
        </m:sSup>
      </m:oMath>
      <w:r>
        <w:t xml:space="preserve">로 변경하는 경우, 전체 기간의 샤프 비율은 앙상블 모형의 경우 0.946에서 각각 1.099, 1.054로 상승하고, ANN 모형 역시 0.945에서 1.049, 0.970으로 양 모형 모두 개선되는 양상을 보인다.</w:t>
      </w:r>
      <w:r>
        <w:t xml:space="preserve"> </w:t>
      </w:r>
      <m:oMath>
        <m:r>
          <m:rPr>
            <m:sty m:val="b"/>
          </m:rPr>
          <m:t>p</m:t>
        </m:r>
      </m:oMath>
      <w:r>
        <w:t xml:space="preserve"> </w:t>
      </w:r>
      <w:r>
        <w:t xml:space="preserve">벡터는 개별 종목의 변동성 예측값을 포트폴리오 뷰로 종합하는 가중치를 결정하는 역할을 한다. 이때</w:t>
      </w:r>
      <w:r>
        <w:t xml:space="preserve"> </w:t>
      </w:r>
      <m:oMath>
        <m:sSup>
          <m:e>
            <m:r>
              <m:rPr>
                <m:sty m:val="b"/>
              </m:rPr>
              <m:t>p</m:t>
            </m:r>
          </m:e>
          <m:sup>
            <m:r>
              <m:rPr>
                <m:sty m:val="p"/>
              </m:rPr>
              <m:t>e</m:t>
            </m:r>
            <m:r>
              <m:rPr>
                <m:sty m:val="p"/>
              </m:rPr>
              <m:t>q</m:t>
            </m:r>
          </m:sup>
        </m:sSup>
      </m:oMath>
      <w:r>
        <w:t xml:space="preserve">와</w:t>
      </w:r>
      <w:r>
        <w:t xml:space="preserve"> </w:t>
      </w:r>
      <m:oMath>
        <m:sSup>
          <m:e>
            <m:r>
              <m:rPr>
                <m:sty m:val="b"/>
              </m:rPr>
              <m:t>p</m:t>
            </m:r>
          </m:e>
          <m:sup>
            <m:r>
              <m:rPr>
                <m:sty m:val="p"/>
              </m:rPr>
              <m:t>r</m:t>
            </m:r>
            <m:r>
              <m:rPr>
                <m:sty m:val="p"/>
              </m:rPr>
              <m:t>p</m:t>
            </m:r>
          </m:sup>
        </m:sSup>
      </m:oMath>
      <w:r>
        <w:t xml:space="preserve"> </w:t>
      </w:r>
      <w:r>
        <w:t xml:space="preserve">방식을 채택하는 것은 대형주로의 비중 집중 현상을 완화함으로써, 모형의 변동성 예측 우위가 포트폴리오 성과로 한층 효과적으로 전이되도록 유도한다. 이는 모형 고유의 예측력보다 슬롯 구조의 영향이 포트폴리오 성과에 더 결정적일 수 있음을 보여주는 결과이며, 이에 대한 강건성은 후술할 4.3절에서 전체 슬롯 조합의 분포를 통해 재확인한다.</w:t>
      </w:r>
    </w:p>
    <w:p>
      <w:pPr/>
      <w:r>
        <w:t xml:space="preserve">반면, 사전 분포</w:t>
      </w:r>
      <w:r>
        <w:t xml:space="preserve"> </w:t>
      </w:r>
      <m:oMath>
        <m:sSub>
          <m:e>
            <m:r>
              <m:rPr>
                <m:sty m:val="b"/>
              </m:rPr>
              <m:t>w</m:t>
            </m:r>
          </m:e>
          <m:sub>
            <m:r>
              <m:t>m</m:t>
            </m:r>
            <m:r>
              <m:t>k</m:t>
            </m:r>
            <m:r>
              <m:t>t</m:t>
            </m:r>
          </m:sub>
        </m:sSub>
      </m:oMath>
      <w:r>
        <w:t xml:space="preserve">를 기준 슬롯</w:t>
      </w:r>
      <w:r>
        <w:t xml:space="preserve"> </w:t>
      </w:r>
      <m:oMath>
        <m:sSup>
          <m:e>
            <m:r>
              <m:rPr>
                <m:sty m:val="b"/>
              </m:rPr>
              <m:t>w</m:t>
            </m:r>
          </m:e>
          <m:sup>
            <m:r>
              <m:rPr>
                <m:sty m:val="p"/>
              </m:rPr>
              <m:t>m</m:t>
            </m:r>
            <m:r>
              <m:rPr>
                <m:sty m:val="p"/>
              </m:rPr>
              <m:t>c</m:t>
            </m:r>
            <m:r>
              <m:rPr>
                <m:sty m:val="p"/>
              </m:rPr>
              <m:t>a</m:t>
            </m:r>
            <m:r>
              <m:rPr>
                <m:sty m:val="p"/>
              </m:rPr>
              <m:t>p</m:t>
            </m:r>
          </m:sup>
        </m:sSup>
      </m:oMath>
      <w:r>
        <w:t xml:space="preserve">에서</w:t>
      </w:r>
      <w:r>
        <w:t xml:space="preserve"> </w:t>
      </w:r>
      <m:oMath>
        <m:sSup>
          <m:e>
            <m:r>
              <m:rPr>
                <m:sty m:val="b"/>
              </m:rPr>
              <m:t>w</m:t>
            </m:r>
          </m:e>
          <m:sup>
            <m:r>
              <m:rPr>
                <m:sty m:val="p"/>
              </m:rPr>
              <m:t>e</m:t>
            </m:r>
            <m:r>
              <m:rPr>
                <m:sty m:val="p"/>
              </m:rPr>
              <m:t>q</m:t>
            </m:r>
          </m:sup>
        </m:sSup>
      </m:oMath>
      <w:r>
        <w:t xml:space="preserve">,</w:t>
      </w:r>
      <w:r>
        <w:t xml:space="preserve"> </w:t>
      </w:r>
      <m:oMath>
        <m:sSup>
          <m:e>
            <m:r>
              <m:rPr>
                <m:sty m:val="b"/>
              </m:rPr>
              <m:t>w</m:t>
            </m:r>
          </m:e>
          <m:sup>
            <m:r>
              <m:rPr>
                <m:sty m:val="p"/>
              </m:rPr>
              <m:t>r</m:t>
            </m:r>
            <m:r>
              <m:rPr>
                <m:sty m:val="p"/>
              </m:rPr>
              <m:t>p</m:t>
            </m:r>
          </m:sup>
        </m:sSup>
      </m:oMath>
      <w:r>
        <w:t xml:space="preserve">로 변경하더라도</w:t>
      </w:r>
      <w:r>
        <w:t xml:space="preserve"> </w:t>
      </w:r>
      <m:oMath>
        <m:r>
          <m:t>Δ</m:t>
        </m:r>
      </m:oMath>
      <w:r>
        <w:t xml:space="preserve">의 부호 패턴은 기준 슬롯과 동일하게 유지하였다. 즉, R1과 R3 구간에서는 ANN 모형이 우위를 보이고, R2와 R4 구간에서 앙상블 모형이 우위를 점하는 구조가</w:t>
      </w:r>
      <w:r>
        <w:t xml:space="preserve"> </w:t>
      </w:r>
      <m:oMath>
        <m:sSub>
          <m:e>
            <m:r>
              <m:rPr>
                <m:sty m:val="b"/>
              </m:rPr>
              <m:t>w</m:t>
            </m:r>
          </m:e>
          <m:sub>
            <m:r>
              <m:t>m</m:t>
            </m:r>
            <m:r>
              <m:t>k</m:t>
            </m:r>
            <m:r>
              <m:t>t</m:t>
            </m:r>
          </m:sub>
        </m:sSub>
      </m:oMath>
      <w:r>
        <w:t xml:space="preserve"> </w:t>
      </w:r>
      <w:r>
        <w:t xml:space="preserve">변경과 무관하게 보존되며 격차의 크기만 조정되었다. 이는 사전 분포 차원이 모형 간 성과 차이의 ’방향성’을 결정하기보다는, 격차의 ’크기’에만 영향을 미치는 차원으로 해석된다.</w:t>
      </w:r>
    </w:p>
    <w:p>
      <w:pPr/>
      <w:r>
        <w:t xml:space="preserve">마지막으로 뷰 신뢰도(</w:t>
      </w:r>
      <m:oMath>
        <m:r>
          <m:t>ω</m:t>
        </m:r>
      </m:oMath>
      <w:r>
        <w:t xml:space="preserve">) 차원에서, 기준 슬롯</w:t>
      </w:r>
      <w:r>
        <w:t xml:space="preserve"> </w:t>
      </w:r>
      <m:oMath>
        <m:sSup>
          <m:e>
            <m:r>
              <m:t>ω</m:t>
            </m:r>
          </m:e>
          <m:sup>
            <m:r>
              <m:rPr>
                <m:sty m:val="p"/>
              </m:rPr>
              <m:t>e</m:t>
            </m:r>
            <m:r>
              <m:rPr>
                <m:sty m:val="p"/>
              </m:rPr>
              <m:t>r</m:t>
            </m:r>
            <m:r>
              <m:rPr>
                <m:sty m:val="p"/>
              </m:rPr>
              <m:t>r</m:t>
            </m:r>
          </m:sup>
        </m:sSup>
      </m:oMath>
      <w:r>
        <w:t xml:space="preserve">(전월 예측 오차 기반)는 예측이 크게 빗나간 직후 포트폴리오 뷰의 신뢰도를 자동적으로 낮추어 사전 분포에 더 의존하게 만든다. 이는 모형의 예측력이 시점에 따라 변동하는 환경에서 포트폴리오의 손실을 자동으로 통제하는 효과를 갖는다.</w:t>
      </w:r>
      <w:r>
        <w:t xml:space="preserve"> </w:t>
      </w:r>
      <m:oMath>
        <m:sSup>
          <m:e>
            <m:r>
              <m:t>ω</m:t>
            </m:r>
          </m:e>
          <m:sup>
            <m:r>
              <m:rPr>
                <m:sty m:val="p"/>
              </m:rPr>
              <m:t>h</m:t>
            </m:r>
            <m:r>
              <m:rPr>
                <m:sty m:val="p"/>
              </m:rPr>
              <m:t>e</m:t>
            </m:r>
          </m:sup>
        </m:sSup>
      </m:oMath>
      <w:r>
        <w:t xml:space="preserve">로 변경 시 양 모형 모두 샤프 비율이 하락하는 결과 (앙상블: 0.946 → 0.830, ANN: 0.945 → 0.871)를 보여, 기준 슬롯</w:t>
      </w:r>
      <w:r>
        <w:t xml:space="preserve"> </w:t>
      </w:r>
      <m:oMath>
        <m:sSup>
          <m:e>
            <m:r>
              <m:t>ω</m:t>
            </m:r>
          </m:e>
          <m:sup>
            <m:r>
              <m:rPr>
                <m:sty m:val="p"/>
              </m:rPr>
              <m:t>e</m:t>
            </m:r>
            <m:r>
              <m:rPr>
                <m:sty m:val="p"/>
              </m:rPr>
              <m:t>r</m:t>
            </m:r>
            <m:r>
              <m:rPr>
                <m:sty m:val="p"/>
              </m:rPr>
              <m:t>r</m:t>
            </m:r>
          </m:sup>
        </m:sSup>
      </m:oMath>
      <w:r>
        <w:t xml:space="preserve"> </w:t>
      </w:r>
      <w:r>
        <w:t xml:space="preserve">선택이 양 모형에서 모두 자산 배분 안정성에 유리함을 실증적으로 보인다(R1 회복기 제외).</w:t>
      </w:r>
    </w:p>
    <w:p>
      <w:pPr>
        <w:pStyle w:val="2"/>
      </w:pPr>
      <w:bookmarkStart w:id="60" w:name="subsec:slot_config"/>
      <w:r>
        <w:t xml:space="preserve">슬롯 차원별 주변 분포</w:t>
      </w:r>
      <w:bookmarkEnd w:id="60"/>
    </w:p>
    <w:p>
      <w:pPr/>
      <w:r>
        <w:t xml:space="preserve">본 절에서는 4.2절에서 다룬 단일 차원 변경 결과가 전체 슬롯 조합에 대해서도 일관되게 나타나는지 검증한다. 이를 위해 각 슬롯 차원별로 나머지 세 차원의 모든 조합에 대해 평균을 산출한 주변 분포(Marginal Distribution)를 산출하고 이를 시각화하여 제시한다. 전체 90개 슬롯 조합의 세부 성과는 부록 B에 수록하였다.</w:t>
      </w:r>
    </w:p>
    <w:p>
      <w:pPr/>
      <w:r>
        <w:t xml:space="preserve">표 4 는</w:t>
      </w:r>
      <w:r>
        <w:t xml:space="preserve"> </w:t>
      </w:r>
      <m:oMath>
        <m:r>
          <m:t>ω</m:t>
        </m:r>
        <m:r>
          <m:t>=</m:t>
        </m:r>
        <m:sSup>
          <m:e>
            <m:r>
              <m:t>ω</m:t>
            </m:r>
          </m:e>
          <m:sup>
            <m:r>
              <m:rPr>
                <m:sty m:val="p"/>
              </m:rPr>
              <m:t>e</m:t>
            </m:r>
            <m:r>
              <m:rPr>
                <m:sty m:val="p"/>
              </m:rPr>
              <m:t>r</m:t>
            </m:r>
            <m:r>
              <m:rPr>
                <m:sty m:val="p"/>
              </m:rPr>
              <m:t>r</m:t>
            </m:r>
          </m:sup>
        </m:sSup>
      </m:oMath>
      <w:r>
        <w:t xml:space="preserve">로 고정한 상태에서</w:t>
      </w:r>
      <w:r>
        <w:t xml:space="preserve"> </w:t>
      </w:r>
      <m:oMath>
        <m:r>
          <m:rPr>
            <m:sty m:val="b"/>
          </m:rPr>
          <m:t>p</m:t>
        </m:r>
      </m:oMath>
      <w:r>
        <w:t xml:space="preserve"> </w:t>
      </w:r>
      <w:r>
        <w:t xml:space="preserve">벡터 가중치를</w:t>
      </w:r>
      <w:r>
        <w:t xml:space="preserve"> </w:t>
      </w:r>
      <m:oMath>
        <m:sSup>
          <m:e>
            <m:r>
              <m:rPr>
                <m:sty m:val="b"/>
              </m:rPr>
              <m:t>p</m:t>
            </m:r>
          </m:e>
          <m:sup>
            <m:r>
              <m:rPr>
                <m:sty m:val="p"/>
              </m:rPr>
              <m:t>m</m:t>
            </m:r>
            <m:r>
              <m:rPr>
                <m:sty m:val="p"/>
              </m:rPr>
              <m:t>c</m:t>
            </m:r>
            <m:r>
              <m:rPr>
                <m:sty m:val="p"/>
              </m:rPr>
              <m:t>a</m:t>
            </m:r>
            <m:r>
              <m:rPr>
                <m:sty m:val="p"/>
              </m:rPr>
              <m:t>p</m:t>
            </m:r>
          </m:sup>
        </m:sSup>
        <m:r>
          <m:t>,</m:t>
        </m:r>
        <m:sSup>
          <m:e>
            <m:r>
              <m:rPr>
                <m:sty m:val="b"/>
              </m:rPr>
              <m:t>p</m:t>
            </m:r>
          </m:e>
          <m:sup>
            <m:r>
              <m:rPr>
                <m:sty m:val="p"/>
              </m:rPr>
              <m:t>e</m:t>
            </m:r>
            <m:r>
              <m:rPr>
                <m:sty m:val="p"/>
              </m:rPr>
              <m:t>q</m:t>
            </m:r>
          </m:sup>
        </m:sSup>
        <m:r>
          <m:t>,</m:t>
        </m:r>
        <m:sSup>
          <m:e>
            <m:r>
              <m:rPr>
                <m:sty m:val="b"/>
              </m:rPr>
              <m:t>p</m:t>
            </m:r>
          </m:e>
          <m:sup>
            <m:r>
              <m:rPr>
                <m:sty m:val="p"/>
              </m:rPr>
              <m:t>r</m:t>
            </m:r>
            <m:r>
              <m:rPr>
                <m:sty m:val="p"/>
              </m:rPr>
              <m:t>p</m:t>
            </m:r>
          </m:sup>
        </m:sSup>
      </m:oMath>
      <w:r>
        <w:t xml:space="preserve"> </w:t>
      </w:r>
      <w:r>
        <w:t xml:space="preserve">세 가지 방식으로 변경하고, 각 조합 별로 5개의</w:t>
      </w:r>
      <w:r>
        <w:t xml:space="preserve"> </w:t>
      </w:r>
      <m:oMath>
        <m:r>
          <m:t>q</m:t>
        </m:r>
      </m:oMath>
      <w:r>
        <w:t xml:space="preserve">와 3개의</w:t>
      </w:r>
      <w:r>
        <w:t xml:space="preserve"> </w:t>
      </w:r>
      <m:oMath>
        <m:sSub>
          <m:e>
            <m:r>
              <m:rPr>
                <m:sty m:val="b"/>
              </m:rPr>
              <m:t>w</m:t>
            </m:r>
          </m:e>
          <m:sub>
            <m:r>
              <m:t>m</m:t>
            </m:r>
            <m:r>
              <m:t>k</m:t>
            </m:r>
            <m:r>
              <m:t>t</m:t>
            </m:r>
          </m:sub>
        </m:sSub>
      </m:oMath>
      <w:r>
        <w:t xml:space="preserve"> </w:t>
      </w:r>
      <w:r>
        <w:t xml:space="preserve">조합(총 15개 슬롯)을 평균낸 결과이다. 전체 분석 기간을 기준으로 살펴보면,</w:t>
      </w:r>
      <w:r>
        <w:t xml:space="preserve"> </w:t>
      </w:r>
      <m:oMath>
        <m:sSup>
          <m:e>
            <m:r>
              <m:rPr>
                <m:sty m:val="b"/>
              </m:rPr>
              <m:t>p</m:t>
            </m:r>
          </m:e>
          <m:sup>
            <m:r>
              <m:rPr>
                <m:sty m:val="p"/>
              </m:rPr>
              <m:t>m</m:t>
            </m:r>
            <m:r>
              <m:rPr>
                <m:sty m:val="p"/>
              </m:rPr>
              <m:t>c</m:t>
            </m:r>
            <m:r>
              <m:rPr>
                <m:sty m:val="p"/>
              </m:rPr>
              <m:t>a</m:t>
            </m:r>
            <m:r>
              <m:rPr>
                <m:sty m:val="p"/>
              </m:rPr>
              <m:t>p</m:t>
            </m:r>
          </m:sup>
        </m:sSup>
      </m:oMath>
      <w:r>
        <w:t xml:space="preserve"> </w:t>
      </w:r>
      <w:r>
        <w:t xml:space="preserve">가중 방식을 적용했을 때는 앙상블 모형의 변동성 예측 우위에도 불구하고, 포트폴리오의 샤프비율 측면에서 ANN 모형이 소폭 우위를 점하는 것으로 나타났다(</w:t>
      </w:r>
      <m:oMath>
        <m:r>
          <m:t>Δ</m:t>
        </m:r>
        <m:r>
          <m:t>=</m:t>
        </m:r>
        <m:r>
          <m:t>−</m:t>
        </m:r>
        <m:r>
          <m:t>0.019</m:t>
        </m:r>
      </m:oMath>
      <w:r>
        <w:t xml:space="preserve">). 반면,</w:t>
      </w:r>
      <w:r>
        <w:t xml:space="preserve"> </w:t>
      </w:r>
      <m:oMath>
        <m:sSup>
          <m:e>
            <m:r>
              <m:rPr>
                <m:sty m:val="b"/>
              </m:rPr>
              <m:t>p</m:t>
            </m:r>
          </m:e>
          <m:sup>
            <m:r>
              <m:rPr>
                <m:sty m:val="p"/>
              </m:rPr>
              <m:t>e</m:t>
            </m:r>
            <m:r>
              <m:rPr>
                <m:sty m:val="p"/>
              </m:rPr>
              <m:t>q</m:t>
            </m:r>
          </m:sup>
        </m:sSup>
        <m:r>
          <m:t>,</m:t>
        </m:r>
        <m:sSup>
          <m:e>
            <m:r>
              <m:rPr>
                <m:sty m:val="b"/>
              </m:rPr>
              <m:t>p</m:t>
            </m:r>
          </m:e>
          <m:sup>
            <m:r>
              <m:rPr>
                <m:sty m:val="p"/>
              </m:rPr>
              <m:t>r</m:t>
            </m:r>
            <m:r>
              <m:rPr>
                <m:sty m:val="p"/>
              </m:rPr>
              <m:t>p</m:t>
            </m:r>
          </m:sup>
        </m:sSup>
      </m:oMath>
      <w:r>
        <w:t xml:space="preserve">로 가중치를 변경할 경우 앙상블 모형의 샤프 비율은 0.929에서 각각 1.038 및 1.008로 상승하며, ANN 모형 역시</w:t>
      </w:r>
      <w:r>
        <w:t xml:space="preserve"> </w:t>
      </w:r>
      <m:oMath>
        <m:sSup>
          <m:e>
            <m:r>
              <m:rPr>
                <m:sty m:val="b"/>
              </m:rPr>
              <m:t>p</m:t>
            </m:r>
          </m:e>
          <m:sup>
            <m:r>
              <m:rPr>
                <m:sty m:val="p"/>
              </m:rPr>
              <m:t>m</m:t>
            </m:r>
            <m:r>
              <m:rPr>
                <m:sty m:val="p"/>
              </m:rPr>
              <m:t>c</m:t>
            </m:r>
            <m:r>
              <m:rPr>
                <m:sty m:val="p"/>
              </m:rPr>
              <m:t>a</m:t>
            </m:r>
            <m:r>
              <m:rPr>
                <m:sty m:val="p"/>
              </m:rPr>
              <m:t>p</m:t>
            </m:r>
          </m:sup>
        </m:sSup>
      </m:oMath>
      <w:r>
        <w:t xml:space="preserve">의 0.948에서</w:t>
      </w:r>
      <w:r>
        <w:t xml:space="preserve"> </w:t>
      </w:r>
      <m:oMath>
        <m:sSup>
          <m:e>
            <m:r>
              <m:rPr>
                <m:sty m:val="b"/>
              </m:rPr>
              <m:t>p</m:t>
            </m:r>
          </m:e>
          <m:sup>
            <m:r>
              <m:rPr>
                <m:sty m:val="p"/>
              </m:rPr>
              <m:t>e</m:t>
            </m:r>
            <m:r>
              <m:rPr>
                <m:sty m:val="p"/>
              </m:rPr>
              <m:t>q</m:t>
            </m:r>
          </m:sup>
        </m:sSup>
      </m:oMath>
      <w:r>
        <w:t xml:space="preserve">의 0.970으로 성과가 개선되었다(</w:t>
      </w:r>
      <m:oMath>
        <m:sSup>
          <m:e>
            <m:r>
              <m:rPr>
                <m:sty m:val="b"/>
              </m:rPr>
              <m:t>p</m:t>
            </m:r>
          </m:e>
          <m:sup>
            <m:r>
              <m:rPr>
                <m:sty m:val="p"/>
              </m:rPr>
              <m:t>r</m:t>
            </m:r>
            <m:r>
              <m:rPr>
                <m:sty m:val="p"/>
              </m:rPr>
              <m:t>p</m:t>
            </m:r>
          </m:sup>
        </m:sSup>
      </m:oMath>
      <w:r>
        <w:t xml:space="preserve">는 0.920으로 소폭 감소). 이러한 결과는 변동성 예측의 우위가 실제 포트폴리오 성과로 전이되기 위해서는,</w:t>
      </w:r>
      <w:r>
        <w:t xml:space="preserve"> </w:t>
      </w:r>
      <m:oMath>
        <m:r>
          <m:rPr>
            <m:sty m:val="b"/>
          </m:rPr>
          <m:t>p</m:t>
        </m:r>
      </m:oMath>
      <w:r>
        <w:t xml:space="preserve"> </w:t>
      </w:r>
      <w:r>
        <w:t xml:space="preserve">벡터를 대형주로의 비중 집중이 완화된 가중치 방식으로 구성해야 함을 시사한다. 그림 6에서도</w:t>
      </w:r>
      <w:r>
        <w:t xml:space="preserve"> </w:t>
      </w:r>
      <m:oMath>
        <m:sSup>
          <m:e>
            <m:r>
              <m:rPr>
                <m:sty m:val="b"/>
              </m:rPr>
              <m:t>p</m:t>
            </m:r>
          </m:e>
          <m:sup>
            <m:r>
              <m:rPr>
                <m:sty m:val="p"/>
              </m:rPr>
              <m:t>e</m:t>
            </m:r>
            <m:r>
              <m:rPr>
                <m:sty m:val="p"/>
              </m:rPr>
              <m:t>q</m:t>
            </m:r>
          </m:sup>
        </m:sSup>
        <m:r>
          <m:t>,</m:t>
        </m:r>
        <m:sSup>
          <m:e>
            <m:r>
              <m:rPr>
                <m:sty m:val="b"/>
              </m:rPr>
              <m:t>p</m:t>
            </m:r>
          </m:e>
          <m:sup>
            <m:r>
              <m:rPr>
                <m:sty m:val="p"/>
              </m:rPr>
              <m:t>r</m:t>
            </m:r>
            <m:r>
              <m:rPr>
                <m:sty m:val="p"/>
              </m:rPr>
              <m:t>p</m:t>
            </m:r>
          </m:sup>
        </m:sSup>
      </m:oMath>
      <w:r>
        <w:t xml:space="preserve"> </w:t>
      </w:r>
      <w:r>
        <w:t xml:space="preserve">구성 시 전체 기간에서 앙상블 모형과 ANN 모형 간의 성과 분포 차이가 가장 두드러지게 나타난다.</w:t>
      </w:r>
    </w:p>
    <w:p>
      <w:pPr>
        <w:pStyle w:val="CaptionedFigure"/>
      </w:pPr>
      <w:bookmarkStart w:id="62" w:name="fig:marginal_boxplot"/>
      <w:r>
        <w:drawing>
          <wp:inline>
            <wp:extent cx="5399999" cy="5117125"/>
            <wp:effectExtent b="0" l="0" r="0" t="0"/>
            <wp:docPr descr="&lt;그림 6&gt; BL 슬롯 차원별 샤프 비율 주변 분포 (앙상블 vs ANN)." title="" id="1" name="Picture"/>
            <a:graphic>
              <a:graphicData uri="http://schemas.openxmlformats.org/drawingml/2006/picture">
                <pic:pic>
                  <pic:nvPicPr>
                    <pic:cNvPr descr="/sessions/sleepy-loving-thompson/mnt/low_vol_with_lstm_har_bl/paper/images/paper_final/marginal_mean.png" id="0" name="Picture"/>
                    <pic:cNvPicPr>
                      <a:picLocks noChangeArrowheads="1" noChangeAspect="1"/>
                    </pic:cNvPicPr>
                  </pic:nvPicPr>
                  <pic:blipFill>
                    <a:blip r:embed="rId61"/>
                    <a:stretch>
                      <a:fillRect/>
                    </a:stretch>
                  </pic:blipFill>
                  <pic:spPr bwMode="auto">
                    <a:xfrm>
                      <a:off x="0" y="0"/>
                      <a:ext cx="5399999" cy="5117125"/>
                    </a:xfrm>
                    <a:prstGeom prst="rect">
                      <a:avLst/>
                    </a:prstGeom>
                    <a:noFill/>
                    <a:ln w="9525">
                      <a:noFill/>
                      <a:headEnd/>
                      <a:tailEnd/>
                    </a:ln>
                  </pic:spPr>
                </pic:pic>
              </a:graphicData>
            </a:graphic>
          </wp:inline>
        </w:drawing>
      </w:r>
      <w:bookmarkEnd w:id="62"/>
    </w:p>
    <w:p>
      <w:pPr>
        <w:jc w:val="center"/>
      </w:pPr>
      <w:r>
        <w:t xml:space="preserve">&lt;그림 6&gt; BL 슬롯 차원별 샤프 비율 주변 분포 (앙상블 vs ANN).</w:t>
      </w:r>
    </w:p>
    <w:p>
      <w:pPr>
        <w:keepNext/>
        <w:jc w:val="center"/>
        <w:spacing w:after="40"/>
      </w:pPr>
      <w:r>
        <w:rPr>
          <w:rFonts w:ascii="Times New Roman" w:hAnsi="Times New Roman" w:eastAsia="바탕"/>
          <w:sz w:val="20"/>
          <w:szCs w:val="20"/>
        </w:rPr>
        <w:t xml:space="preserve">&lt;표 4&gt; p 벡터 변경에 따른 평균 샤프 비율 (q 5개 × w_mkt 3개 = 15 슬롯 평균, ω^err 고정). 앙상블(E), ANN(A), 차이 Δ = E - A. 녹색은 앙상블 우위, 적색은 ANN 우위.</w:t>
      </w:r>
    </w:p>
    <w:tbl>
      <w:tblPr>
        <w:tblW w:w="9298" w:type="dxa"/>
        <w:jc w:val="center"/>
        <w:tblBorders>
          <w:top w:val="none" w:sz="0" w:space="0"/>
          <w:left w:val="none" w:sz="0" w:space="0"/>
          <w:bottom w:val="none" w:sz="0" w:space="0"/>
          <w:right w:val="none" w:sz="0" w:space="0"/>
          <w:insideH w:val="none" w:sz="0" w:space="0"/>
          <w:insideV w:val="none" w:sz="0" w:space="0"/>
        </w:tblBorders>
        <w:tblLayout w:type="fixed"/>
        <w:tblLook w:val="04A0" w:firstRow="1" w:lastRow="0" w:firstColumn="0" w:lastColumn="0" w:noHBand="0" w:noVBand="1"/>
      </w:tblPr>
      <w:tblGrid>
        <w:gridCol w:w="581"/>
        <w:gridCol w:w="581"/>
        <w:gridCol w:w="581"/>
        <w:gridCol w:w="581"/>
        <w:gridCol w:w="581"/>
        <w:gridCol w:w="581"/>
        <w:gridCol w:w="581"/>
        <w:gridCol w:w="581"/>
        <w:gridCol w:w="581"/>
        <w:gridCol w:w="581"/>
        <w:gridCol w:w="581"/>
        <w:gridCol w:w="581"/>
        <w:gridCol w:w="581"/>
        <w:gridCol w:w="581"/>
        <w:gridCol w:w="581"/>
        <w:gridCol w:w="583"/>
      </w:tblGrid>
      <w:tr>
        <w:tc>
          <w:tcPr>
            <w:tcBorders>
              <w:top w:val="single" w:sz="12" w:space="0" w:color="auto"/>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gridSpan w:val="3"/>
            <w:tcBorders>
              <w:top w:val="single" w:sz="12" w:space="0" w:color="auto"/>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All</w:t>
            </w:r>
          </w:p>
        </w:tc>
        <w:tc>
          <w:tcPr>
            <w:gridSpan w:val="3"/>
            <w:tcBorders>
              <w:top w:val="single" w:sz="12" w:space="0" w:color="auto"/>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R1</w:t>
            </w:r>
          </w:p>
        </w:tc>
        <w:tc>
          <w:tcPr>
            <w:gridSpan w:val="3"/>
            <w:tcBorders>
              <w:top w:val="single" w:sz="12" w:space="0" w:color="auto"/>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R2</w:t>
            </w:r>
          </w:p>
        </w:tc>
        <w:tc>
          <w:tcPr>
            <w:gridSpan w:val="3"/>
            <w:tcBorders>
              <w:top w:val="single" w:sz="12" w:space="0" w:color="auto"/>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R3</w:t>
            </w:r>
          </w:p>
        </w:tc>
        <w:tc>
          <w:tcPr>
            <w:gridSpan w:val="3"/>
            <w:tcBorders>
              <w:top w:val="single" w:sz="12" w:space="0" w:color="auto"/>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R4</w:t>
            </w:r>
          </w:p>
        </w:tc>
      </w:tr>
      <w:tr>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p</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r>
      <w:tr>
        <w:tc>
          <w:tcPr>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mcap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r>
      <w:tr>
        <w:tc>
          <w:tcPr>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eq</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0.669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+0.076</w:t>
            </w:r>
          </w:p>
        </w:tc>
      </w:tr>
      <w:tr>
        <w:tc>
          <w:tcPr>
            <w:tcBorders>
              <w:bottom w:val="single" w:sz="12"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rp</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1.008</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0.920</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+0.088</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1.114</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1.034</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+0.081</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1.248</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1.238</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0.896</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0.685</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+0.212</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0.555</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0.479</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+0.076</w:t>
            </w:r>
          </w:p>
        </w:tc>
      </w:tr>
    </w:tbl>
    <w:p>
      <w:pPr/>
      <w:r>
        <w:t xml:space="preserve">R3(위기) 구간에서는</w:t>
      </w:r>
      <w:r>
        <w:t xml:space="preserve"> </w:t>
      </w:r>
      <m:oMath>
        <m:r>
          <m:rPr>
            <m:sty m:val="b"/>
          </m:rPr>
          <m:t>p</m:t>
        </m:r>
      </m:oMath>
      <w:r>
        <w:t xml:space="preserve"> </w:t>
      </w:r>
      <w:r>
        <w:t xml:space="preserve">벡터 구성 방식과 무관하게 앙상블 모형이 일관된 우위를 보이며(</w:t>
      </w:r>
      <m:oMath>
        <m:r>
          <m:t>Δ</m:t>
        </m:r>
        <m:r>
          <m:t>=</m:t>
        </m:r>
        <m:r>
          <m:t>+</m:t>
        </m:r>
        <m:r>
          <m:t>0.134</m:t>
        </m:r>
        <m:r>
          <m:t>,</m:t>
        </m:r>
        <m:r>
          <m:t>+</m:t>
        </m:r>
        <m:r>
          <m:t>0.253</m:t>
        </m:r>
        <m:r>
          <m:t>,</m:t>
        </m:r>
        <m:r>
          <m:t>+</m:t>
        </m:r>
        <m:r>
          <m:t>0.212</m:t>
        </m:r>
      </m:oMath>
      <w:r>
        <w:t xml:space="preserve">), 표 5에서도 거의 모든 슬롯에서 앙상블 모형이 ANN 모형을 상회한다.</w:t>
      </w:r>
      <w:r>
        <w:t xml:space="preserve"> </w:t>
      </w:r>
      <w:r>
        <w:t xml:space="preserve">이는 변동성 분포가 가장 분산되는 위기 구간에서 앙상블 모형의 종목 순위 식별의 가치가 극대화되며, 변동성 예측 우위가 포트폴리오 성과로 가장 효과적으로 전이된다. 이러한 R3 구간에서의 우위는 Sortino 비율과 MDD에서도 유사한 패턴으로 관찰되며, 상세 슬롯별 성과 지표는 부록 B에 첨부하였다.</w:t>
      </w:r>
    </w:p>
    <w:p>
      <w:pPr/>
      <w:r>
        <w:t xml:space="preserve">R1(회복)과 R2(확장) 구간에서는</w:t>
      </w:r>
      <w:r>
        <w:t xml:space="preserve"> </w:t>
      </w:r>
      <m:oMath>
        <m:sSup>
          <m:e>
            <m:r>
              <m:rPr>
                <m:sty m:val="b"/>
              </m:rPr>
              <m:t>p</m:t>
            </m:r>
          </m:e>
          <m:sup>
            <m:r>
              <m:rPr>
                <m:sty m:val="p"/>
              </m:rPr>
              <m:t>m</m:t>
            </m:r>
            <m:r>
              <m:rPr>
                <m:sty m:val="p"/>
              </m:rPr>
              <m:t>c</m:t>
            </m:r>
            <m:r>
              <m:rPr>
                <m:sty m:val="p"/>
              </m:rPr>
              <m:t>a</m:t>
            </m:r>
            <m:r>
              <m:rPr>
                <m:sty m:val="p"/>
              </m:rPr>
              <m:t>p</m:t>
            </m:r>
          </m:sup>
        </m:sSup>
      </m:oMath>
      <w:r>
        <w:t xml:space="preserve">과</w:t>
      </w:r>
      <w:r>
        <w:t xml:space="preserve"> </w:t>
      </w:r>
      <m:oMath>
        <m:sSup>
          <m:e>
            <m:r>
              <m:rPr>
                <m:sty m:val="b"/>
              </m:rPr>
              <m:t>p</m:t>
            </m:r>
          </m:e>
          <m:sup>
            <m:r>
              <m:rPr>
                <m:sty m:val="p"/>
              </m:rPr>
              <m:t>e</m:t>
            </m:r>
            <m:r>
              <m:rPr>
                <m:sty m:val="p"/>
              </m:rPr>
              <m:t>q</m:t>
            </m:r>
          </m:sup>
        </m:sSup>
      </m:oMath>
      <w:r>
        <w:t xml:space="preserve"> </w:t>
      </w:r>
      <w:r>
        <w:t xml:space="preserve">가중 방식 모두 앙상블 모형의 샤프 비율이 ANN 모형을 하회하는 슬롯의 빈도가 더 높지만(R1:</w:t>
      </w:r>
      <w:r>
        <w:t xml:space="preserve"> </w:t>
      </w:r>
      <m:oMath>
        <m:sSup>
          <m:e>
            <m:r>
              <m:rPr>
                <m:sty m:val="b"/>
              </m:rPr>
              <m:t>p</m:t>
            </m:r>
          </m:e>
          <m:sup>
            <m:r>
              <m:rPr>
                <m:sty m:val="p"/>
              </m:rPr>
              <m:t>m</m:t>
            </m:r>
            <m:r>
              <m:rPr>
                <m:sty m:val="p"/>
              </m:rPr>
              <m:t>c</m:t>
            </m:r>
            <m:r>
              <m:rPr>
                <m:sty m:val="p"/>
              </m:rPr>
              <m:t>a</m:t>
            </m:r>
            <m:r>
              <m:rPr>
                <m:sty m:val="p"/>
              </m:rPr>
              <m:t>p</m:t>
            </m:r>
          </m:sup>
        </m:sSup>
      </m:oMath>
      <w:r>
        <w:t xml:space="preserve"> </w:t>
      </w:r>
      <w:r>
        <w:t xml:space="preserve">0/15,</w:t>
      </w:r>
      <w:r>
        <w:t xml:space="preserve"> </w:t>
      </w:r>
      <m:oMath>
        <m:sSup>
          <m:e>
            <m:r>
              <m:rPr>
                <m:sty m:val="b"/>
              </m:rPr>
              <m:t>p</m:t>
            </m:r>
          </m:e>
          <m:sup>
            <m:r>
              <m:rPr>
                <m:sty m:val="p"/>
              </m:rPr>
              <m:t>e</m:t>
            </m:r>
            <m:r>
              <m:rPr>
                <m:sty m:val="p"/>
              </m:rPr>
              <m:t>q</m:t>
            </m:r>
          </m:sup>
        </m:sSup>
      </m:oMath>
      <w:r>
        <w:t xml:space="preserve"> </w:t>
      </w:r>
      <w:r>
        <w:t xml:space="preserve">1/15; R2:</w:t>
      </w:r>
      <w:r>
        <w:t xml:space="preserve"> </w:t>
      </w:r>
      <m:oMath>
        <m:sSup>
          <m:e>
            <m:r>
              <m:rPr>
                <m:sty m:val="b"/>
              </m:rPr>
              <m:t>p</m:t>
            </m:r>
          </m:e>
          <m:sup>
            <m:r>
              <m:rPr>
                <m:sty m:val="p"/>
              </m:rPr>
              <m:t>m</m:t>
            </m:r>
            <m:r>
              <m:rPr>
                <m:sty m:val="p"/>
              </m:rPr>
              <m:t>c</m:t>
            </m:r>
            <m:r>
              <m:rPr>
                <m:sty m:val="p"/>
              </m:rPr>
              <m:t>a</m:t>
            </m:r>
            <m:r>
              <m:rPr>
                <m:sty m:val="p"/>
              </m:rPr>
              <m:t>p</m:t>
            </m:r>
          </m:sup>
        </m:sSup>
        <m:r>
          <m:t>,</m:t>
        </m:r>
        <m:sSup>
          <m:e>
            <m:r>
              <m:rPr>
                <m:sty m:val="b"/>
              </m:rPr>
              <m:t>p</m:t>
            </m:r>
          </m:e>
          <m:sup>
            <m:r>
              <m:rPr>
                <m:sty m:val="p"/>
              </m:rPr>
              <m:t>e</m:t>
            </m:r>
            <m:r>
              <m:rPr>
                <m:sty m:val="p"/>
              </m:rPr>
              <m:t>q</m:t>
            </m:r>
          </m:sup>
        </m:sSup>
      </m:oMath>
      <w:r>
        <w:t xml:space="preserve"> </w:t>
      </w:r>
      <w:r>
        <w:t xml:space="preserve">모두 5/15), 손실 규모 측면에서는 두 가중치 방식 간에 명확한 차이가 존재한다. R1 구간에서</w:t>
      </w:r>
      <w:r>
        <w:t xml:space="preserve"> </w:t>
      </w:r>
      <m:oMath>
        <m:sSup>
          <m:e>
            <m:r>
              <m:rPr>
                <m:sty m:val="b"/>
              </m:rPr>
              <m:t>p</m:t>
            </m:r>
          </m:e>
          <m:sup>
            <m:r>
              <m:rPr>
                <m:sty m:val="p"/>
              </m:rPr>
              <m:t>m</m:t>
            </m:r>
            <m:r>
              <m:rPr>
                <m:sty m:val="p"/>
              </m:rPr>
              <m:t>c</m:t>
            </m:r>
            <m:r>
              <m:rPr>
                <m:sty m:val="p"/>
              </m:rPr>
              <m:t>a</m:t>
            </m:r>
            <m:r>
              <m:rPr>
                <m:sty m:val="p"/>
              </m:rPr>
              <m:t>p</m:t>
            </m:r>
          </m:sup>
        </m:sSup>
      </m:oMath>
      <w:r>
        <w:t xml:space="preserve">의 평균 손실</w:t>
      </w:r>
      <w:r>
        <w:t xml:space="preserve"> </w:t>
      </w:r>
      <m:oMath>
        <m:r>
          <m:t>Δ</m:t>
        </m:r>
        <m:r>
          <m:t>=</m:t>
        </m:r>
        <m:r>
          <m:t>−</m:t>
        </m:r>
        <m:r>
          <m:t>0.214</m:t>
        </m:r>
      </m:oMath>
      <w:r>
        <w:t xml:space="preserve">는 2011년 8월 미국 국가신용등급 강등 사태를 포함한 소수의 이례적 이벤트 발생 월에 손실이 집중된 결과이다. 이러한 충격은 대형주 비중 집중이 강한</w:t>
      </w:r>
      <w:r>
        <w:t xml:space="preserve"> </w:t>
      </w:r>
      <m:oMath>
        <m:sSup>
          <m:e>
            <m:r>
              <m:rPr>
                <m:sty m:val="b"/>
              </m:rPr>
              <m:t>p</m:t>
            </m:r>
          </m:e>
          <m:sup>
            <m:r>
              <m:rPr>
                <m:sty m:val="p"/>
              </m:rPr>
              <m:t>m</m:t>
            </m:r>
            <m:r>
              <m:rPr>
                <m:sty m:val="p"/>
              </m:rPr>
              <m:t>c</m:t>
            </m:r>
            <m:r>
              <m:rPr>
                <m:sty m:val="p"/>
              </m:rPr>
              <m:t>a</m:t>
            </m:r>
            <m:r>
              <m:rPr>
                <m:sty m:val="p"/>
              </m:rPr>
              <m:t>p</m:t>
            </m:r>
          </m:sup>
        </m:sSup>
      </m:oMath>
      <w:r>
        <w:t xml:space="preserve"> </w:t>
      </w:r>
      <w:r>
        <w:t xml:space="preserve">구조 하에서 증폭되어 나타났다. 반면,</w:t>
      </w:r>
      <w:r>
        <w:t xml:space="preserve"> </w:t>
      </w:r>
      <m:oMath>
        <m:sSup>
          <m:e>
            <m:r>
              <m:rPr>
                <m:sty m:val="b"/>
              </m:rPr>
              <m:t>p</m:t>
            </m:r>
          </m:e>
          <m:sup>
            <m:r>
              <m:rPr>
                <m:sty m:val="p"/>
              </m:rPr>
              <m:t>e</m:t>
            </m:r>
            <m:r>
              <m:rPr>
                <m:sty m:val="p"/>
              </m:rPr>
              <m:t>q</m:t>
            </m:r>
          </m:sup>
        </m:sSup>
      </m:oMath>
      <w:r>
        <w:t xml:space="preserve"> </w:t>
      </w:r>
      <w:r>
        <w:t xml:space="preserve">방식에서는 균등 배분 효과를 통해 특정 종목의 충격이 포트폴리오 전체로 전이되는 영향이 축소되어 평균 손실이</w:t>
      </w:r>
      <w:r>
        <w:t xml:space="preserve"> </w:t>
      </w:r>
      <m:oMath>
        <m:r>
          <m:t>−</m:t>
        </m:r>
        <m:r>
          <m:t>0.046</m:t>
        </m:r>
      </m:oMath>
      <w:r>
        <w:t xml:space="preserve"> </w:t>
      </w:r>
      <w:r>
        <w:t xml:space="preserve">수준으로 통제된다. 즉,</w:t>
      </w:r>
      <w:r>
        <w:t xml:space="preserve"> </w:t>
      </w:r>
      <m:oMath>
        <m:sSup>
          <m:e>
            <m:r>
              <m:rPr>
                <m:sty m:val="b"/>
              </m:rPr>
              <m:t>p</m:t>
            </m:r>
          </m:e>
          <m:sup>
            <m:r>
              <m:rPr>
                <m:sty m:val="p"/>
              </m:rPr>
              <m:t>e</m:t>
            </m:r>
            <m:r>
              <m:rPr>
                <m:sty m:val="p"/>
              </m:rPr>
              <m:t>q</m:t>
            </m:r>
          </m:sup>
        </m:sSup>
      </m:oMath>
      <w:r>
        <w:t xml:space="preserve"> </w:t>
      </w:r>
      <w:r>
        <w:t xml:space="preserve">가중은 회복기 우위 빈도 면에서는</w:t>
      </w:r>
      <w:r>
        <w:t xml:space="preserve"> </w:t>
      </w:r>
      <m:oMath>
        <m:sSup>
          <m:e>
            <m:r>
              <m:rPr>
                <m:sty m:val="b"/>
              </m:rPr>
              <m:t>p</m:t>
            </m:r>
          </m:e>
          <m:sup>
            <m:r>
              <m:rPr>
                <m:sty m:val="p"/>
              </m:rPr>
              <m:t>m</m:t>
            </m:r>
            <m:r>
              <m:rPr>
                <m:sty m:val="p"/>
              </m:rPr>
              <m:t>c</m:t>
            </m:r>
            <m:r>
              <m:rPr>
                <m:sty m:val="p"/>
              </m:rPr>
              <m:t>a</m:t>
            </m:r>
            <m:r>
              <m:rPr>
                <m:sty m:val="p"/>
              </m:rPr>
              <m:t>p</m:t>
            </m:r>
          </m:sup>
        </m:sSup>
      </m:oMath>
      <w:r>
        <w:t xml:space="preserve">과 유사하나,</w:t>
      </w:r>
      <w:r>
        <w:t xml:space="preserve"> </w:t>
      </w:r>
      <m:oMath>
        <m:sSup>
          <m:e>
            <m:r>
              <m:rPr>
                <m:sty m:val="b"/>
              </m:rPr>
              <m:t>p</m:t>
            </m:r>
          </m:e>
          <m:sup>
            <m:r>
              <m:rPr>
                <m:sty m:val="p"/>
              </m:rPr>
              <m:t>m</m:t>
            </m:r>
            <m:r>
              <m:rPr>
                <m:sty m:val="p"/>
              </m:rPr>
              <m:t>c</m:t>
            </m:r>
            <m:r>
              <m:rPr>
                <m:sty m:val="p"/>
              </m:rPr>
              <m:t>a</m:t>
            </m:r>
            <m:r>
              <m:rPr>
                <m:sty m:val="p"/>
              </m:rPr>
              <m:t>p</m:t>
            </m:r>
          </m:sup>
        </m:sSup>
      </m:oMath>
      <w:r>
        <w:t xml:space="preserve">의 대형주 비중 집중이 야기하는 대규모 손실 위험을 효과적으로 완화한다. 자세한 분석은 부록 C 에서 확인할 수 있다.</w:t>
      </w:r>
    </w:p>
    <w:p>
      <w:pPr/>
      <w:r>
        <w:t xml:space="preserve">그림 6의</w:t>
      </w:r>
      <w:r>
        <w:t xml:space="preserve"> </w:t>
      </w:r>
      <m:oMath>
        <m:r>
          <m:t>q</m:t>
        </m:r>
      </m:oMath>
      <w:r>
        <w:t xml:space="preserve"> </w:t>
      </w:r>
      <w:r>
        <w:t xml:space="preserve">차원을 보면, R3(위기) 구간에서</w:t>
      </w:r>
      <w:r>
        <w:t xml:space="preserve"> </w:t>
      </w:r>
      <m:oMath>
        <m:sSup>
          <m:e>
            <m:r>
              <m:t>q</m:t>
            </m:r>
          </m:e>
          <m:sup>
            <m:r>
              <m:rPr>
                <m:sty m:val="p"/>
              </m:rPr>
              <m:t>l</m:t>
            </m:r>
            <m:r>
              <m:rPr>
                <m:sty m:val="p"/>
              </m:rPr>
              <m:t>a</m:t>
            </m:r>
            <m:r>
              <m:rPr>
                <m:sty m:val="p"/>
              </m:rPr>
              <m:t>m</m:t>
            </m:r>
          </m:sup>
        </m:sSup>
      </m:oMath>
      <w:r>
        <w:t xml:space="preserve">과</w:t>
      </w:r>
      <w:r>
        <w:t xml:space="preserve"> </w:t>
      </w:r>
      <m:oMath>
        <m:sSup>
          <m:e>
            <m:r>
              <m:t>q</m:t>
            </m:r>
          </m:e>
          <m:sup>
            <m:r>
              <m:rPr>
                <m:sty m:val="p"/>
              </m:rPr>
              <m:t>r</m:t>
            </m:r>
            <m:r>
              <m:rPr>
                <m:sty m:val="p"/>
              </m:rPr>
              <m:t>a</m:t>
            </m:r>
            <m:r>
              <m:rPr>
                <m:sty m:val="p"/>
              </m:rPr>
              <m:t>w</m:t>
            </m:r>
          </m:sup>
        </m:sSup>
      </m:oMath>
      <w:r>
        <w:t xml:space="preserve">처럼</w:t>
      </w:r>
      <w:r>
        <w:t xml:space="preserve"> </w:t>
      </w:r>
      <m:oMath>
        <m:r>
          <m:t>q</m:t>
        </m:r>
        <m:r>
          <m:t>≥</m:t>
        </m:r>
        <m:r>
          <m:t>0</m:t>
        </m:r>
      </m:oMath>
      <w:r>
        <w:t xml:space="preserve">이 보장되어 저변동성 종목의 비중을 일관되게 확대하는 방식이 두 모형 간의 샤프 비율 차이를 가장 크게 만든다.</w:t>
      </w:r>
      <w:r>
        <w:t xml:space="preserve"> </w:t>
      </w:r>
      <w:r>
        <w:t xml:space="preserve">반면 부호 제약이 없는</w:t>
      </w:r>
      <w:r>
        <w:t xml:space="preserve"> </w:t>
      </w:r>
      <m:oMath>
        <m:sSup>
          <m:e>
            <m:r>
              <m:t>q</m:t>
            </m:r>
          </m:e>
          <m:sup>
            <m:r>
              <m:rPr>
                <m:sty m:val="p"/>
              </m:rPr>
              <m:t>f</m:t>
            </m:r>
            <m:r>
              <m:rPr>
                <m:sty m:val="p"/>
              </m:rPr>
              <m:t>f</m:t>
            </m:r>
            <m:r>
              <m:rPr>
                <m:sty m:val="p"/>
              </m:rPr>
              <m:t>3</m:t>
            </m:r>
          </m:sup>
        </m:sSup>
      </m:oMath>
      <w:r>
        <w:t xml:space="preserve">의 주변 분포는 R3 구간에서</w:t>
      </w:r>
      <w:r>
        <w:t xml:space="preserve"> </w:t>
      </w:r>
      <m:oMath>
        <m:r>
          <m:t>Δ</m:t>
        </m:r>
        <m:r>
          <m:t>=</m:t>
        </m:r>
        <m:r>
          <m:t>−</m:t>
        </m:r>
        <m:r>
          <m:t>0.014</m:t>
        </m:r>
      </m:oMath>
      <w:r>
        <w:t xml:space="preserve">를 기록하여 사실상 ANN 모형과 동등 수준에 머무른다. 이 경우 다른 네 가지</w:t>
      </w:r>
      <w:r>
        <w:t xml:space="preserve"> </w:t>
      </w:r>
      <m:oMath>
        <m:r>
          <m:t>q</m:t>
        </m:r>
      </m:oMath>
      <w:r>
        <w:t xml:space="preserve"> </w:t>
      </w:r>
      <w:r>
        <w:t xml:space="preserve">슬롯 대비 앙상블 모형의 우위는 거의 소멸한다. 단일 슬롯 기준 (4.2절, 표 3)에서 관찰되었던 R3 구간의 ANN 우위(</w:t>
      </w:r>
      <m:oMath>
        <m:r>
          <m:t>Δ</m:t>
        </m:r>
        <m:r>
          <m:t>=</m:t>
        </m:r>
        <m:r>
          <m:t>−</m:t>
        </m:r>
        <m:r>
          <m:t>0.148</m:t>
        </m:r>
      </m:oMath>
      <w:r>
        <w:t xml:space="preserve">)가 평균값에서는 일부 희석되나, 다른</w:t>
      </w:r>
      <w:r>
        <w:t xml:space="preserve"> </w:t>
      </w:r>
      <m:oMath>
        <m:r>
          <m:t>q</m:t>
        </m:r>
      </m:oMath>
      <w:r>
        <w:t xml:space="preserve"> </w:t>
      </w:r>
      <w:r>
        <w:t xml:space="preserve">슬롯 대비 상대적 약세는 일관되게 유지된다. 이는 앙상블 모형이 식별한 저변동성 종목의 순위 정보가</w:t>
      </w:r>
      <w:r>
        <w:t xml:space="preserve"> </w:t>
      </w:r>
      <m:oMath>
        <m:r>
          <m:t>q</m:t>
        </m:r>
      </m:oMath>
      <w:r>
        <w:t xml:space="preserve">의 부호가 음수로 반전되지 않는 조건에서 포트폴리오 가중치로 보다 효과적으로 보존됨을 시사한다.</w:t>
      </w:r>
    </w:p>
    <w:p>
      <w:pPr/>
      <w:r>
        <w:t xml:space="preserve">본 절에서 확인한 슬롯 구성이 단순 벤치마크 대비 실제로 의미 있는 성과를 갖는지는 4.4절에서 확인한다.</w:t>
      </w:r>
    </w:p>
    <w:p>
      <w:pPr>
        <w:keepNext/>
        <w:jc w:val="center"/>
        <w:spacing w:after="40"/>
      </w:pPr>
      <w:r>
        <w:rPr>
          <w:rFonts w:ascii="Times New Roman" w:hAnsi="Times New Roman" w:eastAsia="바탕"/>
          <w:sz w:val="20"/>
          <w:szCs w:val="20"/>
        </w:rPr>
        <w:t xml:space="preserve">&lt;표 5&gt; p 벡터 변경에 따른 앙상블 우위 슬롯 수 (15 슬롯 중 Δ &gt; 0인 슬롯, ω^err 고정).</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blGrid>
        <w:gridCol w:w="1549"/>
        <w:gridCol w:w="1549"/>
        <w:gridCol w:w="1549"/>
        <w:gridCol w:w="1549"/>
        <w:gridCol w:w="1549"/>
        <w:gridCol w:w="1549"/>
      </w:tblGrid>
      <w:tr>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p</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All</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R1</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R2</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R3</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pStyle w:val="a8"/>
              <w:jc w:val="center"/>
              <w:spacing w:after="0" w:line="240" w:lineRule="auto"/>
            </w:pPr>
            <w:r>
              <w:rPr>
                <w:b/>
                <w:rFonts w:ascii="Times New Roman" w:hAnsi="Times New Roman" w:eastAsia="바탕"/>
                <w:sz w:val="15"/>
                <w:szCs w:val="15"/>
              </w:rPr>
              <w:t xml:space="preserve">p</w:t>
            </w:r>
            <w:r>
              <w:rPr>
                <w:rFonts w:ascii="Times New Roman" w:hAnsi="Times New Roman" w:eastAsia="바탕"/>
                <w:sz w:val="15"/>
                <w:szCs w:val="15"/>
                <w:vertAlign w:val="superscript"/>
              </w:rPr>
              <w:t xml:space="preserve">mcap</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5/15</w:t>
            </w:r>
          </w:p>
        </w:tc>
        <w:tc>
          <w:tcPr>
            <w:shd w:val="clear" w:color="auto" w:fill="F8CECC"/>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0/15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5/15</w:t>
            </w:r>
          </w:p>
        </w:tc>
        <w:tc>
          <w:tcPr>
            <w:shd w:val="clear" w:color="auto" w:fill="D5E8D4"/>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12/15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7/15</w:t>
            </w:r>
          </w:p>
        </w:tc>
      </w:tr>
      <w:tr>
        <w:tc>
          <w:tcPr>
            <w:tcMar>
              <w:top w:w="15"/>
              <w:bottom w:w="15"/>
              <w:left w:w="36"/>
              <w:right w:w="36"/>
            </w:tcMar>
            <w:vAlign w:val="center"/>
          </w:tcPr>
          <w:p>
            <w:pPr>
              <w:pStyle w:val="a8"/>
              <w:jc w:val="center"/>
              <w:spacing w:after="0" w:line="240" w:lineRule="auto"/>
            </w:pPr>
            <w:r>
              <w:rPr>
                <w:b/>
                <w:rFonts w:ascii="Times New Roman" w:hAnsi="Times New Roman" w:eastAsia="바탕"/>
                <w:sz w:val="15"/>
                <w:szCs w:val="15"/>
              </w:rPr>
              <w:t xml:space="preserve">p</w:t>
            </w:r>
            <w:r>
              <w:rPr>
                <w:rFonts w:ascii="Times New Roman" w:hAnsi="Times New Roman" w:eastAsia="바탕"/>
                <w:sz w:val="15"/>
                <w:szCs w:val="15"/>
                <w:vertAlign w:val="superscript"/>
              </w:rPr>
              <w:t xml:space="preserve">eq</w:t>
            </w:r>
          </w:p>
        </w:tc>
        <w:tc>
          <w:tcPr>
            <w:shd w:val="clear" w:color="auto" w:fill="D5E8D4"/>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15/15</w:t>
            </w:r>
          </w:p>
        </w:tc>
        <w:tc>
          <w:tcPr>
            <w:shd w:val="clear" w:color="auto" w:fill="F8CECC"/>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1/15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5/15</w:t>
            </w:r>
          </w:p>
        </w:tc>
        <w:tc>
          <w:tcPr>
            <w:shd w:val="clear" w:color="auto" w:fill="D5E8D4"/>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15/15</w:t>
            </w:r>
          </w:p>
        </w:tc>
        <w:tc>
          <w:tcPr>
            <w:shd w:val="clear" w:color="auto" w:fill="D5E8D4"/>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15/15</w:t>
            </w:r>
          </w:p>
        </w:tc>
      </w:tr>
      <w:tr>
        <w:tc>
          <w:tcPr>
            <w:tcBorders>
              <w:bottom w:val="single" w:sz="12" w:space="0" w:color="auto"/>
            </w:tcBorders>
            <w:tcMar>
              <w:top w:w="15"/>
              <w:bottom w:w="15"/>
              <w:left w:w="36"/>
              <w:right w:w="36"/>
            </w:tcMar>
            <w:vAlign w:val="center"/>
          </w:tcPr>
          <w:p>
            <w:pPr>
              <w:pStyle w:val="a8"/>
              <w:jc w:val="center"/>
              <w:spacing w:after="0" w:line="240" w:lineRule="auto"/>
            </w:pPr>
            <w:r>
              <w:rPr>
                <w:b/>
                <w:rFonts w:ascii="Times New Roman" w:hAnsi="Times New Roman" w:eastAsia="바탕"/>
                <w:sz w:val="15"/>
                <w:szCs w:val="15"/>
              </w:rPr>
              <w:t xml:space="preserve">p</w:t>
            </w:r>
            <w:r>
              <w:rPr>
                <w:rFonts w:ascii="Times New Roman" w:hAnsi="Times New Roman" w:eastAsia="바탕"/>
                <w:sz w:val="15"/>
                <w:szCs w:val="15"/>
                <w:vertAlign w:val="superscript"/>
              </w:rPr>
              <w:t xml:space="preserve">rp</w:t>
            </w:r>
          </w:p>
        </w:tc>
        <w:tc>
          <w:tcPr>
            <w:tcBorders>
              <w:bottom w:val="single" w:sz="12" w:space="0" w:color="auto"/>
            </w:tcBorders>
            <w:shd w:val="clear" w:color="auto" w:fill="D5E8D4"/>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15/15</w:t>
            </w:r>
          </w:p>
        </w:tc>
        <w:tc>
          <w:tcPr>
            <w:tcBorders>
              <w:bottom w:val="single" w:sz="12" w:space="0" w:color="auto"/>
            </w:tcBorders>
            <w:shd w:val="clear" w:color="auto" w:fill="D5E8D4"/>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14/15</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9/15</w:t>
            </w:r>
          </w:p>
        </w:tc>
        <w:tc>
          <w:tcPr>
            <w:tcBorders>
              <w:bottom w:val="single" w:sz="12" w:space="0" w:color="auto"/>
            </w:tcBorders>
            <w:shd w:val="clear" w:color="auto" w:fill="D5E8D4"/>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15/15</w:t>
            </w:r>
          </w:p>
        </w:tc>
        <w:tc>
          <w:tcPr>
            <w:tcBorders>
              <w:bottom w:val="single" w:sz="12" w:space="0" w:color="auto"/>
            </w:tcBorders>
            <w:shd w:val="clear" w:color="auto" w:fill="D5E8D4"/>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15/15</w:t>
            </w:r>
          </w:p>
        </w:tc>
      </w:tr>
    </w:tbl>
    <w:p>
      <w:pPr>
        <w:pStyle w:val="2"/>
      </w:pPr>
      <w:bookmarkStart w:id="63" w:name="subsec:benchmark"/>
      <w:r>
        <w:t xml:space="preserve">벤치마크 성능 비교</w:t>
      </w:r>
      <w:bookmarkEnd w:id="63"/>
    </w:p>
    <w:p>
      <w:pPr/>
      <w:r>
        <w:t xml:space="preserve">본 절은 4.2–4.3절에서 확인한 변동성 예측 향상 및 슬롯 설계 효과가 표준 벤치마크 대비 실증 우위로 이어지는지 검증한다. 비교 대상은 세 외부 벤치마크(SPY,</w:t>
      </w:r>
      <w:r>
        <w:t xml:space="preserve"> </w:t>
      </w:r>
      <m:oMath>
        <m:r>
          <m:t>1</m:t>
        </m:r>
        <m:r>
          <m:t>/</m:t>
        </m:r>
        <m:r>
          <m:t>N</m:t>
        </m:r>
      </m:oMath>
      <w:r>
        <w:t xml:space="preserve"> </w:t>
      </w:r>
      <w:r>
        <w:t xml:space="preserve">동일 가중, Risk Parity) 와 Pyo and Lee (2018)의 ANN 앵커 슬롯(ANN-anchor:</w:t>
      </w:r>
      <w:r>
        <w:t xml:space="preserve"> </w:t>
      </w:r>
      <m:oMath>
        <m:sSup>
          <m:e>
            <m:r>
              <m:rPr>
                <m:sty m:val="b"/>
              </m:rPr>
              <m:t>w</m:t>
            </m:r>
          </m:e>
          <m:sup>
            <m:r>
              <m:rPr>
                <m:sty m:val="p"/>
              </m:rPr>
              <m:t>m</m:t>
            </m:r>
            <m:r>
              <m:rPr>
                <m:sty m:val="p"/>
              </m:rPr>
              <m:t>c</m:t>
            </m:r>
            <m:r>
              <m:rPr>
                <m:sty m:val="p"/>
              </m:rPr>
              <m:t>a</m:t>
            </m:r>
            <m:r>
              <m:rPr>
                <m:sty m:val="p"/>
              </m:rPr>
              <m:t>p</m:t>
            </m:r>
          </m:sup>
        </m:sSup>
      </m:oMath>
      <w:r>
        <w:t xml:space="preserve">,</w:t>
      </w:r>
      <w:r>
        <w:t xml:space="preserve"> </w:t>
      </w:r>
      <m:oMath>
        <m:sSup>
          <m:e>
            <m:r>
              <m:rPr>
                <m:sty m:val="b"/>
              </m:rPr>
              <m:t>p</m:t>
            </m:r>
          </m:e>
          <m:sup>
            <m:r>
              <m:rPr>
                <m:sty m:val="p"/>
              </m:rPr>
              <m:t>m</m:t>
            </m:r>
            <m:r>
              <m:rPr>
                <m:sty m:val="p"/>
              </m:rPr>
              <m:t>c</m:t>
            </m:r>
            <m:r>
              <m:rPr>
                <m:sty m:val="p"/>
              </m:rPr>
              <m:t>a</m:t>
            </m:r>
            <m:r>
              <m:rPr>
                <m:sty m:val="p"/>
              </m:rPr>
              <m:t>p</m:t>
            </m:r>
          </m:sup>
        </m:sSup>
      </m:oMath>
      <w:r>
        <w:t xml:space="preserve">,</w:t>
      </w:r>
      <w:r>
        <w:t xml:space="preserve"> </w:t>
      </w:r>
      <m:oMath>
        <m:sSup>
          <m:e>
            <m:r>
              <m:t>q</m:t>
            </m:r>
          </m:e>
          <m:sup>
            <m:r>
              <m:rPr>
                <m:sty m:val="p"/>
              </m:rPr>
              <m:t>f</m:t>
            </m:r>
            <m:r>
              <m:rPr>
                <m:sty m:val="p"/>
              </m:rPr>
              <m:t>f</m:t>
            </m:r>
            <m:r>
              <m:rPr>
                <m:sty m:val="p"/>
              </m:rPr>
              <m:t>3</m:t>
            </m:r>
          </m:sup>
        </m:sSup>
      </m:oMath>
      <w:r>
        <w:t xml:space="preserve">,</w:t>
      </w:r>
      <w:r>
        <w:t xml:space="preserve"> </w:t>
      </w:r>
      <m:oMath>
        <m:sSup>
          <m:e>
            <m:r>
              <m:t>ω</m:t>
            </m:r>
          </m:e>
          <m:sup>
            <m:r>
              <m:rPr>
                <m:sty m:val="p"/>
              </m:rPr>
              <m:t>e</m:t>
            </m:r>
            <m:r>
              <m:rPr>
                <m:sty m:val="p"/>
              </m:rPr>
              <m:t>r</m:t>
            </m:r>
            <m:r>
              <m:rPr>
                <m:sty m:val="p"/>
              </m:rPr>
              <m:t>r</m:t>
            </m:r>
          </m:sup>
        </m:sSup>
      </m:oMath>
      <w:r>
        <w:t xml:space="preserve">), 변동성 예측 모형만 앙상블로 교체한 앵커 슬롯(Ensemble-anchor), 그리고 본 연구의 두 옵션(Ensemble-defensive와 Ensemble-adaptive, 각 옵션마다</w:t>
      </w:r>
      <w:r>
        <w:t xml:space="preserve"> </w:t>
      </w:r>
      <m:oMath>
        <m:sSup>
          <m:e>
            <m:r>
              <m:rPr>
                <m:sty m:val="b"/>
              </m:rPr>
              <m:t>p</m:t>
            </m:r>
          </m:e>
          <m:sup>
            <m:r>
              <m:rPr>
                <m:sty m:val="p"/>
              </m:rPr>
              <m:t>e</m:t>
            </m:r>
            <m:r>
              <m:rPr>
                <m:sty m:val="p"/>
              </m:rPr>
              <m:t>q</m:t>
            </m:r>
          </m:sup>
        </m:sSup>
        <m:r>
          <m:t>,</m:t>
        </m:r>
        <m:sSup>
          <m:e>
            <m:r>
              <m:rPr>
                <m:sty m:val="b"/>
              </m:rPr>
              <m:t>p</m:t>
            </m:r>
          </m:e>
          <m:sup>
            <m:r>
              <m:rPr>
                <m:sty m:val="p"/>
              </m:rPr>
              <m:t>r</m:t>
            </m:r>
            <m:r>
              <m:rPr>
                <m:sty m:val="p"/>
              </m:rPr>
              <m:t>p</m:t>
            </m:r>
          </m:sup>
        </m:sSup>
      </m:oMath>
      <w:r>
        <w:t xml:space="preserve"> </w:t>
      </w:r>
      <w:r>
        <w:t xml:space="preserve">두 변형 — 총 4 슬롯)이다.</w:t>
      </w:r>
    </w:p>
    <w:p>
      <w:pPr/>
      <w:r>
        <w:t xml:space="preserve">본 연구는 특정 단일 슬롯만을 최적 모형으로 권장하지 않으며, 운용 목표에 따라 선택 가능한 두 가지 옵션을 제안한다. 모든 시장 국면에서 저변동 뷰를 일관되게 유지하는 방어형 옵션(Ensemble-defensive,</w:t>
      </w:r>
      <w:r>
        <w:t xml:space="preserve"> </w:t>
      </w:r>
      <m:oMath>
        <m:sSup>
          <m:e>
            <m:r>
              <m:t>q</m:t>
            </m:r>
          </m:e>
          <m:sup>
            <m:r>
              <m:rPr>
                <m:sty m:val="p"/>
              </m:rPr>
              <m:t>l</m:t>
            </m:r>
            <m:r>
              <m:rPr>
                <m:sty m:val="p"/>
              </m:rPr>
              <m:t>a</m:t>
            </m:r>
            <m:r>
              <m:rPr>
                <m:sty m:val="p"/>
              </m:rPr>
              <m:t>m</m:t>
            </m:r>
          </m:sup>
        </m:sSup>
      </m:oMath>
      <w:r>
        <w:t xml:space="preserve">)과,</w:t>
      </w:r>
      <w:r>
        <w:t xml:space="preserve"> </w:t>
      </w:r>
      <m:oMath>
        <m:sSup>
          <m:e>
            <m:r>
              <m:t>q</m:t>
            </m:r>
          </m:e>
          <m:sup>
            <m:r>
              <m:rPr>
                <m:sty m:val="p"/>
              </m:rPr>
              <m:t>f</m:t>
            </m:r>
            <m:r>
              <m:rPr>
                <m:sty m:val="p"/>
              </m:rPr>
              <m:t>f</m:t>
            </m:r>
            <m:r>
              <m:rPr>
                <m:sty m:val="p"/>
              </m:rPr>
              <m:t>3</m:t>
            </m:r>
          </m:sup>
        </m:sSup>
      </m:oMath>
      <w:r>
        <w:t xml:space="preserve">의 크기와 부호가 시장 국면에 따라 변동하는 국면 적응형 옵션(Ensemble-adaptive,</w:t>
      </w:r>
      <w:r>
        <w:t xml:space="preserve"> </w:t>
      </w:r>
      <m:oMath>
        <m:sSup>
          <m:e>
            <m:r>
              <m:t>q</m:t>
            </m:r>
          </m:e>
          <m:sup>
            <m:r>
              <m:rPr>
                <m:sty m:val="p"/>
              </m:rPr>
              <m:t>f</m:t>
            </m:r>
            <m:r>
              <m:rPr>
                <m:sty m:val="p"/>
              </m:rPr>
              <m:t>f</m:t>
            </m:r>
            <m:r>
              <m:rPr>
                <m:sty m:val="p"/>
              </m:rPr>
              <m:t>3</m:t>
            </m:r>
          </m:sup>
        </m:sSup>
      </m:oMath>
      <w:r>
        <w:t xml:space="preserve">)이다. 각 옵션은</w:t>
      </w:r>
      <w:r>
        <w:t xml:space="preserve"> </w:t>
      </w:r>
      <m:oMath>
        <m:sSup>
          <m:e>
            <m:r>
              <m:rPr>
                <m:sty m:val="b"/>
              </m:rPr>
              <m:t>p</m:t>
            </m:r>
          </m:e>
          <m:sup>
            <m:r>
              <m:rPr>
                <m:sty m:val="p"/>
              </m:rPr>
              <m:t>e</m:t>
            </m:r>
            <m:r>
              <m:rPr>
                <m:sty m:val="p"/>
              </m:rPr>
              <m:t>q</m:t>
            </m:r>
          </m:sup>
        </m:sSup>
      </m:oMath>
      <w:r>
        <w:t xml:space="preserve"> </w:t>
      </w:r>
      <w:r>
        <w:t xml:space="preserve">또는</w:t>
      </w:r>
      <w:r>
        <w:t xml:space="preserve"> </w:t>
      </w:r>
      <m:oMath>
        <m:sSup>
          <m:e>
            <m:r>
              <m:rPr>
                <m:sty m:val="b"/>
              </m:rPr>
              <m:t>p</m:t>
            </m:r>
          </m:e>
          <m:sup>
            <m:r>
              <m:rPr>
                <m:sty m:val="p"/>
              </m:rPr>
              <m:t>r</m:t>
            </m:r>
            <m:r>
              <m:rPr>
                <m:sty m:val="p"/>
              </m:rPr>
              <m:t>p</m:t>
            </m:r>
          </m:sup>
        </m:sSup>
      </m:oMath>
      <w:r>
        <w:t xml:space="preserve"> </w:t>
      </w:r>
      <w:r>
        <w:t xml:space="preserve">두 변형으로 운용할 수 있으며, 두 변형은 후술하듯 거의 동등한 성과를 보인다.</w:t>
      </w:r>
    </w:p>
    <w:p>
      <w:pPr>
        <w:keepNext/>
        <w:jc w:val="center"/>
        <w:spacing w:after="40"/>
      </w:pPr>
      <w:r>
        <w:rPr>
          <w:rFonts w:ascii="Times New Roman" w:hAnsi="Times New Roman" w:eastAsia="바탕"/>
          <w:sz w:val="20"/>
          <w:szCs w:val="20"/>
        </w:rPr>
        <w:t xml:space="preserve">&lt;표 6&gt; 벤치마크 성능 비교 — 샤프 비율 × 5 기간. Ensemble 슬롯은 모두 w_mkt = w^mcap 고정, p^eq와 p^rp 두 변형을 비교한다. MDD, Sortino 등 보조 지표는 부록 E 참조.</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blGrid>
        <w:gridCol w:w="1549"/>
        <w:gridCol w:w="1549"/>
        <w:gridCol w:w="1549"/>
        <w:gridCol w:w="1549"/>
        <w:gridCol w:w="1549"/>
        <w:gridCol w:w="1549"/>
      </w:tblGrid>
      <w:tr>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Strategy</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All</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R1</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R2</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R3</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SPY (market)</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0.93</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0.81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1.23</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0.61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1.19</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1/N (equal-weight)</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0.86</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0.78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1.23</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0.70</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0.47</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Risk Parity (1/σ)</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0.89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0.91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0.67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0.45</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ANN-anchor (Pyo &amp; Lee, 2018)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0.95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1.06</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1.08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0.85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0.71</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Ensemble-anchor (σ 모형 교체)</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0.95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0.74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0.70</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0.94</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Ensemble-defensive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eq</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lam</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1.07</w:t>
            </w:r>
          </w:p>
        </w:tc>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1.08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1.32</w:t>
            </w:r>
          </w:p>
        </w:tc>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0.96</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0.64</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Ensemble-defensive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rp</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lam</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1.04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0.98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0.95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0.71</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Ensemble-adaptive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eq</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ff3</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1.10</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0.87</w:t>
            </w:r>
          </w:p>
        </w:tc>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1.42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0.89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1.07</w:t>
            </w:r>
          </w:p>
        </w:tc>
      </w:tr>
      <w:tr>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Ensemble-adaptive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rp</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ff3</w:t>
            </w:r>
            <w:r>
              <w:rPr>
                <w:rFonts w:ascii="Times New Roman" w:hAnsi="Times New Roman" w:eastAsia="바탕"/>
                <w:b/>
                <w:sz w:val="15"/>
                <w:szCs w:val="15"/>
              </w:rPr>
              <w:t xml:space="preserve">)</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1.05</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0.81</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1.34</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0.87</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1.10</w:t>
            </w:r>
          </w:p>
        </w:tc>
      </w:tr>
    </w:tbl>
    <w:p>
      <w:pPr/>
      <w:r>
        <w:t xml:space="preserve">표 6에서 네 가지 앙상블 슬롯은 모두 외부 벤치마크와 BL 앵커 슬롯의 성과를 상회한다. 전체 분석 기간의 샤프 비율은 Ensemble-defensive가</w:t>
      </w:r>
      <w:r>
        <w:t xml:space="preserve"> </w:t>
      </w:r>
      <m:oMath>
        <m:sSup>
          <m:e>
            <m:r>
              <m:rPr>
                <m:sty m:val="b"/>
              </m:rPr>
              <m:t>p</m:t>
            </m:r>
          </m:e>
          <m:sup>
            <m:r>
              <m:rPr>
                <m:sty m:val="p"/>
              </m:rPr>
              <m:t>e</m:t>
            </m:r>
            <m:r>
              <m:rPr>
                <m:sty m:val="p"/>
              </m:rPr>
              <m:t>q</m:t>
            </m:r>
          </m:sup>
        </m:sSup>
      </m:oMath>
      <w:r>
        <w:t xml:space="preserve"> </w:t>
      </w:r>
      <w:r>
        <w:t xml:space="preserve">1.07,</w:t>
      </w:r>
      <w:r>
        <w:t xml:space="preserve"> </w:t>
      </w:r>
      <m:oMath>
        <m:sSup>
          <m:e>
            <m:r>
              <m:rPr>
                <m:sty m:val="b"/>
              </m:rPr>
              <m:t>p</m:t>
            </m:r>
          </m:e>
          <m:sup>
            <m:r>
              <m:rPr>
                <m:sty m:val="p"/>
              </m:rPr>
              <m:t>r</m:t>
            </m:r>
            <m:r>
              <m:rPr>
                <m:sty m:val="p"/>
              </m:rPr>
              <m:t>p</m:t>
            </m:r>
          </m:sup>
        </m:sSup>
      </m:oMath>
      <w:r>
        <w:t xml:space="preserve"> </w:t>
      </w:r>
      <w:r>
        <w:t xml:space="preserve">1.04를 기록하였고, Ensemble-adaptive가</w:t>
      </w:r>
      <w:r>
        <w:t xml:space="preserve"> </w:t>
      </w:r>
      <m:oMath>
        <m:sSup>
          <m:e>
            <m:r>
              <m:rPr>
                <m:sty m:val="b"/>
              </m:rPr>
              <m:t>p</m:t>
            </m:r>
          </m:e>
          <m:sup>
            <m:r>
              <m:rPr>
                <m:sty m:val="p"/>
              </m:rPr>
              <m:t>e</m:t>
            </m:r>
            <m:r>
              <m:rPr>
                <m:sty m:val="p"/>
              </m:rPr>
              <m:t>q</m:t>
            </m:r>
          </m:sup>
        </m:sSup>
      </m:oMath>
      <w:r>
        <w:t xml:space="preserve"> </w:t>
      </w:r>
      <w:r>
        <w:t xml:space="preserve">1.10,</w:t>
      </w:r>
      <w:r>
        <w:t xml:space="preserve"> </w:t>
      </w:r>
      <m:oMath>
        <m:sSup>
          <m:e>
            <m:r>
              <m:rPr>
                <m:sty m:val="b"/>
              </m:rPr>
              <m:t>p</m:t>
            </m:r>
          </m:e>
          <m:sup>
            <m:r>
              <m:rPr>
                <m:sty m:val="p"/>
              </m:rPr>
              <m:t>r</m:t>
            </m:r>
            <m:r>
              <m:rPr>
                <m:sty m:val="p"/>
              </m:rPr>
              <m:t>p</m:t>
            </m:r>
          </m:sup>
        </m:sSup>
      </m:oMath>
      <w:r>
        <w:t xml:space="preserve"> </w:t>
      </w:r>
      <w:r>
        <w:t xml:space="preserve">1.05를 나타냈다. 이는</w:t>
      </w:r>
      <w:r>
        <w:t xml:space="preserve"> </w:t>
      </w:r>
      <m:oMath>
        <m:r>
          <m:rPr>
            <m:sty m:val="b"/>
          </m:rPr>
          <m:t>p</m:t>
        </m:r>
      </m:oMath>
      <w:r>
        <w:t xml:space="preserve"> </w:t>
      </w:r>
      <w:r>
        <w:t xml:space="preserve">벡터 변형 선택과 무관하게 전통적 벤치마크인 SPY(0.93),</w:t>
      </w:r>
      <w:r>
        <w:t xml:space="preserve"> </w:t>
      </w:r>
      <m:oMath>
        <m:r>
          <m:t>1</m:t>
        </m:r>
        <m:r>
          <m:t>/</m:t>
        </m:r>
        <m:r>
          <m:t>N</m:t>
        </m:r>
      </m:oMath>
      <w:r>
        <w:t xml:space="preserve"> </w:t>
      </w:r>
      <w:r>
        <w:t xml:space="preserve">동일 가중(0.86), Risk Parity(0.89) 및 ANN-anchor(0.95) 성과를 모두 능가하는 수치이다. MDD 측면에서도 네 가지 Ensemble 슬롯은 SPY 및 ANN-anchor 대비 더 얕은 손실을 기록하며, 특히 Ensemble-defensive 두 변형의 방어력이 가장 우수하다. 이와 관련한 상세 수치는 부록 E에 수록하였다.</w:t>
      </w:r>
    </w:p>
    <w:p>
      <w:pPr/>
      <w:r>
        <w:t xml:space="preserve">Ensemble-anchor의 전체 분석 기간 샤프 비율은 0.95를 기록하여 ANN-anchor와 사실상 동률이다. 즉 기존 앵커 슬롯 구조를 유지한 채 변동성 예측 모형만 앙상블로 교체하는 방식으로는 실제 포트폴리오의 성과 개선이 거의 발생하지 않는다. 반면</w:t>
      </w:r>
      <w:r>
        <w:t xml:space="preserve"> </w:t>
      </w:r>
      <m:oMath>
        <m:r>
          <m:rPr>
            <m:sty m:val="b"/>
          </m:rPr>
          <m:t>p</m:t>
        </m:r>
      </m:oMath>
      <w:r>
        <w:t xml:space="preserve"> </w:t>
      </w:r>
      <w:r>
        <w:t xml:space="preserve">벡터 가중치 방식을</w:t>
      </w:r>
      <w:r>
        <w:t xml:space="preserve"> </w:t>
      </w:r>
      <m:oMath>
        <m:sSup>
          <m:e>
            <m:r>
              <m:rPr>
                <m:sty m:val="b"/>
              </m:rPr>
              <m:t>p</m:t>
            </m:r>
          </m:e>
          <m:sup>
            <m:r>
              <m:rPr>
                <m:sty m:val="p"/>
              </m:rPr>
              <m:t>m</m:t>
            </m:r>
            <m:r>
              <m:rPr>
                <m:sty m:val="p"/>
              </m:rPr>
              <m:t>c</m:t>
            </m:r>
            <m:r>
              <m:rPr>
                <m:sty m:val="p"/>
              </m:rPr>
              <m:t>a</m:t>
            </m:r>
            <m:r>
              <m:rPr>
                <m:sty m:val="p"/>
              </m:rPr>
              <m:t>p</m:t>
            </m:r>
          </m:sup>
        </m:sSup>
      </m:oMath>
      <w:r>
        <w:t xml:space="preserve">에서</w:t>
      </w:r>
      <w:r>
        <w:t xml:space="preserve"> </w:t>
      </w:r>
      <m:oMath>
        <m:sSup>
          <m:e>
            <m:r>
              <m:rPr>
                <m:sty m:val="b"/>
              </m:rPr>
              <m:t>p</m:t>
            </m:r>
          </m:e>
          <m:sup>
            <m:r>
              <m:rPr>
                <m:sty m:val="p"/>
              </m:rPr>
              <m:t>e</m:t>
            </m:r>
            <m:r>
              <m:rPr>
                <m:sty m:val="p"/>
              </m:rPr>
              <m:t>q</m:t>
            </m:r>
          </m:sup>
        </m:sSup>
      </m:oMath>
      <w:r>
        <w:t xml:space="preserve"> </w:t>
      </w:r>
      <w:r>
        <w:t xml:space="preserve">또는</w:t>
      </w:r>
      <w:r>
        <w:t xml:space="preserve"> </w:t>
      </w:r>
      <m:oMath>
        <m:sSup>
          <m:e>
            <m:r>
              <m:rPr>
                <m:sty m:val="b"/>
              </m:rPr>
              <m:t>p</m:t>
            </m:r>
          </m:e>
          <m:sup>
            <m:r>
              <m:rPr>
                <m:sty m:val="p"/>
              </m:rPr>
              <m:t>r</m:t>
            </m:r>
            <m:r>
              <m:rPr>
                <m:sty m:val="p"/>
              </m:rPr>
              <m:t>p</m:t>
            </m:r>
          </m:sup>
        </m:sSup>
      </m:oMath>
      <w:r>
        <w:t xml:space="preserve">로 변경할 경우, 두 앙상블 옵션 모두</w:t>
      </w:r>
      <w:r>
        <w:t xml:space="preserve"> </w:t>
      </w:r>
      <m:oMath>
        <m:r>
          <m:t>+</m:t>
        </m:r>
        <m:r>
          <m:t>0.09</m:t>
        </m:r>
        <m:r>
          <m:t>∼</m:t>
        </m:r>
        <m:r>
          <m:t>+</m:t>
        </m:r>
        <m:r>
          <m:t>0.15</m:t>
        </m:r>
      </m:oMath>
      <w:r>
        <w:t xml:space="preserve">의 샤프 비율 개선이 일관되게 나타난다. 이는 변동성 예측력 우위(표 2)가 포트폴리오 성과로 전이되는 결정적 통로가 슬롯 설계, 특히</w:t>
      </w:r>
      <w:r>
        <w:t xml:space="preserve"> </w:t>
      </w:r>
      <m:oMath>
        <m:r>
          <m:rPr>
            <m:sty m:val="b"/>
          </m:rPr>
          <m:t>p</m:t>
        </m:r>
      </m:oMath>
      <w:r>
        <w:t xml:space="preserve"> </w:t>
      </w:r>
      <w:r>
        <w:t xml:space="preserve">가중치의 대형주 비중 집중 완화에 있음을 보여주며,</w:t>
      </w:r>
      <w:r>
        <w:t xml:space="preserve"> </w:t>
      </w:r>
      <m:oMath>
        <m:sSup>
          <m:e>
            <m:r>
              <m:rPr>
                <m:sty m:val="b"/>
              </m:rPr>
              <m:t>p</m:t>
            </m:r>
          </m:e>
          <m:sup>
            <m:r>
              <m:rPr>
                <m:sty m:val="p"/>
              </m:rPr>
              <m:t>e</m:t>
            </m:r>
            <m:r>
              <m:rPr>
                <m:sty m:val="p"/>
              </m:rPr>
              <m:t>q</m:t>
            </m:r>
          </m:sup>
        </m:sSup>
      </m:oMath>
      <w:r>
        <w:t xml:space="preserve">와</w:t>
      </w:r>
      <w:r>
        <w:t xml:space="preserve"> </w:t>
      </w:r>
      <m:oMath>
        <m:sSup>
          <m:e>
            <m:r>
              <m:rPr>
                <m:sty m:val="b"/>
              </m:rPr>
              <m:t>p</m:t>
            </m:r>
          </m:e>
          <m:sup>
            <m:r>
              <m:rPr>
                <m:sty m:val="p"/>
              </m:rPr>
              <m:t>r</m:t>
            </m:r>
            <m:r>
              <m:rPr>
                <m:sty m:val="p"/>
              </m:rPr>
              <m:t>p</m:t>
            </m:r>
          </m:sup>
        </m:sSup>
      </m:oMath>
      <w:r>
        <w:t xml:space="preserve">가 거의 동등한 개선 효과를 제공한다.</w:t>
      </w:r>
    </w:p>
    <w:p>
      <w:pPr/>
      <w:r>
        <w:t xml:space="preserve">또한, 두 가지 앙상블 옵션은 시장 국면에 따라 보완적인 강점을 보인다. Ensemble-defensive는 R1(회복) 국면과 R3(위기) 국면 등 시장 변동성이 상승하는 구간에서 강점을 보인다(</w:t>
      </w:r>
      <m:oMath>
        <m:sSup>
          <m:e>
            <m:r>
              <m:rPr>
                <m:sty m:val="b"/>
              </m:rPr>
              <m:t>p</m:t>
            </m:r>
          </m:e>
          <m:sup>
            <m:r>
              <m:rPr>
                <m:sty m:val="p"/>
              </m:rPr>
              <m:t>e</m:t>
            </m:r>
            <m:r>
              <m:rPr>
                <m:sty m:val="p"/>
              </m:rPr>
              <m:t>q</m:t>
            </m:r>
          </m:sup>
        </m:sSup>
      </m:oMath>
      <w:r>
        <w:t xml:space="preserve"> </w:t>
      </w:r>
      <w:r>
        <w:t xml:space="preserve">기준 샤프 비율 각각 1.08, 0.96). 이는</w:t>
      </w:r>
      <w:r>
        <w:t xml:space="preserve"> </w:t>
      </w:r>
      <m:oMath>
        <m:sSup>
          <m:e>
            <m:r>
              <m:t>q</m:t>
            </m:r>
          </m:e>
          <m:sup>
            <m:r>
              <m:rPr>
                <m:sty m:val="p"/>
              </m:rPr>
              <m:t>l</m:t>
            </m:r>
            <m:r>
              <m:rPr>
                <m:sty m:val="p"/>
              </m:rPr>
              <m:t>a</m:t>
            </m:r>
            <m:r>
              <m:rPr>
                <m:sty m:val="p"/>
              </m:rPr>
              <m:t>m</m:t>
            </m:r>
          </m:sup>
        </m:sSup>
      </m:oMath>
      <w:r>
        <w:t xml:space="preserve">의 양수 제약이 모든 시점에서 저변동 뷰를 일관되게 유지하기 때문이다. 반면 Ensemble-adaptive는 R2(확장) 국면과 R4(정상화) 강세장 국면에서 강점을 보인다(</w:t>
      </w:r>
      <m:oMath>
        <m:sSup>
          <m:e>
            <m:r>
              <m:rPr>
                <m:sty m:val="b"/>
              </m:rPr>
              <m:t>p</m:t>
            </m:r>
          </m:e>
          <m:sup>
            <m:r>
              <m:rPr>
                <m:sty m:val="p"/>
              </m:rPr>
              <m:t>e</m:t>
            </m:r>
            <m:r>
              <m:rPr>
                <m:sty m:val="p"/>
              </m:rPr>
              <m:t>q</m:t>
            </m:r>
          </m:sup>
        </m:sSup>
      </m:oMath>
      <w:r>
        <w:t xml:space="preserve"> </w:t>
      </w:r>
      <w:r>
        <w:t xml:space="preserve">기준 샤프 비율 각각 1.42, 1.07). 이는</w:t>
      </w:r>
      <w:r>
        <w:t xml:space="preserve"> </w:t>
      </w:r>
      <m:oMath>
        <m:sSup>
          <m:e>
            <m:r>
              <m:t>q</m:t>
            </m:r>
          </m:e>
          <m:sup>
            <m:r>
              <m:rPr>
                <m:sty m:val="p"/>
              </m:rPr>
              <m:t>f</m:t>
            </m:r>
            <m:r>
              <m:rPr>
                <m:sty m:val="p"/>
              </m:rPr>
              <m:t>f</m:t>
            </m:r>
            <m:r>
              <m:rPr>
                <m:sty m:val="p"/>
              </m:rPr>
              <m:t>3</m:t>
            </m:r>
          </m:sup>
        </m:sSup>
      </m:oMath>
      <w:r>
        <w:t xml:space="preserve">의 FF3 회귀 기반 구조가 강세장에서 뷰를 적응적으로 재조정함으로써 상승장 포착 능력을 제공하기 때문이다. R3(위기) 국면에서는 두 옵션의 네 가지 변형 슬롯이 모두 ANN-anchor(0.85)를 상회하였으며(</w:t>
      </w:r>
      <m:oMath>
        <m:r>
          <m:t>0.87</m:t>
        </m:r>
        <m:r>
          <m:t>∼</m:t>
        </m:r>
        <m:r>
          <m:t>0.96</m:t>
        </m:r>
      </m:oMath>
      <w:r>
        <w:t xml:space="preserve">), R4 강세장 국면에서는 Ensemble-adaptive의 두 변형 슬롯이 ANN-anchor(0.71)를 크게 상회하는 성과(1.07, 1.10)를 기록했다. 한편</w:t>
      </w:r>
      <w:r>
        <w:t xml:space="preserve"> </w:t>
      </w:r>
      <m:oMath>
        <m:r>
          <m:rPr>
            <m:sty m:val="b"/>
          </m:rPr>
          <m:t>p</m:t>
        </m:r>
      </m:oMath>
      <w:r>
        <w:t xml:space="preserve"> </w:t>
      </w:r>
      <w:r>
        <w:t xml:space="preserve">가중 방식의 효과는 시장 국면에 따라 비대칭적으로 작동하는 특성을 보였다. R1 국면에서는</w:t>
      </w:r>
      <w:r>
        <w:t xml:space="preserve"> </w:t>
      </w:r>
      <m:oMath>
        <m:sSup>
          <m:e>
            <m:r>
              <m:rPr>
                <m:sty m:val="b"/>
              </m:rPr>
              <m:t>p</m:t>
            </m:r>
          </m:e>
          <m:sup>
            <m:r>
              <m:rPr>
                <m:sty m:val="p"/>
              </m:rPr>
              <m:t>e</m:t>
            </m:r>
            <m:r>
              <m:rPr>
                <m:sty m:val="p"/>
              </m:rPr>
              <m:t>q</m:t>
            </m:r>
          </m:sup>
        </m:sSup>
      </m:oMath>
      <w:r>
        <w:t xml:space="preserve"> </w:t>
      </w:r>
      <w:r>
        <w:t xml:space="preserve">방식이</w:t>
      </w:r>
      <w:r>
        <w:t xml:space="preserve"> </w:t>
      </w:r>
      <m:oMath>
        <m:sSup>
          <m:e>
            <m:r>
              <m:rPr>
                <m:sty m:val="b"/>
              </m:rPr>
              <m:t>p</m:t>
            </m:r>
          </m:e>
          <m:sup>
            <m:r>
              <m:rPr>
                <m:sty m:val="p"/>
              </m:rPr>
              <m:t>r</m:t>
            </m:r>
            <m:r>
              <m:rPr>
                <m:sty m:val="p"/>
              </m:rPr>
              <m:t>p</m:t>
            </m:r>
          </m:sup>
        </m:sSup>
      </m:oMath>
      <w:r>
        <w:t xml:space="preserve"> </w:t>
      </w:r>
      <w:r>
        <w:t xml:space="preserve">방식 대비 Ensemble-defensive에서 약 0.10, Ensemble-adaptive에서 약 0.06의 성과 우위를 나타냈다. 반대로 R4 국면에서는</w:t>
      </w:r>
      <w:r>
        <w:t xml:space="preserve"> </w:t>
      </w:r>
      <m:oMath>
        <m:sSup>
          <m:e>
            <m:r>
              <m:rPr>
                <m:sty m:val="b"/>
              </m:rPr>
              <m:t>p</m:t>
            </m:r>
          </m:e>
          <m:sup>
            <m:r>
              <m:rPr>
                <m:sty m:val="p"/>
              </m:rPr>
              <m:t>r</m:t>
            </m:r>
            <m:r>
              <m:rPr>
                <m:sty m:val="p"/>
              </m:rPr>
              <m:t>p</m:t>
            </m:r>
          </m:sup>
        </m:sSup>
      </m:oMath>
      <w:r>
        <w:t xml:space="preserve"> </w:t>
      </w:r>
      <w:r>
        <w:t xml:space="preserve">방식이 두 옵션 모두에서</w:t>
      </w:r>
      <w:r>
        <w:t xml:space="preserve"> </w:t>
      </w:r>
      <m:oMath>
        <m:sSup>
          <m:e>
            <m:r>
              <m:rPr>
                <m:sty m:val="b"/>
              </m:rPr>
              <m:t>p</m:t>
            </m:r>
          </m:e>
          <m:sup>
            <m:r>
              <m:rPr>
                <m:sty m:val="p"/>
              </m:rPr>
              <m:t>e</m:t>
            </m:r>
            <m:r>
              <m:rPr>
                <m:sty m:val="p"/>
              </m:rPr>
              <m:t>q</m:t>
            </m:r>
          </m:sup>
        </m:sSup>
      </m:oMath>
      <w:r>
        <w:t xml:space="preserve"> </w:t>
      </w:r>
      <w:r>
        <w:t xml:space="preserve">방식을 약간 상회하는 결과(Ensemble-defensive 0.71 vs 0.64, Ensemble-adaptive 1.10 vs 1.07)를 보였다.</w:t>
      </w:r>
    </w:p>
    <w:p>
      <w:pPr>
        <w:pStyle w:val="CaptionedFigure"/>
      </w:pPr>
      <w:bookmarkStart w:id="65" w:name="fig:benchmark_cumret"/>
      <w:r>
        <w:drawing>
          <wp:inline>
            <wp:extent cx="5892800" cy="3777327"/>
            <wp:effectExtent b="0" l="0" r="0" t="0"/>
            <wp:docPr descr="&lt;그림 7&gt; 누적수익률(상단, log scale) 및 drawdown(하단), 2010-01-12. R3(위기) 국면 음영. 파랑=Ensemble-defensive, 초록=Ensemble-adaptive." title="" id="1" name="Picture"/>
            <a:graphic>
              <a:graphicData uri="http://schemas.openxmlformats.org/drawingml/2006/picture">
                <pic:pic>
                  <pic:nvPicPr>
                    <pic:cNvPr descr="/sessions/sleepy-loving-thompson/mnt/low_vol_with_lstm_har_bl/paper/images/paper_final/benchmark_plot.png" id="0" name="Picture"/>
                    <pic:cNvPicPr>
                      <a:picLocks noChangeArrowheads="1" noChangeAspect="1"/>
                    </pic:cNvPicPr>
                  </pic:nvPicPr>
                  <pic:blipFill>
                    <a:blip r:embed="rId64"/>
                    <a:stretch>
                      <a:fillRect/>
                    </a:stretch>
                  </pic:blipFill>
                  <pic:spPr bwMode="auto">
                    <a:xfrm>
                      <a:off x="0" y="0"/>
                      <a:ext cx="5892800" cy="3777327"/>
                    </a:xfrm>
                    <a:prstGeom prst="rect">
                      <a:avLst/>
                    </a:prstGeom>
                    <a:noFill/>
                    <a:ln w="9525">
                      <a:noFill/>
                      <a:headEnd/>
                      <a:tailEnd/>
                    </a:ln>
                  </pic:spPr>
                </pic:pic>
              </a:graphicData>
            </a:graphic>
          </wp:inline>
        </w:drawing>
      </w:r>
      <w:bookmarkEnd w:id="65"/>
    </w:p>
    <w:p>
      <w:pPr>
        <w:jc w:val="center"/>
      </w:pPr>
      <w:r>
        <w:t xml:space="preserve">&lt;그림 7&gt; 누적수익률(상단, log scale) 및 drawdown(하단), 2010-01-12. R3(위기) 국면 음영. 파랑=Ensemble-defensive, 초록=Ensemble-adaptive.</w:t>
      </w:r>
    </w:p>
    <w:p>
      <w:pPr/>
      <w:r>
        <w:t xml:space="preserve">Ensemble-defensive와 Ensemble-adaptive는 전체 분석 기간 샤프 비율과 누적 수익률이 거의 동등하지만(그림 7), 국면별 성과 구성이 상이하므로 운용 목표에 따라 선택할 수 있다. 저변동 정체성을 모든 시장 국면에서 엄격히 유지하려는 보수적 운용 방식에는 Ensemble-defensive가, 강세장에서의 추가 상승 수익을 일정 부분 허용하는 적응적 운용 방식에는 Ensemble-adaptive가 적합하다. 두 가지 옵션 모두 표준 벤치마크 대비 유의미한 성과 우위를 제공하며,</w:t>
      </w:r>
      <w:r>
        <w:t xml:space="preserve"> </w:t>
      </w:r>
      <m:oMath>
        <m:sSup>
          <m:e>
            <m:r>
              <m:rPr>
                <m:sty m:val="b"/>
              </m:rPr>
              <m:t>p</m:t>
            </m:r>
          </m:e>
          <m:sup>
            <m:r>
              <m:rPr>
                <m:sty m:val="p"/>
              </m:rPr>
              <m:t>e</m:t>
            </m:r>
            <m:r>
              <m:rPr>
                <m:sty m:val="p"/>
              </m:rPr>
              <m:t>q</m:t>
            </m:r>
          </m:sup>
        </m:sSup>
      </m:oMath>
      <w:r>
        <w:t xml:space="preserve">와</w:t>
      </w:r>
      <w:r>
        <w:t xml:space="preserve"> </w:t>
      </w:r>
      <m:oMath>
        <m:sSup>
          <m:e>
            <m:r>
              <m:rPr>
                <m:sty m:val="b"/>
              </m:rPr>
              <m:t>p</m:t>
            </m:r>
          </m:e>
          <m:sup>
            <m:r>
              <m:rPr>
                <m:sty m:val="p"/>
              </m:rPr>
              <m:t>r</m:t>
            </m:r>
            <m:r>
              <m:rPr>
                <m:sty m:val="p"/>
              </m:rPr>
              <m:t>p</m:t>
            </m:r>
          </m:sup>
        </m:sSup>
      </m:oMath>
      <w:r>
        <w:t xml:space="preserve"> </w:t>
      </w:r>
      <w:r>
        <w:t xml:space="preserve">어느 가중 방식을 적용하더라도 일관된 성과를 보여</w:t>
      </w:r>
      <w:r>
        <w:t xml:space="preserve"> </w:t>
      </w:r>
      <m:oMath>
        <m:r>
          <m:rPr>
            <m:sty m:val="b"/>
          </m:rPr>
          <m:t>p</m:t>
        </m:r>
      </m:oMath>
      <w:r>
        <w:t xml:space="preserve"> </w:t>
      </w:r>
      <w:r>
        <w:t xml:space="preserve">변형 선택에 강건하다.</w:t>
      </w:r>
      <w:r>
        <w:t xml:space="preserve"> </w:t>
      </w:r>
      <m:oMath>
        <m:sSup>
          <m:e>
            <m:r>
              <m:t>q</m:t>
            </m:r>
          </m:e>
          <m:sup>
            <m:r>
              <m:rPr>
                <m:sty m:val="p"/>
              </m:rPr>
              <m:t>f</m:t>
            </m:r>
            <m:r>
              <m:rPr>
                <m:sty m:val="p"/>
              </m:rPr>
              <m:t>f</m:t>
            </m:r>
            <m:r>
              <m:rPr>
                <m:sty m:val="p"/>
              </m:rPr>
              <m:t>3</m:t>
            </m:r>
          </m:sup>
        </m:sSup>
      </m:oMath>
      <w:r>
        <w:t xml:space="preserve">이 강세장에서 뷰를 적응적으로 재조정하는 구체적 메커니즘 및</w:t>
      </w:r>
      <w:r>
        <w:t xml:space="preserve"> </w:t>
      </w:r>
      <m:oMath>
        <m:r>
          <m:rPr>
            <m:sty m:val="b"/>
          </m:rPr>
          <m:t>p</m:t>
        </m:r>
      </m:oMath>
      <w:r>
        <w:t xml:space="preserve"> </w:t>
      </w:r>
      <w:r>
        <w:t xml:space="preserve">가중치의 완화 효과는 부록 D에서 상세히 분석한다.</w:t>
      </w:r>
    </w:p>
    <w:p>
      <w:pPr>
        <w:pStyle w:val="1"/>
      </w:pPr>
      <w:bookmarkStart w:id="66" w:name="sec:conclusion"/>
      <w:r>
        <w:t xml:space="preserve">결론 및 한계</w:t>
      </w:r>
      <w:bookmarkEnd w:id="66"/>
    </w:p>
    <w:p>
      <w:pPr/>
      <w:r>
        <w:t xml:space="preserve">본 연구는 Pyo and Lee (2018)의 KOSPI 200 BL 저변동 프레임워크를 S&amp;P 500 시장에 적용하면서, 변동성 예측 모형과 BL 슬롯 구성을 재검토하고 2010–2025년 192개월을 4개 시장 국면(R1 회복, R2 확장, R3 위기, R4 정상화)으로 분해하여 평가하였다. 단일 슬롯 비교에 그치지 않고 90개 슬롯을 차원별(</w:t>
      </w:r>
      <m:oMath>
        <m:r>
          <m:rPr>
            <m:sty m:val="b"/>
          </m:rPr>
          <m:t>p</m:t>
        </m:r>
        <m:r>
          <m:t>×</m:t>
        </m:r>
        <m:sSub>
          <m:e>
            <m:r>
              <m:rPr>
                <m:sty m:val="b"/>
              </m:rPr>
              <m:t>w</m:t>
            </m:r>
          </m:e>
          <m:sub>
            <m:r>
              <m:t>m</m:t>
            </m:r>
            <m:r>
              <m:t>k</m:t>
            </m:r>
            <m:r>
              <m:t>t</m:t>
            </m:r>
          </m:sub>
        </m:sSub>
        <m:r>
          <m:t>×</m:t>
        </m:r>
        <m:r>
          <m:t>q</m:t>
        </m:r>
        <m:r>
          <m:t>×</m:t>
        </m:r>
        <m:r>
          <m:t>ω</m:t>
        </m:r>
      </m:oMath>
      <w:r>
        <w:t xml:space="preserve">)로 분해하여 주변 분포를 산출하고, 이를 4개 국면으로 재분해하는 프레임워크를 통해 운용 목표에 따른 슬롯 선택 근거를 제시한 점이 본 연구의 분석적 기여이다.</w:t>
      </w:r>
    </w:p>
    <w:p>
      <w:pPr/>
      <w:r>
        <w:t xml:space="preserve">LSTM-HAR 앙상블 모형은 ANN 모형 대비 변동성 예측 정확도(RMSE, Spearman, Hit Rate)에서 전 구간 일관된 우위를 보였으며, 특히 R3(위기) 국면에서 격차가 전체 분석 기간 대비 약 1.5-2배 확대되었다(RMSE 격차는 전구간과 유사한 수준 유지). R3 국면은 COVID-19 팬데믹 충격(2020년 12분기)과 2022년 긴축 약세장이 복합된 시기로, 시장 전반의 변동성 수준과 종목 간 변동성 격차가 모두 극대화된 환경이었다. 이러한 국면에서는 종목별 변동성 순위가 빠르게 재편되며, 이를 안정적으로 식별하는 능력이 포트폴리오 성과에 가장 결정적으로 작용한 것으로 해석된다. 다만 이러한 예측 우위가 포트폴리오 성과로 전이되기 위해서는 슬롯 설계, 특히</w:t>
      </w:r>
      <w:r>
        <w:t xml:space="preserve"> </w:t>
      </w:r>
      <m:oMath>
        <m:r>
          <m:rPr>
            <m:sty m:val="b"/>
          </m:rPr>
          <m:t>p</m:t>
        </m:r>
      </m:oMath>
      <w:r>
        <w:t xml:space="preserve"> </w:t>
      </w:r>
      <w:r>
        <w:t xml:space="preserve">벡터의 대형주 비중 집중 완화가 동반되어야 한다. 변동성 예측 모형만 앙상블로 교체한 Ensemble-anchor는 ANN-anchor와 샤프 비율이 동률(0.95)에 머무르나,</w:t>
      </w:r>
      <w:r>
        <w:t xml:space="preserve"> </w:t>
      </w:r>
      <m:oMath>
        <m:r>
          <m:rPr>
            <m:sty m:val="b"/>
          </m:rPr>
          <m:t>p</m:t>
        </m:r>
      </m:oMath>
      <w:r>
        <w:t xml:space="preserve"> </w:t>
      </w:r>
      <w:r>
        <w:t xml:space="preserve">가중치를</w:t>
      </w:r>
      <w:r>
        <w:t xml:space="preserve"> </w:t>
      </w:r>
      <m:oMath>
        <m:sSup>
          <m:e>
            <m:r>
              <m:rPr>
                <m:sty m:val="b"/>
              </m:rPr>
              <m:t>p</m:t>
            </m:r>
          </m:e>
          <m:sup>
            <m:r>
              <m:rPr>
                <m:sty m:val="p"/>
              </m:rPr>
              <m:t>e</m:t>
            </m:r>
            <m:r>
              <m:rPr>
                <m:sty m:val="p"/>
              </m:rPr>
              <m:t>q</m:t>
            </m:r>
          </m:sup>
        </m:sSup>
      </m:oMath>
      <w:r>
        <w:t xml:space="preserve"> </w:t>
      </w:r>
      <w:r>
        <w:t xml:space="preserve">또는</w:t>
      </w:r>
      <w:r>
        <w:t xml:space="preserve"> </w:t>
      </w:r>
      <m:oMath>
        <m:sSup>
          <m:e>
            <m:r>
              <m:rPr>
                <m:sty m:val="b"/>
              </m:rPr>
              <m:t>p</m:t>
            </m:r>
          </m:e>
          <m:sup>
            <m:r>
              <m:rPr>
                <m:sty m:val="p"/>
              </m:rPr>
              <m:t>r</m:t>
            </m:r>
            <m:r>
              <m:rPr>
                <m:sty m:val="p"/>
              </m:rPr>
              <m:t>p</m:t>
            </m:r>
          </m:sup>
        </m:sSup>
      </m:oMath>
      <w:r>
        <w:t xml:space="preserve">로 변경하면 두 슬롯 구성 모두</w:t>
      </w:r>
      <w:r>
        <w:t xml:space="preserve"> </w:t>
      </w:r>
      <m:oMath>
        <m:r>
          <m:t>+</m:t>
        </m:r>
        <m:r>
          <m:t>0.09</m:t>
        </m:r>
        <m:r>
          <m:t>∼</m:t>
        </m:r>
        <m:r>
          <m:t>+</m:t>
        </m:r>
        <m:r>
          <m:t>0.15</m:t>
        </m:r>
      </m:oMath>
      <w:r>
        <w:t xml:space="preserve">의 샤프 비율 개선이 일관되게 나타난다.</w:t>
      </w:r>
    </w:p>
    <w:p>
      <w:pPr/>
      <w:r>
        <w:t xml:space="preserve">본 연구는 자산배분 프로세스에서 단일한 최적 슬롯 설정을 고집하기보다, 운용 목표에 따라 BL의 입력 변수를 유연하게 다원화할 수 있는 실무적 가이드라인을 제시하였다. 모든 시장 국면에서 저변동 정체성을 엄격히 유지하려는 보수적 운용에는</w:t>
      </w:r>
      <w:r>
        <w:t xml:space="preserve"> </w:t>
      </w:r>
      <m:oMath>
        <m:sSup>
          <m:e>
            <m:r>
              <m:t>q</m:t>
            </m:r>
          </m:e>
          <m:sup>
            <m:r>
              <m:t>l</m:t>
            </m:r>
            <m:r>
              <m:t>a</m:t>
            </m:r>
            <m:r>
              <m:t>m</m:t>
            </m:r>
          </m:sup>
        </m:sSup>
      </m:oMath>
      <w:r>
        <w:t xml:space="preserve">‬기반의 Ensemble-defensive가, 강세장 국면에서 시장 랠리를 추종하여 초과 수익을 추구하는 동적 자산 배분에는</w:t>
      </w:r>
      <w:r>
        <w:t xml:space="preserve"> </w:t>
      </w:r>
      <m:oMath>
        <m:sSup>
          <m:e>
            <m:r>
              <m:t>q</m:t>
            </m:r>
          </m:e>
          <m:sup>
            <m:r>
              <m:t>f</m:t>
            </m:r>
            <m:r>
              <m:t>f</m:t>
            </m:r>
            <m:r>
              <m:t>3</m:t>
            </m:r>
          </m:sup>
        </m:sSup>
      </m:oMath>
      <w:r>
        <w:t xml:space="preserve">‬ 기반의 Ensemble-adaptive가 유용한 대안이 될 수 있음을 확인하였다. 두 전략 모두</w:t>
      </w:r>
      <w:r>
        <w:t xml:space="preserve"> </w:t>
      </w:r>
      <m:oMath>
        <m:sSup>
          <m:e>
            <m:r>
              <m:rPr>
                <m:sty m:val="b"/>
              </m:rPr>
              <m:t>p</m:t>
            </m:r>
          </m:e>
          <m:sup>
            <m:r>
              <m:rPr>
                <m:sty m:val="p"/>
              </m:rPr>
              <m:t>e</m:t>
            </m:r>
            <m:r>
              <m:rPr>
                <m:sty m:val="p"/>
              </m:rPr>
              <m:t>q</m:t>
            </m:r>
          </m:sup>
        </m:sSup>
      </m:oMath>
      <w:r>
        <w:t xml:space="preserve">와</w:t>
      </w:r>
      <w:r>
        <w:t xml:space="preserve"> </w:t>
      </w:r>
      <m:oMath>
        <m:sSup>
          <m:e>
            <m:r>
              <m:rPr>
                <m:sty m:val="b"/>
              </m:rPr>
              <m:t>p</m:t>
            </m:r>
          </m:e>
          <m:sup>
            <m:r>
              <m:rPr>
                <m:sty m:val="p"/>
              </m:rPr>
              <m:t>r</m:t>
            </m:r>
            <m:r>
              <m:rPr>
                <m:sty m:val="p"/>
              </m:rPr>
              <m:t>p</m:t>
            </m:r>
          </m:sup>
        </m:sSup>
      </m:oMath>
      <w:r>
        <w:t xml:space="preserve">‬ 중 어느 변형을 선택하더라도, 편측 20bp의 거래비용을 차감 후 전통적 벤치마크 및 ANN-anchor를 전 구간에 걸쳐 일관되게 상회하였다. 이는 변동성 예측 모형의 고도화가 단일한 최적 슬롯 구조에 국한되지 않고, 운용 목표에 맞는 유연한 BL 입력 설계와 결합될 때 실질적인 위험조정수익률 제고로 이어질 수 있음을 시사한다.</w:t>
      </w:r>
    </w:p>
    <w:p>
      <w:pPr/>
      <w:r>
        <w:t xml:space="preserve">본 연구는 다음과 같은 한계를 가진다. 첫째, 야후 파이낸스 데이터의 가용성 제약으로 인해 833개 종목 중 216개가 분석에서 누락되어 최종 617개 종목만을 대상으로 실증 분석을 수행하였다. 시점별 멤버십 필터링을 통해 생존 편향을 완화하였으나, 이러한 가용성 한계는 포트폴리오의 절대 성과를 과대 추정하는 방향과 위기 구간에 사라진 고변동 종목의 누락으로 인해 저변동성 우위 자체를 과소 추정하는 방향으로 동시에 작용할 수 있어, 편향의 방향을 단정하기 어렵다.</w:t>
      </w:r>
    </w:p>
    <w:p>
      <w:pPr/>
      <w:r>
        <w:t xml:space="preserve">둘째, 본 연구가 사용한 LSTM 모형은 4채널(</w:t>
      </w:r>
      <m:oMath>
        <m:sSub>
          <m:e>
            <m:r>
              <m:rPr>
                <m:sty m:val="p"/>
              </m:rPr>
              <m:t>R</m:t>
            </m:r>
            <m:r>
              <m:rPr>
                <m:sty m:val="p"/>
              </m:rPr>
              <m:t>V</m:t>
            </m:r>
          </m:e>
          <m:sub>
            <m:r>
              <m:t>d</m:t>
            </m:r>
            <m:r>
              <m:t>/</m:t>
            </m:r>
            <m:r>
              <m:t>w</m:t>
            </m:r>
            <m:r>
              <m:t>/</m:t>
            </m:r>
            <m:r>
              <m:t>m</m:t>
            </m:r>
          </m:sub>
        </m:sSub>
      </m:oMath>
      <w:r>
        <w:t xml:space="preserve">,</w:t>
      </w:r>
      <w:r>
        <w:t xml:space="preserve"> </w:t>
      </w:r>
      <m:oMath>
        <m:r>
          <m:rPr>
            <m:nor/>
            <m:sty m:val="p"/>
          </m:rPr>
          <m:t>log</m:t>
        </m:r>
        <m:r>
          <m:t>(</m:t>
        </m:r>
        <m:r>
          <m:rPr>
            <m:sty m:val="p"/>
          </m:rPr>
          <m:t>V</m:t>
        </m:r>
        <m:r>
          <m:rPr>
            <m:sty m:val="p"/>
          </m:rPr>
          <m:t>I</m:t>
        </m:r>
        <m:r>
          <m:rPr>
            <m:sty m:val="p"/>
          </m:rPr>
          <m:t>X</m:t>
        </m:r>
        <m:r>
          <m:t>)</m:t>
        </m:r>
      </m:oMath>
      <w:r>
        <w:t xml:space="preserve">)의 입력 피처와 단일 은닉층으로 구성된 단순한 구조다. 따라서 향후 거시 경제 변수, 뉴스 감성 정보, 옵션 시장 정보 등을 추가 자산 신호로 반영하고, 모형을 다층(Multi-layer) 및 어텐션(Attention) 구조로 고도화할 경우 예측 정확도를 추가적으로 개선할 여지가 있다.</w:t>
      </w:r>
    </w:p>
    <w:p>
      <w:pPr/>
      <w:r>
        <w:t xml:space="preserve">셋째, 본 연구에서 관찰된 국면별 성과 결과와 슬롯 메커니즘은 실증적 관찰에 머무르며 인과적 규명에 이르지 못한다. R1(회복) 국면에서 관측된 앙상블 모형 약세의 시점 집중성(부록 C절)과 강세장 국면에서 발생한</w:t>
      </w:r>
      <w:r>
        <w:t xml:space="preserve"> </w:t>
      </w:r>
      <m:oMath>
        <m:sSup>
          <m:e>
            <m:r>
              <m:t>q</m:t>
            </m:r>
          </m:e>
          <m:sup>
            <m:r>
              <m:rPr>
                <m:sty m:val="p"/>
              </m:rPr>
              <m:t>f</m:t>
            </m:r>
            <m:r>
              <m:rPr>
                <m:sty m:val="p"/>
              </m:rPr>
              <m:t>f</m:t>
            </m:r>
            <m:r>
              <m:rPr>
                <m:sty m:val="p"/>
              </m:rPr>
              <m:t>3</m:t>
            </m:r>
          </m:sup>
        </m:sSup>
      </m:oMath>
      <w:r>
        <w:t xml:space="preserve">의 부호 반전 현상(부록 D절) 역시 직관적인 합리성을 넘어선 인과적 검증은 본 연구의 분석 범위를 벗어난다. 향후 연구에서는 예측 모형 고도화, 데이터 가용성의 추가 확보, 그리고 슬롯 간 인과적 분해를 통해 본 연구의 실증적 발견을 보완할 필요가 있다.</w:t>
      </w:r>
    </w:p>
    <w:p>
      <w:pPr>
        <w:pStyle w:val="1"/>
        <w:numPr>
          <w:ilvl w:val="0"/>
          <w:numId w:val="0"/>
        </w:numPr>
      </w:pPr>
      <w:bookmarkStart w:id="67" w:name="참고문헌"/>
      <w:r>
        <w:t xml:space="preserve">참고문헌</w:t>
      </w:r>
      <w:bookmarkEnd w:id="67"/>
    </w:p>
    <w:p>
      <w:pPr/>
      <w:r>
        <w:t xml:space="preserve">[국외 문헌]</w:t>
      </w:r>
    </w:p>
    <w:p>
      <w:pPr/>
      <w:r>
        <w:t xml:space="preserve">Baker, M., Bradley, B., &amp; Wurgler, J. (2011). Benchmarks as limits to arbitrage: Understanding the low-volatility anomaly.</w:t>
      </w:r>
      <w:r>
        <w:t xml:space="preserve"> </w:t>
      </w:r>
      <w:r>
        <w:rPr>
          <w:i/>
        </w:rPr>
        <w:t xml:space="preserve">Financial Analysts Journal, 67</w:t>
      </w:r>
      <w:r>
        <w:t xml:space="preserve">(1), 40–54.</w:t>
      </w:r>
    </w:p>
    <w:p>
      <w:pPr/>
      <w:r>
        <w:t xml:space="preserve">Bates, J. M., &amp; Granger, C. W. (1969). The combination of forecasts.</w:t>
      </w:r>
      <w:r>
        <w:t xml:space="preserve"> </w:t>
      </w:r>
      <w:r>
        <w:rPr>
          <w:i/>
        </w:rPr>
        <w:t xml:space="preserve">Journal of the Operational Research Society, 20</w:t>
      </w:r>
      <w:r>
        <w:t xml:space="preserve">(4), 451–468.</w:t>
      </w:r>
    </w:p>
    <w:p>
      <w:pPr/>
      <w:r>
        <w:t xml:space="preserve">Black, F., &amp; Litterman, R. (1992). Global portfolio optimization.</w:t>
      </w:r>
      <w:r>
        <w:t xml:space="preserve"> </w:t>
      </w:r>
      <w:r>
        <w:rPr>
          <w:i/>
        </w:rPr>
        <w:t xml:space="preserve">Financial Analysts Journal, 48</w:t>
      </w:r>
      <w:r>
        <w:t xml:space="preserve">(5), 28–43.</w:t>
      </w:r>
    </w:p>
    <w:p>
      <w:pPr/>
      <w:r>
        <w:t xml:space="preserve">Blitz, D. C., &amp; van Vliet, P. (2007). The volatility effect: Lower risk without lower return.</w:t>
      </w:r>
      <w:r>
        <w:t xml:space="preserve"> </w:t>
      </w:r>
      <w:r>
        <w:rPr>
          <w:i/>
        </w:rPr>
        <w:t xml:space="preserve">The Journal of Portfolio Management, 34</w:t>
      </w:r>
      <w:r>
        <w:t xml:space="preserve">(1), 102–113.</w:t>
      </w:r>
    </w:p>
    <w:p>
      <w:pPr/>
      <w:r>
        <w:t xml:space="preserve">Bucci, A. (2020). Realized volatility forecasting with neural networks.</w:t>
      </w:r>
      <w:r>
        <w:t xml:space="preserve"> </w:t>
      </w:r>
      <w:r>
        <w:rPr>
          <w:i/>
        </w:rPr>
        <w:t xml:space="preserve">Journal of Financial Econometrics, 18</w:t>
      </w:r>
      <w:r>
        <w:t xml:space="preserve">(3), 502–531.</w:t>
      </w:r>
    </w:p>
    <w:p>
      <w:pPr/>
      <w:r>
        <w:t xml:space="preserve">Corsi, F. (2009). A simple approximate long-memory model of realized volatility.</w:t>
      </w:r>
      <w:r>
        <w:t xml:space="preserve"> </w:t>
      </w:r>
      <w:r>
        <w:rPr>
          <w:i/>
        </w:rPr>
        <w:t xml:space="preserve">Journal of Financial Econometrics, 7</w:t>
      </w:r>
      <w:r>
        <w:t xml:space="preserve">(2), 174–196. https://doi.org/10.1093/jjfinec/nbp001</w:t>
      </w:r>
    </w:p>
    <w:p>
      <w:pPr/>
      <w:r>
        <w:t xml:space="preserve">Fama, E. F., &amp; MacBeth, J. D. (1973). Risk, return, and equilibrium: Empirical tests.</w:t>
      </w:r>
      <w:r>
        <w:t xml:space="preserve"> </w:t>
      </w:r>
      <w:r>
        <w:rPr>
          <w:i/>
        </w:rPr>
        <w:t xml:space="preserve">Journal of Political Economy, 81</w:t>
      </w:r>
      <w:r>
        <w:t xml:space="preserve">(3), 607–636.</w:t>
      </w:r>
    </w:p>
    <w:p>
      <w:pPr/>
      <w:r>
        <w:t xml:space="preserve">Fama, E. F., &amp; French, K. R. (1993). Common risk factors in the returns on stocks and bonds.</w:t>
      </w:r>
      <w:r>
        <w:t xml:space="preserve"> </w:t>
      </w:r>
      <w:r>
        <w:rPr>
          <w:i/>
        </w:rPr>
        <w:t xml:space="preserve">Journal of Financial Economics, 33</w:t>
      </w:r>
      <w:r>
        <w:t xml:space="preserve">(1), 3–56.</w:t>
      </w:r>
    </w:p>
    <w:p>
      <w:pPr/>
      <w:r>
        <w:t xml:space="preserve">Frazzini, A., &amp; Pedersen, L. H. (2014). Betting against beta.</w:t>
      </w:r>
      <w:r>
        <w:t xml:space="preserve"> </w:t>
      </w:r>
      <w:r>
        <w:rPr>
          <w:i/>
        </w:rPr>
        <w:t xml:space="preserve">Journal of Financial Economics, 111</w:t>
      </w:r>
      <w:r>
        <w:t xml:space="preserve">(1), 1–25.</w:t>
      </w:r>
    </w:p>
    <w:p>
      <w:pPr/>
      <w:r>
        <w:t xml:space="preserve">Gers, F. A., Schmidhuber, J., &amp; Cummins, F. (2000). Learning to forget: Continual prediction with LSTM.</w:t>
      </w:r>
      <w:r>
        <w:t xml:space="preserve"> </w:t>
      </w:r>
      <w:r>
        <w:rPr>
          <w:i/>
        </w:rPr>
        <w:t xml:space="preserve">Neural Computation, 12</w:t>
      </w:r>
      <w:r>
        <w:t xml:space="preserve">(10), 2451–2471.</w:t>
      </w:r>
    </w:p>
    <w:p>
      <w:pPr/>
      <w:r>
        <w:t xml:space="preserve">He, G., &amp; Litterman, R. (1999). The intuition behind Black-Litterman model portfolios. Goldman Sachs Investment Management Research.</w:t>
      </w:r>
    </w:p>
    <w:p>
      <w:pPr/>
      <w:r>
        <w:t xml:space="preserve">Hochreiter, S., &amp; Schmidhuber, J. (1997). Long short-term memory.</w:t>
      </w:r>
      <w:r>
        <w:t xml:space="preserve"> </w:t>
      </w:r>
      <w:r>
        <w:rPr>
          <w:i/>
        </w:rPr>
        <w:t xml:space="preserve">Neural Computation, 9</w:t>
      </w:r>
      <w:r>
        <w:t xml:space="preserve">(8), 1735–1780. https://doi.org/10.1162/neco.1997.9.8.1735</w:t>
      </w:r>
    </w:p>
    <w:p>
      <w:pPr/>
      <w:r>
        <w:t xml:space="preserve">Kim, H. Y., &amp; Won, C. H. (2018). Forecasting the volatility of stock price index: A hybrid model integrating LSTM with multiple GARCH-type models.</w:t>
      </w:r>
      <w:r>
        <w:t xml:space="preserve"> </w:t>
      </w:r>
      <w:r>
        <w:rPr>
          <w:i/>
        </w:rPr>
        <w:t xml:space="preserve">Expert Systems with Applications, 103</w:t>
      </w:r>
      <w:r>
        <w:t xml:space="preserve">, 25–37.</w:t>
      </w:r>
    </w:p>
    <w:p>
      <w:pPr/>
      <w:r>
        <w:t xml:space="preserve">Ledoit, O., &amp; Wolf, M. (2004). A well-conditioned estimator for large-dimensional covariance matrices.</w:t>
      </w:r>
      <w:r>
        <w:t xml:space="preserve"> </w:t>
      </w:r>
      <w:r>
        <w:rPr>
          <w:i/>
        </w:rPr>
        <w:t xml:space="preserve">Journal of Multivariate Analysis, 88</w:t>
      </w:r>
      <w:r>
        <w:t xml:space="preserve">(2), 365–411.</w:t>
      </w:r>
    </w:p>
    <w:p>
      <w:pPr/>
      <w:r>
        <w:t xml:space="preserve">López de Prado, M. (2018).</w:t>
      </w:r>
      <w:r>
        <w:t xml:space="preserve"> </w:t>
      </w:r>
      <w:r>
        <w:rPr>
          <w:i/>
        </w:rPr>
        <w:t xml:space="preserve">Advances in Financial Machine Learning</w:t>
      </w:r>
      <w:r>
        <w:t xml:space="preserve">. John Wiley &amp; Sons.</w:t>
      </w:r>
    </w:p>
    <w:p>
      <w:pPr/>
      <w:r>
        <w:t xml:space="preserve">Maillard, S., Roncalli, T., &amp; Teïletche, J. (2010). The properties of equally weighted risk contribution portfolios.</w:t>
      </w:r>
      <w:r>
        <w:t xml:space="preserve"> </w:t>
      </w:r>
      <w:r>
        <w:rPr>
          <w:i/>
        </w:rPr>
        <w:t xml:space="preserve">The Journal of Portfolio Management, 36</w:t>
      </w:r>
      <w:r>
        <w:t xml:space="preserve">(4), 60–70.</w:t>
      </w:r>
    </w:p>
    <w:p>
      <w:pPr/>
      <w:r>
        <w:t xml:space="preserve">Markowitz, H. (1952). Portfolio selection.</w:t>
      </w:r>
      <w:r>
        <w:t xml:space="preserve"> </w:t>
      </w:r>
      <w:r>
        <w:rPr>
          <w:i/>
        </w:rPr>
        <w:t xml:space="preserve">The Journal of Finance, 7</w:t>
      </w:r>
      <w:r>
        <w:t xml:space="preserve">(1), 77–91. https://doi.org/10.1111/j.1540-6261.1952.tb01525.x</w:t>
      </w:r>
    </w:p>
    <w:p>
      <w:pPr/>
      <w:r>
        <w:t xml:space="preserve">Müller, U. A., Dacorogna, M. M., Davé, R. D., Olsen, R. B., Pictet, O. V., &amp; von Weizsäcker, J. E. (1997). Volatilities of different time resolutions—Analyzing the dynamics of market components.</w:t>
      </w:r>
      <w:r>
        <w:t xml:space="preserve"> </w:t>
      </w:r>
      <w:r>
        <w:rPr>
          <w:i/>
        </w:rPr>
        <w:t xml:space="preserve">Journal of Empirical Finance, 4</w:t>
      </w:r>
      <w:r>
        <w:t xml:space="preserve">(2–3), 213–239.</w:t>
      </w:r>
    </w:p>
    <w:p>
      <w:pPr/>
      <w:r>
        <w:t xml:space="preserve">Pyo, S., &amp; Lee, J. (2018). Exploiting the low-risk anomaly using machine learning to enhance the Black-Litterman framework.</w:t>
      </w:r>
      <w:r>
        <w:t xml:space="preserve"> </w:t>
      </w:r>
      <w:r>
        <w:rPr>
          <w:i/>
        </w:rPr>
        <w:t xml:space="preserve">Pacific-Basin Finance Journal, 51</w:t>
      </w:r>
      <w:r>
        <w:t xml:space="preserve">, 1–12.</w:t>
      </w:r>
    </w:p>
    <w:p>
      <w:pPr/>
      <w:r>
        <w:t xml:space="preserve">Rumelhart, D. E., Hinton, G. E., &amp; Williams, R. J. (1986). Learning representations by back-propagating errors.</w:t>
      </w:r>
      <w:r>
        <w:t xml:space="preserve"> </w:t>
      </w:r>
      <w:r>
        <w:rPr>
          <w:i/>
        </w:rPr>
        <w:t xml:space="preserve">Nature, 323</w:t>
      </w:r>
      <w:r>
        <w:t xml:space="preserve">(6088), 533–536.</w:t>
      </w:r>
    </w:p>
    <w:p>
      <w:pPr/>
      <w:r>
        <w:t xml:space="preserve">Sortino, F. A., &amp; Price, L. N. (1994). Performance measurement in a downside risk framework.</w:t>
      </w:r>
      <w:r>
        <w:t xml:space="preserve"> </w:t>
      </w:r>
      <w:r>
        <w:rPr>
          <w:i/>
        </w:rPr>
        <w:t xml:space="preserve">The Journal of Investing, 3</w:t>
      </w:r>
      <w:r>
        <w:t xml:space="preserve">(3), 59–64.</w:t>
      </w:r>
    </w:p>
    <w:p>
      <w:pPr/>
      <w:r>
        <w:t xml:space="preserve">Whaley, R. E. (2009). Understanding the VIX.</w:t>
      </w:r>
      <w:r>
        <w:t xml:space="preserve"> </w:t>
      </w:r>
      <w:r>
        <w:rPr>
          <w:i/>
        </w:rPr>
        <w:t xml:space="preserve">Journal of Portfolio Management, 35</w:t>
      </w:r>
      <w:r>
        <w:t xml:space="preserve">(3), 98–105.</w:t>
      </w:r>
    </w:p>
    <w:p>
      <w:pPr>
        <w:pStyle w:val="1"/>
        <w:numPr>
          <w:ilvl w:val="0"/>
          <w:numId w:val="0"/>
        </w:numPr>
      </w:pPr>
      <w:bookmarkStart w:id="68" w:name="app:hmm"/>
      <w:r>
        <w:t xml:space="preserve">부록 A. </w:t>
      </w:r>
      <w:r>
        <w:t xml:space="preserve">HMM 기반 시장 국면 분류</w:t>
      </w:r>
      <w:bookmarkEnd w:id="68"/>
    </w:p>
    <w:p>
      <w:pPr/>
      <w:r>
        <w:t xml:space="preserve">Hidden Markov Model(HMM, [hamilton1989new? — bib 누락])은 관측 불가능한 잠재 상태인 시장 국면(Regime)이 확률적으로 전이하며 관측 데이터를 생성한다고 가정하는 통계 모형으로, 시장 국면처럼 직접 관측되지 않는 구조적 상태를 데이터를 기반으로 식별하는 데 적합하다. 본 연구는 HMM을 활용하여 분석 기간(2010-2025)의 시장 국면을 사후적으로 정의하고, 이를 포트폴리오 성과 분해의 기준으로 활용한다.</w:t>
      </w:r>
    </w:p>
    <w:p>
      <w:pPr>
        <w:pStyle w:val="2"/>
        <w:numPr>
          <w:ilvl w:val="0"/>
          <w:numId w:val="0"/>
        </w:numPr>
      </w:pPr>
      <w:bookmarkStart w:id="69" w:name="a1-데이터-및-학습-기간"/>
      <w:r>
        <w:t xml:space="preserve">A1 데이터 및 학습 기간</w:t>
      </w:r>
      <w:bookmarkEnd w:id="69"/>
    </w:p>
    <w:p>
      <w:pPr/>
      <w:r>
        <w:t xml:space="preserve">HMM 학습에는 Fama-French 5팩터(Fama-French 5-factor model, FF5)(일별), 매크로 지표 5개(VIX, 장단기 금리차 등), 그리고 개별 종목 일별 수익률로부터 산출한 동일 가중 시장 수익률을 결합한 데이터를 사용하였다. 학습 기간은 2004년 4월부터 2026년 2월까지이며, 유효 거래일은 총 5,512일이다.</w:t>
      </w:r>
    </w:p>
    <w:p>
      <w:pPr/>
      <w:r>
        <w:t xml:space="preserve">HMM은 실시간 트레이딩 신호 생성이 아닌 사후적 시장 국면 정의가 목적이므로, 전체 구간 학습 방식의 미래 정보 반영 문제(look-ahead bias)는 본 연구의 분석 목적상 해당되지 않는다. 또한 국면 레이블은 BL 모형 학습 과정에 직접 투입되지 않으므로 정보 누설 경로도 없다.</w:t>
      </w:r>
    </w:p>
    <w:p>
      <w:pPr>
        <w:pStyle w:val="2"/>
        <w:numPr>
          <w:ilvl w:val="0"/>
          <w:numId w:val="0"/>
        </w:numPr>
      </w:pPr>
      <w:bookmarkStart w:id="70" w:name="a2-입력-피처"/>
      <w:r>
        <w:t xml:space="preserve">A2 입력 피처</w:t>
      </w:r>
      <w:bookmarkEnd w:id="70"/>
    </w:p>
    <w:p>
      <w:pPr/>
      <w:r>
        <w:t xml:space="preserve">16개 후보 피처 중 이론적 근거를 먼저 적용하고, ADF 단위근 검정·상관 행렬·분산팽창지수(VIF) 다중공선성 검증을 통해 최종 6개 피처를 선별하였다(표 A.1). 통계 검증은 전체 데이터를 기반으로 계산하였으며, 입력 데이터는 Z-score 방식으로 표준화 후 HMM에 투입하였다.</w:t>
      </w:r>
    </w:p>
    <w:bookmarkStart w:id="71" w:name="tab:a1_features"/>
    <w:p>
      <w:pPr>
        <w:keepNext/>
        <w:jc w:val="center"/>
      </w:pPr>
      <w:r>
        <w:t xml:space="preserve">&lt;표 A.1&gt; HMM 입력 피처 선택 결과</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pPr>
              <w:pStyle w:val="a8"/>
              <w:jc w:val="left"/>
            </w:pPr>
            <w:r>
              <w:rPr>
                <w:b/>
              </w:rPr>
              <w:t xml:space="preserve">피처</w:t>
            </w:r>
          </w:p>
        </w:tc>
        <w:tc>
          <w:tcPr>
            <w:tcBorders>
              <w:top w:val="single" w:sz="12" w:space="0" w:color="auto"/>
              <w:bottom w:val="single" w:sz="4" w:space="0" w:color="auto"/>
            </w:tcBorders>
            <w:vAlign w:val="center"/>
          </w:tcPr>
          <w:p>
            <w:pPr>
              <w:pStyle w:val="a8"/>
              <w:jc w:val="left"/>
            </w:pPr>
            <w:r>
              <w:rPr>
                <w:b/>
              </w:rPr>
              <w:t xml:space="preserve">설명</w:t>
            </w:r>
          </w:p>
        </w:tc>
        <w:tc>
          <w:tcPr>
            <w:tcBorders>
              <w:top w:val="single" w:sz="12" w:space="0" w:color="auto"/>
              <w:bottom w:val="single" w:sz="4" w:space="0" w:color="auto"/>
            </w:tcBorders>
            <w:vAlign w:val="center"/>
          </w:tcPr>
          <w:p>
            <w:pPr>
              <w:pStyle w:val="a8"/>
              <w:jc w:val="left"/>
            </w:pPr>
            <w:r>
              <w:rPr>
                <w:b/>
              </w:rPr>
              <w:t xml:space="preserve">선택 근거</w:t>
            </w:r>
          </w:p>
        </w:tc>
      </w:tr>
      <w:tr>
        <w:tc>
          <w:tcPr>
            <w:vAlign w:val="center"/>
          </w:tcPr>
          <w:p>
            <w:pPr>
              <w:pStyle w:val="a8"/>
              <w:jc w:val="left"/>
            </w:pPr>
            <w:r>
              <w:rPr>
                <w:rStyle w:val="VerbatimChar"/>
              </w:rPr>
              <w:t xml:space="preserve">mkt</w:t>
            </w:r>
            <w:r>
              <w:rPr>
                <w:rStyle w:val="VerbatimChar"/>
                <w:vertAlign w:val="subscript"/>
              </w:rPr>
              <w:t xml:space="preserve">rf</w:t>
            </w:r>
          </w:p>
        </w:tc>
        <w:tc>
          <w:tcPr>
            <w:vAlign w:val="center"/>
          </w:tcPr>
          <w:p>
            <w:pPr>
              <w:pStyle w:val="a8"/>
              <w:jc w:val="left"/>
            </w:pPr>
            <w:r>
              <w:t xml:space="preserve">시장 초과수익률 (일별)</w:t>
            </w:r>
          </w:p>
        </w:tc>
        <w:tc>
          <w:tcPr>
            <w:vAlign w:val="center"/>
          </w:tcPr>
          <w:p>
            <w:pPr>
              <w:pStyle w:val="a8"/>
              <w:jc w:val="left"/>
            </w:pPr>
            <w:r>
              <w:t xml:space="preserve">Bull/Bear 구분의 직접 수익 신호</w:t>
            </w:r>
          </w:p>
        </w:tc>
      </w:tr>
      <w:tr>
        <w:tc>
          <w:tcPr>
            <w:vAlign w:val="center"/>
          </w:tcPr>
          <w:p>
            <w:pPr>
              <w:pStyle w:val="a8"/>
              <w:jc w:val="left"/>
            </w:pPr>
            <w:r>
              <w:rPr>
                <w:rStyle w:val="VerbatimChar"/>
              </w:rPr>
              <w:t xml:space="preserve">vol</w:t>
            </w:r>
            <w:r>
              <w:rPr>
                <w:rStyle w:val="VerbatimChar"/>
                <w:vertAlign w:val="subscript"/>
              </w:rPr>
              <w:t xml:space="preserve">21d</w:t>
            </w:r>
            <w:r>
              <w:rPr>
                <w:rStyle w:val="VerbatimChar"/>
                <w:vertAlign w:val="subscript"/>
              </w:rPr>
              <w:t xml:space="preserve">daily</w:t>
            </w:r>
          </w:p>
        </w:tc>
        <w:tc>
          <w:tcPr>
            <w:vAlign w:val="center"/>
          </w:tcPr>
          <w:p>
            <w:pPr>
              <w:pStyle w:val="a8"/>
              <w:jc w:val="left"/>
            </w:pPr>
            <w:r>
              <w:t xml:space="preserve">21일 실현변동성</w:t>
            </w:r>
          </w:p>
        </w:tc>
        <w:tc>
          <w:tcPr>
            <w:vAlign w:val="center"/>
          </w:tcPr>
          <w:p>
            <w:pPr>
              <w:pStyle w:val="a8"/>
              <w:jc w:val="left"/>
            </w:pPr>
            <w:r>
              <w:t xml:space="preserve">국면 라벨링 기준 (변동성 순 정렬)</w:t>
            </w:r>
          </w:p>
        </w:tc>
      </w:tr>
      <w:tr>
        <w:tc>
          <w:tcPr>
            <w:vAlign w:val="center"/>
          </w:tcPr>
          <w:p>
            <w:pPr>
              <w:pStyle w:val="a8"/>
              <w:jc w:val="left"/>
            </w:pPr>
            <w:r>
              <w:rPr>
                <w:rStyle w:val="VerbatimChar"/>
              </w:rPr>
              <w:t xml:space="preserve">vol</w:t>
            </w:r>
            <w:r>
              <w:rPr>
                <w:rStyle w:val="VerbatimChar"/>
                <w:vertAlign w:val="subscript"/>
              </w:rPr>
              <w:t xml:space="preserve">ratio</w:t>
            </w:r>
          </w:p>
        </w:tc>
        <w:tc>
          <w:tcPr>
            <w:vAlign w:val="center"/>
          </w:tcPr>
          <w:p>
            <w:pPr>
              <w:pStyle w:val="a8"/>
              <w:jc w:val="left"/>
            </w:pPr>
            <w:r>
              <w:t xml:space="preserve">단기/장기 변동성 비율</w:t>
            </w:r>
          </w:p>
        </w:tc>
        <w:tc>
          <w:tcPr>
            <w:vAlign w:val="center"/>
          </w:tcPr>
          <w:p>
            <w:pPr>
              <w:pStyle w:val="a8"/>
              <w:jc w:val="left"/>
            </w:pPr>
            <w:r>
              <w:t xml:space="preserve">국면 전환 선행 신호 (</w:t>
            </w:r>
            <m:oMath>
              <m:r>
                <m:t>&gt;</m:t>
              </m:r>
            </m:oMath>
            <w:r>
              <w:t xml:space="preserve">1이면 변동성 급증)</w:t>
            </w:r>
          </w:p>
        </w:tc>
      </w:tr>
      <w:tr>
        <w:tc>
          <w:tcPr>
            <w:vAlign w:val="center"/>
          </w:tcPr>
          <w:p>
            <w:pPr>
              <w:pStyle w:val="a8"/>
              <w:jc w:val="left"/>
            </w:pPr>
            <w:r>
              <w:rPr>
                <w:rStyle w:val="VerbatimChar"/>
              </w:rPr>
              <w:t xml:space="preserve">vix</w:t>
            </w:r>
            <w:r>
              <w:rPr>
                <w:rStyle w:val="VerbatimChar"/>
                <w:vertAlign w:val="subscript"/>
              </w:rPr>
              <w:t xml:space="preserve">basis</w:t>
            </w:r>
          </w:p>
        </w:tc>
        <w:tc>
          <w:tcPr>
            <w:vAlign w:val="center"/>
          </w:tcPr>
          <w:p>
            <w:pPr>
              <w:pStyle w:val="a8"/>
              <w:jc w:val="left"/>
            </w:pPr>
            <w:r>
              <w:t xml:space="preserve">기대변동성</w:t>
            </w:r>
            <w:r>
              <w:t xml:space="preserve"> </w:t>
            </w:r>
            <m:oMath>
              <m:r>
                <m:t>−</m:t>
              </m:r>
            </m:oMath>
            <w:r>
              <w:t xml:space="preserve"> </w:t>
            </w:r>
            <w:r>
              <w:t xml:space="preserve">실현변동성</w:t>
            </w:r>
          </w:p>
        </w:tc>
        <w:tc>
          <w:tcPr>
            <w:vAlign w:val="center"/>
          </w:tcPr>
          <w:p>
            <w:pPr>
              <w:pStyle w:val="a8"/>
              <w:jc w:val="left"/>
            </w:pPr>
            <w:r>
              <w:t xml:space="preserve">패닉 국면 식별 (음수</w:t>
            </w:r>
            <w:r>
              <w:t xml:space="preserve"> </w:t>
            </w:r>
            <m:oMath>
              <m:r>
                <m:t>=</m:t>
              </m:r>
            </m:oMath>
            <w:r>
              <w:t xml:space="preserve"> </w:t>
            </w:r>
            <w:r>
              <w:t xml:space="preserve">공포 실현, Bear/Crisis)</w:t>
            </w:r>
          </w:p>
        </w:tc>
      </w:tr>
      <w:tr>
        <w:tc>
          <w:tcPr>
            <w:vAlign w:val="center"/>
          </w:tcPr>
          <w:p>
            <w:pPr>
              <w:pStyle w:val="a8"/>
              <w:jc w:val="left"/>
            </w:pPr>
            <w:r>
              <w:rPr>
                <w:rStyle w:val="VerbatimChar"/>
              </w:rPr>
              <w:t xml:space="preserve">t10y2y</w:t>
            </w:r>
            <w:r>
              <w:rPr>
                <w:rStyle w:val="VerbatimChar"/>
                <w:vertAlign w:val="subscript"/>
              </w:rPr>
              <w:t xml:space="preserve">chg</w:t>
            </w:r>
          </w:p>
        </w:tc>
        <w:tc>
          <w:tcPr>
            <w:vAlign w:val="center"/>
          </w:tcPr>
          <w:p>
            <w:pPr>
              <w:pStyle w:val="a8"/>
              <w:jc w:val="left"/>
            </w:pPr>
            <w:r>
              <w:t xml:space="preserve">장단기 금리차 1차 차분</w:t>
            </w:r>
          </w:p>
        </w:tc>
        <w:tc>
          <w:tcPr>
            <w:vAlign w:val="center"/>
          </w:tcPr>
          <w:p>
            <w:pPr>
              <w:pStyle w:val="a8"/>
              <w:jc w:val="left"/>
            </w:pPr>
            <w:r>
              <w:t xml:space="preserve">경기 국면 변화 선행지표 (ADF 비정상으로 대체)</w:t>
            </w:r>
          </w:p>
        </w:tc>
      </w:tr>
      <w:tr>
        <w:tc>
          <w:tcPr>
            <w:tcBorders>
              <w:bottom w:val="single" w:sz="12" w:space="0" w:color="auto"/>
            </w:tcBorders>
            <w:vAlign w:val="center"/>
          </w:tcPr>
          <w:p>
            <w:pPr>
              <w:pStyle w:val="a8"/>
              <w:jc w:val="left"/>
            </w:pPr>
            <w:r>
              <w:rPr>
                <w:rStyle w:val="VerbatimChar"/>
              </w:rPr>
              <w:t xml:space="preserve">mom</w:t>
            </w:r>
          </w:p>
        </w:tc>
        <w:tc>
          <w:tcPr>
            <w:tcBorders>
              <w:bottom w:val="single" w:sz="12" w:space="0" w:color="auto"/>
            </w:tcBorders>
            <w:vAlign w:val="center"/>
          </w:tcPr>
          <w:p>
            <w:pPr>
              <w:pStyle w:val="a8"/>
              <w:jc w:val="left"/>
            </w:pPr>
            <w:r>
              <w:t xml:space="preserve">모멘텀 팩터</w:t>
            </w:r>
          </w:p>
        </w:tc>
        <w:tc>
          <w:tcPr>
            <w:tcBorders>
              <w:bottom w:val="single" w:sz="12" w:space="0" w:color="auto"/>
            </w:tcBorders>
            <w:vAlign w:val="center"/>
          </w:tcPr>
          <w:p>
            <w:pPr>
              <w:pStyle w:val="a8"/>
              <w:jc w:val="left"/>
            </w:pPr>
            <w:r>
              <w:t xml:space="preserve">추세 지속성 (Bull: 양수, Bear: 음수)</w:t>
            </w:r>
          </w:p>
        </w:tc>
      </w:tr>
    </w:tbl>
    <w:bookmarkEnd w:id="71"/>
    <w:p>
      <w:pPr>
        <w:pStyle w:val="2"/>
        <w:numPr>
          <w:ilvl w:val="0"/>
          <w:numId w:val="0"/>
        </w:numPr>
      </w:pPr>
      <w:bookmarkStart w:id="72" w:name="a3-모형-설정-및-국면-수-선택"/>
      <w:r>
        <w:t xml:space="preserve">A3 모형 설정 및 국면 수 선택</w:t>
      </w:r>
      <w:bookmarkEnd w:id="72"/>
    </w:p>
    <w:p>
      <w:pPr/>
      <w:r>
        <w:t xml:space="preserve">Gaussian HMM을 사용하였으며, 방출 분포는 국면별 독립적인 완전 공분산 행렬(full covariance) 구조로 설정하였다.</w:t>
      </w:r>
      <w:r>
        <w:t xml:space="preserve"> </w:t>
      </w:r>
      <m:oMath>
        <m:r>
          <m:t>n</m:t>
        </m:r>
        <m:r>
          <m:t>=</m:t>
        </m:r>
        <m:r>
          <m:t>3</m:t>
        </m:r>
        <m:r>
          <m:t>,</m:t>
        </m:r>
        <m:r>
          <m:t>4</m:t>
        </m:r>
        <m:r>
          <m:t>,</m:t>
        </m:r>
        <m:r>
          <m:t>5</m:t>
        </m:r>
      </m:oMath>
      <w:r>
        <w:t xml:space="preserve">에 대해 전체 기간 HMM을 각각 학습하고 국면 안정성과 경제적 해석 가능성을 기준으로 최적 국면 수를 비교하였다.</w:t>
      </w:r>
    </w:p>
    <w:p>
      <w:pPr/>
      <m:oMath>
        <m:r>
          <m:t>n</m:t>
        </m:r>
        <m:r>
          <m:t>=</m:t>
        </m:r>
        <m:r>
          <m:t>4</m:t>
        </m:r>
      </m:oMath>
      <w:r>
        <w:t xml:space="preserve"> </w:t>
      </w:r>
      <w:r>
        <w:t xml:space="preserve">및</w:t>
      </w:r>
      <w:r>
        <w:t xml:space="preserve"> </w:t>
      </w:r>
      <m:oMath>
        <m:r>
          <m:t>n</m:t>
        </m:r>
        <m:r>
          <m:t>=</m:t>
        </m:r>
        <m:r>
          <m:t>5</m:t>
        </m:r>
      </m:oMath>
      <w:r>
        <w:t xml:space="preserve">에서 추가로 분리되는 국면은 Bull이 Mild_Bull로 세분화되는 형태이나, 이 세분화가 GFC(글로벌 금융위기)·COVID·2022 Bear 등 기존 시장 사건과의 대응 관계에서</w:t>
      </w:r>
      <w:r>
        <w:t xml:space="preserve"> </w:t>
      </w:r>
      <m:oMath>
        <m:r>
          <m:t>n</m:t>
        </m:r>
        <m:r>
          <m:t>=</m:t>
        </m:r>
        <m:r>
          <m:t>3</m:t>
        </m:r>
      </m:oMath>
      <w:r>
        <w:t xml:space="preserve"> </w:t>
      </w:r>
      <w:r>
        <w:t xml:space="preserve">대비 명확한 우위를 보이지 않는다. Bear 및 위기 구간은</w:t>
      </w:r>
      <w:r>
        <w:t xml:space="preserve"> </w:t>
      </w:r>
      <m:oMath>
        <m:r>
          <m:t>n</m:t>
        </m:r>
      </m:oMath>
      <w:r>
        <w:t xml:space="preserve">에 관계없이 일관되게 포착되므로, 경제적 해석 가능성과 국면 레이블 단순성을 기준으로</w:t>
      </w:r>
      <w:r>
        <w:t xml:space="preserve"> </w:t>
      </w:r>
      <m:oMath>
        <m:r>
          <m:t>n</m:t>
        </m:r>
        <m:r>
          <m:t>=</m:t>
        </m:r>
        <m:r>
          <m:t>3</m:t>
        </m:r>
      </m:oMath>
      <w:r>
        <w:t xml:space="preserve">을 최종 채택하였다. 국면 레이블은 각 국면의 평균</w:t>
      </w:r>
      <w:r>
        <w:t xml:space="preserve"> </w:t>
      </w:r>
      <w:r>
        <w:rPr>
          <w:rStyle w:val="VerbatimChar"/>
        </w:rPr>
        <w:t xml:space="preserve">vol_21d_daily</w:t>
      </w:r>
      <w:r>
        <w:t xml:space="preserve"> </w:t>
      </w:r>
      <w:r>
        <w:t xml:space="preserve">값 기준 오름차순으로 Bull(저변동·강세), Neutral(중변동·중립), Bear(고변동·약세) 순서로 부여하였다.</w:t>
      </w:r>
    </w:p>
    <w:p>
      <w:pPr/>
      <m:oMath>
        <m:r>
          <m:t>n</m:t>
        </m:r>
        <m:r>
          <m:t>=</m:t>
        </m:r>
        <m:r>
          <m:t>3</m:t>
        </m:r>
        <m:r>
          <m:t>,</m:t>
        </m:r>
        <m:r>
          <m:t>4</m:t>
        </m:r>
        <m:r>
          <m:t>,</m:t>
        </m:r>
        <m:r>
          <m:t>5</m:t>
        </m:r>
      </m:oMath>
      <w:r>
        <w:t xml:space="preserve"> </w:t>
      </w:r>
      <w:r>
        <w:t xml:space="preserve">비교 결과,</w:t>
      </w:r>
      <w:r>
        <w:t xml:space="preserve"> </w:t>
      </w:r>
      <m:oMath>
        <m:r>
          <m:t>n</m:t>
        </m:r>
      </m:oMath>
      <w:r>
        <w:t xml:space="preserve">이 커질수록 평균 최대 사후 확률이 낮아지며(</w:t>
      </w:r>
      <m:oMath>
        <m:r>
          <m:t>n</m:t>
        </m:r>
        <m:r>
          <m:t>=</m:t>
        </m:r>
        <m:r>
          <m:t>3</m:t>
        </m:r>
      </m:oMath>
      <w:r>
        <w:t xml:space="preserve">: 0.984,</w:t>
      </w:r>
      <w:r>
        <w:t xml:space="preserve"> </w:t>
      </w:r>
      <m:oMath>
        <m:r>
          <m:t>n</m:t>
        </m:r>
        <m:r>
          <m:t>=</m:t>
        </m:r>
        <m:r>
          <m:t>4</m:t>
        </m:r>
      </m:oMath>
      <w:r>
        <w:t xml:space="preserve">: 0.971,</w:t>
      </w:r>
      <w:r>
        <w:t xml:space="preserve"> </w:t>
      </w:r>
      <m:oMath>
        <m:r>
          <m:t>n</m:t>
        </m:r>
        <m:r>
          <m:t>=</m:t>
        </m:r>
        <m:r>
          <m:t>5</m:t>
        </m:r>
      </m:oMath>
      <w:r>
        <w:t xml:space="preserve">: 0.976), 고확신 구간(</w:t>
      </w:r>
      <m:oMath>
        <m:r>
          <m:t>≥</m:t>
        </m:r>
        <m:r>
          <m:t>90</m:t>
        </m:r>
        <m:r>
          <m:t>%</m:t>
        </m:r>
      </m:oMath>
      <w:r>
        <w:t xml:space="preserve">) 비율도 감소한다.</w:t>
      </w:r>
      <w:r>
        <w:t xml:space="preserve"> </w:t>
      </w:r>
      <m:oMath>
        <m:r>
          <m:t>n</m:t>
        </m:r>
        <m:r>
          <m:t>=</m:t>
        </m:r>
        <m:r>
          <m:t>3</m:t>
        </m:r>
      </m:oMath>
      <w:r>
        <w:t xml:space="preserve">에서 전체 거래일의 94.5%가 고확신 구간에 해당해 국면 레이블 신뢰성이 가장 우수하였으며, 이를 최종 채택하였다.</w:t>
      </w:r>
    </w:p>
    <w:bookmarkStart w:id="73" w:name="tab:a1_confidence"/>
    <w:p>
      <w:pPr>
        <w:keepNext/>
        <w:jc w:val="center"/>
      </w:pPr>
      <w:r>
        <w:t xml:space="preserve">&lt;표 A.2&gt; 국면 분류 모형 확신도</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pPr>
              <w:pStyle w:val="a8"/>
              <w:jc w:val="center"/>
            </w:pPr>
            <m:oMath>
              <m:r>
                <m:t>n</m:t>
              </m:r>
            </m:oMath>
          </w:p>
        </w:tc>
        <w:tc>
          <w:tcPr>
            <w:tcBorders>
              <w:top w:val="single" w:sz="12" w:space="0" w:color="auto"/>
              <w:bottom w:val="single" w:sz="4" w:space="0" w:color="auto"/>
            </w:tcBorders>
            <w:vAlign w:val="center"/>
          </w:tcPr>
          <w:p>
            <w:pPr>
              <w:pStyle w:val="a8"/>
              <w:jc w:val="center"/>
            </w:pPr>
            <w:r>
              <w:rPr>
                <w:b/>
              </w:rPr>
              <w:t xml:space="preserve">평균 최대 사후 확률</w:t>
            </w:r>
          </w:p>
        </w:tc>
        <w:tc>
          <w:tcPr>
            <w:tcBorders>
              <w:top w:val="single" w:sz="12" w:space="0" w:color="auto"/>
              <w:bottom w:val="single" w:sz="4" w:space="0" w:color="auto"/>
            </w:tcBorders>
            <w:vAlign w:val="center"/>
          </w:tcPr>
          <w:p>
            <w:pPr>
              <w:pStyle w:val="a8"/>
              <w:jc w:val="center"/>
            </w:pPr>
            <m:oMath>
              <m:r>
                <m:t>≥</m:t>
              </m:r>
            </m:oMath>
            <w:r>
              <w:rPr>
                <w:b/>
              </w:rPr>
              <w:t xml:space="preserve">90% 고확신</w:t>
            </w:r>
          </w:p>
        </w:tc>
        <w:tc>
          <w:tcPr>
            <w:tcBorders>
              <w:top w:val="single" w:sz="12" w:space="0" w:color="auto"/>
              <w:bottom w:val="single" w:sz="4" w:space="0" w:color="auto"/>
            </w:tcBorders>
            <w:vAlign w:val="center"/>
          </w:tcPr>
          <w:p>
            <w:pPr>
              <w:pStyle w:val="a8"/>
              <w:jc w:val="center"/>
            </w:pPr>
            <w:r>
              <w:rPr>
                <w:b/>
              </w:rPr>
              <w:t xml:space="preserve">70</w:t>
            </w:r>
            <m:oMath>
              <m:r>
                <m:t>∼</m:t>
              </m:r>
            </m:oMath>
            <w:r>
              <w:rPr>
                <w:b/>
              </w:rPr>
              <w:t xml:space="preserve">90%</w:t>
            </w:r>
          </w:p>
        </w:tc>
        <w:tc>
          <w:tcPr>
            <w:tcBorders>
              <w:top w:val="single" w:sz="12" w:space="0" w:color="auto"/>
              <w:bottom w:val="single" w:sz="4" w:space="0" w:color="auto"/>
            </w:tcBorders>
            <w:vAlign w:val="center"/>
          </w:tcPr>
          <w:p>
            <w:pPr>
              <w:pStyle w:val="a8"/>
              <w:jc w:val="center"/>
            </w:pPr>
            <m:oMath>
              <m:r>
                <m:t>&lt;</m:t>
              </m:r>
            </m:oMath>
            <w:r>
              <w:rPr>
                <w:b/>
              </w:rPr>
              <w:t xml:space="preserve">70% 불확실</w:t>
            </w:r>
          </w:p>
        </w:tc>
      </w:tr>
      <w:tr>
        <w:tc>
          <w:tcPr>
            <w:vAlign w:val="center"/>
          </w:tcPr>
          <w:p>
            <w:pPr>
              <w:pStyle w:val="a8"/>
              <w:jc w:val="center"/>
            </w:pPr>
            <w:r>
              <w:t xml:space="preserve">3</w:t>
            </w:r>
          </w:p>
        </w:tc>
        <w:tc>
          <w:tcPr>
            <w:vAlign w:val="center"/>
          </w:tcPr>
          <w:p>
            <w:pPr>
              <w:pStyle w:val="a8"/>
              <w:jc w:val="center"/>
            </w:pPr>
            <w:r>
              <w:t xml:space="preserve">0.984</w:t>
            </w:r>
          </w:p>
        </w:tc>
        <w:tc>
          <w:tcPr>
            <w:vAlign w:val="center"/>
          </w:tcPr>
          <w:p>
            <w:pPr>
              <w:pStyle w:val="a8"/>
              <w:jc w:val="center"/>
            </w:pPr>
            <w:r>
              <w:t xml:space="preserve">94.5% (5,207일)</w:t>
            </w:r>
          </w:p>
        </w:tc>
        <w:tc>
          <w:tcPr>
            <w:vAlign w:val="center"/>
          </w:tcPr>
          <w:p>
            <w:pPr>
              <w:pStyle w:val="a8"/>
              <w:jc w:val="center"/>
            </w:pPr>
            <w:r>
              <w:t xml:space="preserve">3.8% (207일)</w:t>
            </w:r>
          </w:p>
        </w:tc>
        <w:tc>
          <w:tcPr>
            <w:vAlign w:val="center"/>
          </w:tcPr>
          <w:p>
            <w:pPr>
              <w:pStyle w:val="a8"/>
              <w:jc w:val="center"/>
            </w:pPr>
            <w:r>
              <w:t xml:space="preserve">1.8% (98일)</w:t>
            </w:r>
          </w:p>
        </w:tc>
      </w:tr>
      <w:tr>
        <w:tc>
          <w:tcPr>
            <w:vAlign w:val="center"/>
          </w:tcPr>
          <w:p>
            <w:pPr>
              <w:pStyle w:val="a8"/>
              <w:jc w:val="center"/>
            </w:pPr>
            <w:r>
              <w:t xml:space="preserve">4</w:t>
            </w:r>
          </w:p>
        </w:tc>
        <w:tc>
          <w:tcPr>
            <w:vAlign w:val="center"/>
          </w:tcPr>
          <w:p>
            <w:pPr>
              <w:pStyle w:val="a8"/>
              <w:jc w:val="center"/>
            </w:pPr>
            <w:r>
              <w:t xml:space="preserve">0.971</w:t>
            </w:r>
          </w:p>
        </w:tc>
        <w:tc>
          <w:tcPr>
            <w:vAlign w:val="center"/>
          </w:tcPr>
          <w:p>
            <w:pPr>
              <w:pStyle w:val="a8"/>
              <w:jc w:val="center"/>
            </w:pPr>
            <w:r>
              <w:t xml:space="preserve">90.9% (5,012일)</w:t>
            </w:r>
          </w:p>
        </w:tc>
        <w:tc>
          <w:tcPr>
            <w:vAlign w:val="center"/>
          </w:tcPr>
          <w:p>
            <w:pPr>
              <w:pStyle w:val="a8"/>
              <w:jc w:val="center"/>
            </w:pPr>
            <w:r>
              <w:t xml:space="preserve">5.5% (301일)</w:t>
            </w:r>
          </w:p>
        </w:tc>
        <w:tc>
          <w:tcPr>
            <w:vAlign w:val="center"/>
          </w:tcPr>
          <w:p>
            <w:pPr>
              <w:pStyle w:val="a8"/>
              <w:jc w:val="center"/>
            </w:pPr>
            <w:r>
              <w:t xml:space="preserve">3.6% (199일)</w:t>
            </w:r>
          </w:p>
        </w:tc>
      </w:tr>
      <w:tr>
        <w:tc>
          <w:tcPr>
            <w:tcBorders>
              <w:bottom w:val="single" w:sz="12" w:space="0" w:color="auto"/>
            </w:tcBorders>
            <w:vAlign w:val="center"/>
          </w:tcPr>
          <w:p>
            <w:pPr>
              <w:pStyle w:val="a8"/>
              <w:jc w:val="center"/>
            </w:pPr>
            <w:r>
              <w:t xml:space="preserve">5</w:t>
            </w:r>
          </w:p>
        </w:tc>
        <w:tc>
          <w:tcPr>
            <w:tcBorders>
              <w:bottom w:val="single" w:sz="12" w:space="0" w:color="auto"/>
            </w:tcBorders>
            <w:vAlign w:val="center"/>
          </w:tcPr>
          <w:p>
            <w:pPr>
              <w:pStyle w:val="a8"/>
              <w:jc w:val="center"/>
            </w:pPr>
            <w:r>
              <w:t xml:space="preserve">0.976</w:t>
            </w:r>
          </w:p>
        </w:tc>
        <w:tc>
          <w:tcPr>
            <w:tcBorders>
              <w:bottom w:val="single" w:sz="12" w:space="0" w:color="auto"/>
            </w:tcBorders>
            <w:vAlign w:val="center"/>
          </w:tcPr>
          <w:p>
            <w:pPr>
              <w:pStyle w:val="a8"/>
              <w:jc w:val="center"/>
            </w:pPr>
            <w:r>
              <w:t xml:space="preserve">92.2% (5,084일)</w:t>
            </w:r>
          </w:p>
        </w:tc>
        <w:tc>
          <w:tcPr>
            <w:tcBorders>
              <w:bottom w:val="single" w:sz="12" w:space="0" w:color="auto"/>
            </w:tcBorders>
            <w:vAlign w:val="center"/>
          </w:tcPr>
          <w:p>
            <w:pPr>
              <w:pStyle w:val="a8"/>
              <w:jc w:val="center"/>
            </w:pPr>
            <w:r>
              <w:t xml:space="preserve">5.1% (279일)</w:t>
            </w:r>
          </w:p>
        </w:tc>
        <w:tc>
          <w:tcPr>
            <w:tcBorders>
              <w:bottom w:val="single" w:sz="12" w:space="0" w:color="auto"/>
            </w:tcBorders>
            <w:vAlign w:val="center"/>
          </w:tcPr>
          <w:p>
            <w:pPr>
              <w:pStyle w:val="a8"/>
              <w:jc w:val="center"/>
            </w:pPr>
            <w:r>
              <w:t xml:space="preserve">2.7% (149일)</w:t>
            </w:r>
          </w:p>
        </w:tc>
      </w:tr>
    </w:tbl>
    <w:bookmarkEnd w:id="73"/>
    <w:p>
      <w:pPr/>
      <m:oMath>
        <m:sSup>
          <m:e>
            <m:r>
              <m:t>​</m:t>
            </m:r>
          </m:e>
          <m:sup>
            <m:r>
              <m:t>*</m:t>
            </m:r>
          </m:sup>
        </m:sSup>
      </m:oMath>
      <w:r>
        <w:t xml:space="preserve"> </w:t>
      </w:r>
      <w:r>
        <w:t xml:space="preserve">최대 사후 확률: 각 거래일에서 가장 높은 국면 소속 사후 확률.</w:t>
      </w:r>
    </w:p>
    <w:p>
      <w:pPr>
        <w:pStyle w:val="2"/>
        <w:numPr>
          <w:ilvl w:val="0"/>
          <w:numId w:val="0"/>
        </w:numPr>
      </w:pPr>
      <w:bookmarkStart w:id="74" w:name="a4-국면별-기초-통계"/>
      <w:r>
        <w:t xml:space="preserve">A4 국면별 기초 통계</w:t>
      </w:r>
      <w:bookmarkEnd w:id="74"/>
    </w:p>
    <w:p>
      <w:pPr/>
      <m:oMath>
        <m:r>
          <m:t>n</m:t>
        </m:r>
        <m:r>
          <m:t>=</m:t>
        </m:r>
        <m:r>
          <m:t>3</m:t>
        </m:r>
      </m:oMath>
      <w:r>
        <w:t xml:space="preserve"> </w:t>
      </w:r>
      <w:r>
        <w:t xml:space="preserve">기준 각 국면의 기초 통계는 표 A.3와 같다. Bear 국면의 일평균 변동성은 Bull 대비 약 3.5배(2.271% / 0.653%), VIX는 약 2.5배(35.0 / 14.0)로 높다. 일평균 수익률·변동성·VIX 모두 Bull</w:t>
      </w:r>
      <w:r>
        <w:t xml:space="preserve"> </w:t>
      </w:r>
      <m:oMath>
        <m:r>
          <m:t>→</m:t>
        </m:r>
      </m:oMath>
      <w:r>
        <w:t xml:space="preserve"> </w:t>
      </w:r>
      <w:r>
        <w:t xml:space="preserve">Neutral</w:t>
      </w:r>
      <w:r>
        <w:t xml:space="preserve"> </w:t>
      </w:r>
      <m:oMath>
        <m:r>
          <m:t>→</m:t>
        </m:r>
      </m:oMath>
      <w:r>
        <w:t xml:space="preserve"> </w:t>
      </w:r>
      <w:r>
        <w:t xml:space="preserve">Bear 순서로 단조 증가/감소하여, 각 국면이 서로 다른 시장 체질을 나타냄을 확인하였다.</w:t>
      </w:r>
    </w:p>
    <w:bookmarkStart w:id="75" w:name="tab:a1_stats"/>
    <w:p>
      <w:pPr>
        <w:keepNext/>
        <w:jc w:val="center"/>
      </w:pPr>
      <w:r>
        <w:t xml:space="preserve">&lt;표 A.3&gt; 국면별 기초 통계 (</w:t>
      </w:r>
      <m:oMath>
        <m:r>
          <m:t>n</m:t>
        </m:r>
        <m:r>
          <m:t>=</m:t>
        </m:r>
        <m:r>
          <m:t>3</m:t>
        </m:r>
      </m:oMath>
      <w:r>
        <w:t xml:space="preserve">)</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pPr>
              <w:pStyle w:val="a8"/>
              <w:jc w:val="left"/>
            </w:pPr>
            <w:r>
              <w:rPr>
                <w:b/>
              </w:rPr>
              <w:t xml:space="preserve">국면</w:t>
            </w:r>
          </w:p>
        </w:tc>
        <w:tc>
          <w:tcPr>
            <w:tcBorders>
              <w:top w:val="single" w:sz="12" w:space="0" w:color="auto"/>
              <w:bottom w:val="single" w:sz="4" w:space="0" w:color="auto"/>
            </w:tcBorders>
            <w:vAlign w:val="center"/>
          </w:tcPr>
          <w:p>
            <w:pPr>
              <w:pStyle w:val="a8"/>
              <w:jc w:val="center"/>
            </w:pPr>
            <w:r>
              <w:rPr>
                <w:b/>
              </w:rPr>
              <w:t xml:space="preserve">비중</w:t>
            </w:r>
          </w:p>
        </w:tc>
        <w:tc>
          <w:tcPr>
            <w:tcBorders>
              <w:top w:val="single" w:sz="12" w:space="0" w:color="auto"/>
              <w:bottom w:val="single" w:sz="4" w:space="0" w:color="auto"/>
            </w:tcBorders>
            <w:vAlign w:val="center"/>
          </w:tcPr>
          <w:p>
            <w:pPr>
              <w:pStyle w:val="a8"/>
              <w:jc w:val="center"/>
            </w:pPr>
            <w:r>
              <w:rPr>
                <w:b/>
              </w:rPr>
              <w:t xml:space="preserve">거래일</w:t>
            </w:r>
          </w:p>
        </w:tc>
        <w:tc>
          <w:tcPr>
            <w:tcBorders>
              <w:top w:val="single" w:sz="12" w:space="0" w:color="auto"/>
              <w:bottom w:val="single" w:sz="4" w:space="0" w:color="auto"/>
            </w:tcBorders>
            <w:vAlign w:val="center"/>
          </w:tcPr>
          <w:p>
            <w:pPr>
              <w:pStyle w:val="a8"/>
              <w:jc w:val="center"/>
            </w:pPr>
            <w:r>
              <w:rPr>
                <w:b/>
              </w:rPr>
              <w:t xml:space="preserve">일평균 수익률</w:t>
            </w:r>
          </w:p>
        </w:tc>
        <w:tc>
          <w:tcPr>
            <w:tcBorders>
              <w:top w:val="single" w:sz="12" w:space="0" w:color="auto"/>
              <w:bottom w:val="single" w:sz="4" w:space="0" w:color="auto"/>
            </w:tcBorders>
            <w:vAlign w:val="center"/>
          </w:tcPr>
          <w:p>
            <w:pPr>
              <w:pStyle w:val="a8"/>
              <w:jc w:val="center"/>
            </w:pPr>
            <w:r>
              <w:rPr>
                <w:b/>
              </w:rPr>
              <w:t xml:space="preserve">일평균 변동성</w:t>
            </w:r>
          </w:p>
        </w:tc>
        <w:tc>
          <w:tcPr>
            <w:tcBorders>
              <w:top w:val="single" w:sz="12" w:space="0" w:color="auto"/>
              <w:bottom w:val="single" w:sz="4" w:space="0" w:color="auto"/>
            </w:tcBorders>
            <w:vAlign w:val="center"/>
          </w:tcPr>
          <w:p>
            <w:pPr>
              <w:pStyle w:val="a8"/>
              <w:jc w:val="center"/>
            </w:pPr>
            <w:r>
              <w:rPr>
                <w:b/>
              </w:rPr>
              <w:t xml:space="preserve">평균 VIX</w:t>
            </w:r>
          </w:p>
        </w:tc>
      </w:tr>
      <w:tr>
        <w:tc>
          <w:tcPr>
            <w:vAlign w:val="center"/>
          </w:tcPr>
          <w:p>
            <w:pPr>
              <w:pStyle w:val="a8"/>
              <w:jc w:val="left"/>
            </w:pPr>
            <w:r>
              <w:t xml:space="preserve">Bull</w:t>
            </w:r>
          </w:p>
        </w:tc>
        <w:tc>
          <w:tcPr>
            <w:vAlign w:val="center"/>
          </w:tcPr>
          <w:p>
            <w:pPr>
              <w:pStyle w:val="a8"/>
              <w:jc w:val="center"/>
            </w:pPr>
            <w:r>
              <w:t xml:space="preserve">52.9%</w:t>
            </w:r>
          </w:p>
        </w:tc>
        <w:tc>
          <w:tcPr>
            <w:vAlign w:val="center"/>
          </w:tcPr>
          <w:p>
            <w:pPr>
              <w:pStyle w:val="a8"/>
              <w:jc w:val="center"/>
            </w:pPr>
            <w:r>
              <w:t xml:space="preserve">2,914일</w:t>
            </w:r>
          </w:p>
        </w:tc>
        <w:tc>
          <w:tcPr>
            <w:vAlign w:val="center"/>
          </w:tcPr>
          <w:p>
            <w:pPr>
              <w:pStyle w:val="a8"/>
              <w:jc w:val="center"/>
            </w:pPr>
            <m:oMath>
              <m:r>
                <m:t>+</m:t>
              </m:r>
            </m:oMath>
            <w:r>
              <w:t xml:space="preserve">0.063%</w:t>
            </w:r>
          </w:p>
        </w:tc>
        <w:tc>
          <w:tcPr>
            <w:vAlign w:val="center"/>
          </w:tcPr>
          <w:p>
            <w:pPr>
              <w:pStyle w:val="a8"/>
              <w:jc w:val="center"/>
            </w:pPr>
            <w:r>
              <w:t xml:space="preserve">0.653%</w:t>
            </w:r>
          </w:p>
        </w:tc>
        <w:tc>
          <w:tcPr>
            <w:vAlign w:val="center"/>
          </w:tcPr>
          <w:p>
            <w:pPr>
              <w:pStyle w:val="a8"/>
              <w:jc w:val="center"/>
            </w:pPr>
            <w:r>
              <w:t xml:space="preserve">14.0</w:t>
            </w:r>
          </w:p>
        </w:tc>
      </w:tr>
      <w:tr>
        <w:tc>
          <w:tcPr>
            <w:vAlign w:val="center"/>
          </w:tcPr>
          <w:p>
            <w:pPr>
              <w:pStyle w:val="a8"/>
              <w:jc w:val="left"/>
            </w:pPr>
            <w:r>
              <w:t xml:space="preserve">Neutral</w:t>
            </w:r>
          </w:p>
        </w:tc>
        <w:tc>
          <w:tcPr>
            <w:vAlign w:val="center"/>
          </w:tcPr>
          <w:p>
            <w:pPr>
              <w:pStyle w:val="a8"/>
              <w:jc w:val="center"/>
            </w:pPr>
            <w:r>
              <w:t xml:space="preserve">34.1%</w:t>
            </w:r>
          </w:p>
        </w:tc>
        <w:tc>
          <w:tcPr>
            <w:vAlign w:val="center"/>
          </w:tcPr>
          <w:p>
            <w:pPr>
              <w:pStyle w:val="a8"/>
              <w:jc w:val="center"/>
            </w:pPr>
            <w:r>
              <w:t xml:space="preserve">1,877일</w:t>
            </w:r>
          </w:p>
        </w:tc>
        <w:tc>
          <w:tcPr>
            <w:vAlign w:val="center"/>
          </w:tcPr>
          <w:p>
            <w:pPr>
              <w:pStyle w:val="a8"/>
              <w:jc w:val="center"/>
            </w:pPr>
            <m:oMath>
              <m:r>
                <m:t>+</m:t>
              </m:r>
            </m:oMath>
            <w:r>
              <w:t xml:space="preserve">0.025%</w:t>
            </w:r>
          </w:p>
        </w:tc>
        <w:tc>
          <w:tcPr>
            <w:vAlign w:val="center"/>
          </w:tcPr>
          <w:p>
            <w:pPr>
              <w:pStyle w:val="a8"/>
              <w:jc w:val="center"/>
            </w:pPr>
            <w:r>
              <w:t xml:space="preserve">1.070%</w:t>
            </w:r>
          </w:p>
        </w:tc>
        <w:tc>
          <w:tcPr>
            <w:vAlign w:val="center"/>
          </w:tcPr>
          <w:p>
            <w:pPr>
              <w:pStyle w:val="a8"/>
              <w:jc w:val="center"/>
            </w:pPr>
            <w:r>
              <w:t xml:space="preserve">20.7</w:t>
            </w:r>
          </w:p>
        </w:tc>
      </w:tr>
      <w:tr>
        <w:tc>
          <w:tcPr>
            <w:tcBorders>
              <w:bottom w:val="single" w:sz="12" w:space="0" w:color="auto"/>
            </w:tcBorders>
            <w:vAlign w:val="center"/>
          </w:tcPr>
          <w:p>
            <w:pPr>
              <w:pStyle w:val="a8"/>
              <w:jc w:val="left"/>
            </w:pPr>
            <w:r>
              <w:t xml:space="preserve">Bear</w:t>
            </w:r>
          </w:p>
        </w:tc>
        <w:tc>
          <w:tcPr>
            <w:tcBorders>
              <w:bottom w:val="single" w:sz="12" w:space="0" w:color="auto"/>
            </w:tcBorders>
            <w:vAlign w:val="center"/>
          </w:tcPr>
          <w:p>
            <w:pPr>
              <w:pStyle w:val="a8"/>
              <w:jc w:val="center"/>
            </w:pPr>
            <w:r>
              <w:t xml:space="preserve">13.1%</w:t>
            </w:r>
          </w:p>
        </w:tc>
        <w:tc>
          <w:tcPr>
            <w:tcBorders>
              <w:bottom w:val="single" w:sz="12" w:space="0" w:color="auto"/>
            </w:tcBorders>
            <w:vAlign w:val="center"/>
          </w:tcPr>
          <w:p>
            <w:pPr>
              <w:pStyle w:val="a8"/>
              <w:jc w:val="center"/>
            </w:pPr>
            <w:r>
              <w:t xml:space="preserve">721일</w:t>
            </w:r>
          </w:p>
        </w:tc>
        <w:tc>
          <w:tcPr>
            <w:tcBorders>
              <w:bottom w:val="single" w:sz="12" w:space="0" w:color="auto"/>
            </w:tcBorders>
            <w:vAlign w:val="center"/>
          </w:tcPr>
          <w:p>
            <w:pPr>
              <w:pStyle w:val="a8"/>
              <w:jc w:val="center"/>
            </w:pPr>
            <m:oMath>
              <m:r>
                <m:t>−</m:t>
              </m:r>
            </m:oMath>
            <w:r>
              <w:t xml:space="preserve">0.002%</w:t>
            </w:r>
          </w:p>
        </w:tc>
        <w:tc>
          <w:tcPr>
            <w:tcBorders>
              <w:bottom w:val="single" w:sz="12" w:space="0" w:color="auto"/>
            </w:tcBorders>
            <w:vAlign w:val="center"/>
          </w:tcPr>
          <w:p>
            <w:pPr>
              <w:pStyle w:val="a8"/>
              <w:jc w:val="center"/>
            </w:pPr>
            <w:r>
              <w:t xml:space="preserve">2.271%</w:t>
            </w:r>
          </w:p>
        </w:tc>
        <w:tc>
          <w:tcPr>
            <w:tcBorders>
              <w:bottom w:val="single" w:sz="12" w:space="0" w:color="auto"/>
            </w:tcBorders>
            <w:vAlign w:val="center"/>
          </w:tcPr>
          <w:p>
            <w:pPr>
              <w:pStyle w:val="a8"/>
              <w:jc w:val="center"/>
            </w:pPr>
            <w:r>
              <w:t xml:space="preserve">35.0</w:t>
            </w:r>
          </w:p>
        </w:tc>
      </w:tr>
    </w:tbl>
    <w:bookmarkEnd w:id="75"/>
    <w:p>
      <w:pPr/>
      <m:oMath>
        <m:sSup>
          <m:e>
            <m:r>
              <m:t>​</m:t>
            </m:r>
          </m:e>
          <m:sup>
            <m:r>
              <m:t>*</m:t>
            </m:r>
          </m:sup>
        </m:sSup>
      </m:oMath>
      <w:r>
        <w:t xml:space="preserve"> </w:t>
      </w:r>
      <w:r>
        <w:t xml:space="preserve">수익률 및 변동성은 일별 단위. VIX는 연환산 % (참고 수치).</w:t>
      </w:r>
    </w:p>
    <w:p>
      <w:pPr>
        <w:pStyle w:val="2"/>
        <w:numPr>
          <w:ilvl w:val="0"/>
          <w:numId w:val="0"/>
        </w:numPr>
      </w:pPr>
      <w:bookmarkStart w:id="76" w:name="a5-전이-행렬"/>
      <w:r>
        <w:t xml:space="preserve">A5 전이 행렬</w:t>
      </w:r>
      <w:bookmarkEnd w:id="76"/>
    </w:p>
    <w:p>
      <w:pPr/>
      <m:oMath>
        <m:r>
          <m:t>n</m:t>
        </m:r>
        <m:r>
          <m:t>=</m:t>
        </m:r>
        <m:r>
          <m:t>3</m:t>
        </m:r>
      </m:oMath>
      <w:r>
        <w:t xml:space="preserve"> </w:t>
      </w:r>
      <w:r>
        <w:t xml:space="preserve">기준 일별 국면 전이 행렬은 표 A.4와 같다. 대각선(자기전이) 확률이 0.969 이상으로, 국면은 일별 노이즈가 아닌 수 주</w:t>
      </w:r>
      <m:oMath>
        <m:r>
          <m:t>∼</m:t>
        </m:r>
      </m:oMath>
      <w:r>
        <w:t xml:space="preserve">수 달 단위로 지속되는 안정적 상태임을 확인하였다. Bull</w:t>
      </w:r>
      <w:r>
        <w:t xml:space="preserve"> </w:t>
      </w:r>
      <m:oMath>
        <m:r>
          <m:t>↔</m:t>
        </m:r>
      </m:oMath>
      <w:r>
        <w:t xml:space="preserve"> </w:t>
      </w:r>
      <w:r>
        <w:t xml:space="preserve">Bear 직접 전이 확률은 사실상 0으로, 국면 전환은 인접 상태를 경유해 점진적으로 이루어진다. 이러한 높은 국면 지속성은 국면 신호를 월별 리밸런싱 전략에 활용하기 위한 충분한 조건이 된다.</w:t>
      </w:r>
    </w:p>
    <w:bookmarkStart w:id="77" w:name="tab:a1_trans"/>
    <w:p>
      <w:pPr>
        <w:keepNext/>
        <w:jc w:val="center"/>
      </w:pPr>
      <w:r>
        <w:t xml:space="preserve">&lt;표 A.4&gt; 전이 행렬 (</w:t>
      </w:r>
      <m:oMath>
        <m:r>
          <m:t>n</m:t>
        </m:r>
        <m:r>
          <m:t>=</m:t>
        </m:r>
        <m:r>
          <m:t>3</m:t>
        </m:r>
      </m:oMath>
      <w:r>
        <w:t xml:space="preserve">, 일별)</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tc>
        <w:tc>
          <w:tcPr>
            <w:tcBorders>
              <w:top w:val="single" w:sz="12" w:space="0" w:color="auto"/>
              <w:bottom w:val="single" w:sz="4" w:space="0" w:color="auto"/>
            </w:tcBorders>
            <w:vAlign w:val="center"/>
          </w:tcPr>
          <w:p>
            <w:pPr>
              <w:pStyle w:val="a8"/>
              <w:jc w:val="center"/>
            </w:pPr>
            <m:oMath>
              <m:r>
                <m:t>→</m:t>
              </m:r>
            </m:oMath>
            <w:r>
              <w:rPr>
                <w:b/>
              </w:rPr>
              <w:t xml:space="preserve"> </w:t>
            </w:r>
            <w:r>
              <w:rPr>
                <w:b/>
              </w:rPr>
              <w:t xml:space="preserve">Bull</w:t>
            </w:r>
          </w:p>
        </w:tc>
        <w:tc>
          <w:tcPr>
            <w:tcBorders>
              <w:top w:val="single" w:sz="12" w:space="0" w:color="auto"/>
              <w:bottom w:val="single" w:sz="4" w:space="0" w:color="auto"/>
            </w:tcBorders>
            <w:vAlign w:val="center"/>
          </w:tcPr>
          <w:p>
            <w:pPr>
              <w:pStyle w:val="a8"/>
              <w:jc w:val="center"/>
            </w:pPr>
            <m:oMath>
              <m:r>
                <m:t>→</m:t>
              </m:r>
            </m:oMath>
            <w:r>
              <w:rPr>
                <w:b/>
              </w:rPr>
              <w:t xml:space="preserve"> </w:t>
            </w:r>
            <w:r>
              <w:rPr>
                <w:b/>
              </w:rPr>
              <w:t xml:space="preserve">Neutral</w:t>
            </w:r>
          </w:p>
        </w:tc>
        <w:tc>
          <w:tcPr>
            <w:tcBorders>
              <w:top w:val="single" w:sz="12" w:space="0" w:color="auto"/>
              <w:bottom w:val="single" w:sz="4" w:space="0" w:color="auto"/>
            </w:tcBorders>
            <w:vAlign w:val="center"/>
          </w:tcPr>
          <w:p>
            <w:pPr>
              <w:pStyle w:val="a8"/>
              <w:jc w:val="center"/>
            </w:pPr>
            <m:oMath>
              <m:r>
                <m:t>→</m:t>
              </m:r>
            </m:oMath>
            <w:r>
              <w:rPr>
                <w:b/>
              </w:rPr>
              <w:t xml:space="preserve"> </w:t>
            </w:r>
            <w:r>
              <w:rPr>
                <w:b/>
              </w:rPr>
              <w:t xml:space="preserve">Bear</w:t>
            </w:r>
          </w:p>
        </w:tc>
      </w:tr>
      <w:tr>
        <w:tc>
          <w:tcPr>
            <w:vAlign w:val="center"/>
          </w:tcPr>
          <w:p>
            <w:pPr>
              <w:pStyle w:val="a8"/>
              <w:jc w:val="left"/>
            </w:pPr>
            <w:r>
              <w:rPr>
                <w:b/>
              </w:rPr>
              <w:t xml:space="preserve">Bull</w:t>
            </w:r>
          </w:p>
        </w:tc>
        <w:tc>
          <w:tcPr>
            <w:vAlign w:val="center"/>
          </w:tcPr>
          <w:p>
            <w:pPr>
              <w:pStyle w:val="a8"/>
              <w:jc w:val="center"/>
            </w:pPr>
            <w:r>
              <w:t xml:space="preserve">0.987</w:t>
            </w:r>
          </w:p>
        </w:tc>
        <w:tc>
          <w:tcPr>
            <w:vAlign w:val="center"/>
          </w:tcPr>
          <w:p>
            <w:pPr>
              <w:pStyle w:val="a8"/>
              <w:jc w:val="center"/>
            </w:pPr>
            <w:r>
              <w:t xml:space="preserve">0.012</w:t>
            </w:r>
          </w:p>
        </w:tc>
        <w:tc>
          <w:tcPr>
            <w:vAlign w:val="center"/>
          </w:tcPr>
          <w:p>
            <w:pPr>
              <w:pStyle w:val="a8"/>
              <w:jc w:val="center"/>
            </w:pPr>
            <m:oMath>
              <m:r>
                <m:t>∼</m:t>
              </m:r>
            </m:oMath>
            <w:r>
              <w:t xml:space="preserve">0</w:t>
            </w:r>
          </w:p>
        </w:tc>
      </w:tr>
      <w:tr>
        <w:tc>
          <w:tcPr>
            <w:vAlign w:val="center"/>
          </w:tcPr>
          <w:p>
            <w:pPr>
              <w:pStyle w:val="a8"/>
              <w:jc w:val="left"/>
            </w:pPr>
            <w:r>
              <w:rPr>
                <w:b/>
              </w:rPr>
              <w:t xml:space="preserve">Neutral</w:t>
            </w:r>
          </w:p>
        </w:tc>
        <w:tc>
          <w:tcPr>
            <w:vAlign w:val="center"/>
          </w:tcPr>
          <w:p>
            <w:pPr>
              <w:pStyle w:val="a8"/>
              <w:jc w:val="center"/>
            </w:pPr>
            <w:r>
              <w:t xml:space="preserve">0.019</w:t>
            </w:r>
          </w:p>
        </w:tc>
        <w:tc>
          <w:tcPr>
            <w:vAlign w:val="center"/>
          </w:tcPr>
          <w:p>
            <w:pPr>
              <w:pStyle w:val="a8"/>
              <w:jc w:val="center"/>
            </w:pPr>
            <w:r>
              <w:t xml:space="preserve">0.970</w:t>
            </w:r>
          </w:p>
        </w:tc>
        <w:tc>
          <w:tcPr>
            <w:vAlign w:val="center"/>
          </w:tcPr>
          <w:p>
            <w:pPr>
              <w:pStyle w:val="a8"/>
              <w:jc w:val="center"/>
            </w:pPr>
            <w:r>
              <w:t xml:space="preserve">0.011</w:t>
            </w:r>
          </w:p>
        </w:tc>
      </w:tr>
      <w:tr>
        <w:tc>
          <w:tcPr>
            <w:tcBorders>
              <w:bottom w:val="single" w:sz="12" w:space="0" w:color="auto"/>
            </w:tcBorders>
            <w:vAlign w:val="center"/>
          </w:tcPr>
          <w:p>
            <w:pPr>
              <w:pStyle w:val="a8"/>
              <w:jc w:val="left"/>
            </w:pPr>
            <w:r>
              <w:rPr>
                <w:b/>
              </w:rPr>
              <w:t xml:space="preserve">Bear</w:t>
            </w:r>
          </w:p>
        </w:tc>
        <w:tc>
          <w:tcPr>
            <w:tcBorders>
              <w:bottom w:val="single" w:sz="12" w:space="0" w:color="auto"/>
            </w:tcBorders>
            <w:vAlign w:val="center"/>
          </w:tcPr>
          <w:p>
            <w:pPr>
              <w:pStyle w:val="a8"/>
              <w:jc w:val="center"/>
            </w:pPr>
            <m:oMath>
              <m:r>
                <m:t>∼</m:t>
              </m:r>
            </m:oMath>
            <w:r>
              <w:t xml:space="preserve">0</w:t>
            </w:r>
          </w:p>
        </w:tc>
        <w:tc>
          <w:tcPr>
            <w:tcBorders>
              <w:bottom w:val="single" w:sz="12" w:space="0" w:color="auto"/>
            </w:tcBorders>
            <w:vAlign w:val="center"/>
          </w:tcPr>
          <w:p>
            <w:pPr>
              <w:pStyle w:val="a8"/>
              <w:jc w:val="center"/>
            </w:pPr>
            <w:r>
              <w:t xml:space="preserve">0.031</w:t>
            </w:r>
          </w:p>
        </w:tc>
        <w:tc>
          <w:tcPr>
            <w:tcBorders>
              <w:bottom w:val="single" w:sz="12" w:space="0" w:color="auto"/>
            </w:tcBorders>
            <w:vAlign w:val="center"/>
          </w:tcPr>
          <w:p>
            <w:pPr>
              <w:pStyle w:val="a8"/>
              <w:jc w:val="center"/>
            </w:pPr>
            <w:r>
              <w:t xml:space="preserve">0.969</w:t>
            </w:r>
          </w:p>
        </w:tc>
      </w:tr>
    </w:tbl>
    <w:bookmarkEnd w:id="77"/>
    <w:p>
      <w:pPr>
        <w:pStyle w:val="2"/>
        <w:numPr>
          <w:ilvl w:val="0"/>
          <w:numId w:val="0"/>
        </w:numPr>
      </w:pPr>
      <w:bookmarkStart w:id="78" w:name="a6-구조적-전환점"/>
      <w:r>
        <w:t xml:space="preserve">A6 구조적 전환점</w:t>
      </w:r>
      <w:bookmarkEnd w:id="78"/>
    </w:p>
    <w:p>
      <w:pPr/>
      <w:r>
        <w:t xml:space="preserve">비터비(Viterbi) 알고리즘으로 추출한 최적 국면 경로에서 이전 국면</w:t>
      </w:r>
      <w:r>
        <w:t xml:space="preserve"> </w:t>
      </w:r>
      <m:oMath>
        <m:r>
          <m:t>≥</m:t>
        </m:r>
      </m:oMath>
      <w:r>
        <w:t xml:space="preserve"> </w:t>
      </w:r>
      <w:r>
        <w:t xml:space="preserve">63거래일(약 3개월), 새 국면</w:t>
      </w:r>
      <w:r>
        <w:t xml:space="preserve"> </w:t>
      </w:r>
      <m:oMath>
        <m:r>
          <m:t>≥</m:t>
        </m:r>
      </m:oMath>
      <w:r>
        <w:t xml:space="preserve"> </w:t>
      </w:r>
      <w:r>
        <w:t xml:space="preserve">63거래일을 동시에 충족하는 경우만 구조적 전환점으로 정의하여 단기 노이즈를 제거하였다. 추출된 전환점은 표 A.5와 같으며, post-GFC 본격 강세(2012), COVID 직전 강세(2019), AI 랠리 시작(2023) 등 실제 시장 사건과 시기적으로 일치한다.</w:t>
      </w:r>
    </w:p>
    <w:bookmarkStart w:id="79" w:name="tab:a1_breaks"/>
    <w:p>
      <w:pPr>
        <w:keepNext/>
        <w:jc w:val="center"/>
      </w:pPr>
      <w:r>
        <w:t xml:space="preserve">&lt;표 A.5&gt; 구조적 전환점 (</w:t>
      </w:r>
      <m:oMath>
        <m:r>
          <m:t>n</m:t>
        </m:r>
        <m:r>
          <m:t>=</m:t>
        </m:r>
        <m:r>
          <m:t>3</m:t>
        </m:r>
      </m:oMath>
      <w:r>
        <w:t xml:space="preserve"> </w:t>
      </w:r>
      <w:r>
        <w:t xml:space="preserve">기준, 양방향</w:t>
      </w:r>
      <w:r>
        <w:t xml:space="preserve"> </w:t>
      </w:r>
      <m:oMath>
        <m:r>
          <m:t>≥</m:t>
        </m:r>
      </m:oMath>
      <w:r>
        <w:t xml:space="preserve"> </w:t>
      </w:r>
      <w:r>
        <w:t xml:space="preserve">63거래일 조건)</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pPr>
              <w:pStyle w:val="a8"/>
              <w:jc w:val="left"/>
            </w:pPr>
            <w:r>
              <w:rPr>
                <w:b/>
              </w:rPr>
              <w:t xml:space="preserve">전환일</w:t>
            </w:r>
          </w:p>
        </w:tc>
        <w:tc>
          <w:tcPr>
            <w:tcBorders>
              <w:top w:val="single" w:sz="12" w:space="0" w:color="auto"/>
              <w:bottom w:val="single" w:sz="4" w:space="0" w:color="auto"/>
            </w:tcBorders>
            <w:vAlign w:val="center"/>
          </w:tcPr>
          <w:p>
            <w:pPr>
              <w:pStyle w:val="a8"/>
              <w:jc w:val="left"/>
            </w:pPr>
            <w:r>
              <w:rPr>
                <w:b/>
              </w:rPr>
              <w:t xml:space="preserve">전환 방향</w:t>
            </w:r>
          </w:p>
        </w:tc>
        <w:tc>
          <w:tcPr>
            <w:tcBorders>
              <w:top w:val="single" w:sz="12" w:space="0" w:color="auto"/>
              <w:bottom w:val="single" w:sz="4" w:space="0" w:color="auto"/>
            </w:tcBorders>
            <w:vAlign w:val="center"/>
          </w:tcPr>
          <w:p>
            <w:pPr>
              <w:pStyle w:val="a8"/>
              <w:jc w:val="left"/>
            </w:pPr>
            <w:r>
              <w:rPr>
                <w:b/>
              </w:rPr>
              <w:t xml:space="preserve">대응 시장 사건</w:t>
            </w:r>
          </w:p>
        </w:tc>
        <w:tc>
          <w:tcPr>
            <w:tcBorders>
              <w:top w:val="single" w:sz="12" w:space="0" w:color="auto"/>
              <w:bottom w:val="single" w:sz="4" w:space="0" w:color="auto"/>
            </w:tcBorders>
            <w:vAlign w:val="center"/>
          </w:tcPr>
          <w:p>
            <w:pPr>
              <w:pStyle w:val="a8"/>
              <w:jc w:val="left"/>
            </w:pPr>
            <w:r>
              <w:rPr>
                <w:b/>
              </w:rPr>
              <w:t xml:space="preserve">비고</w:t>
            </w:r>
          </w:p>
        </w:tc>
      </w:tr>
      <w:tr>
        <w:tc>
          <w:tcPr>
            <w:vAlign w:val="center"/>
          </w:tcPr>
          <w:p>
            <w:pPr>
              <w:pStyle w:val="a8"/>
              <w:jc w:val="left"/>
            </w:pPr>
            <w:r>
              <w:t xml:space="preserve">2012-08-15</w:t>
            </w:r>
          </w:p>
        </w:tc>
        <w:tc>
          <w:tcPr>
            <w:vAlign w:val="center"/>
          </w:tcPr>
          <w:p>
            <w:pPr>
              <w:pStyle w:val="a8"/>
              <w:jc w:val="left"/>
            </w:pPr>
            <w:r>
              <w:t xml:space="preserve">Neutral</w:t>
            </w:r>
            <w:r>
              <w:t xml:space="preserve"> </w:t>
            </w:r>
            <m:oMath>
              <m:r>
                <m:t>→</m:t>
              </m:r>
            </m:oMath>
            <w:r>
              <w:t xml:space="preserve"> </w:t>
            </w:r>
            <w:r>
              <w:t xml:space="preserve">Bull</w:t>
            </w:r>
          </w:p>
        </w:tc>
        <w:tc>
          <w:tcPr>
            <w:vAlign w:val="center"/>
          </w:tcPr>
          <w:p>
            <w:pPr>
              <w:pStyle w:val="a8"/>
              <w:jc w:val="left"/>
            </w:pPr>
            <w:r>
              <w:t xml:space="preserve">post-GFC 본격 강세</w:t>
            </w:r>
          </w:p>
        </w:tc>
        <w:tc>
          <w:tcPr>
            <w:vAlign w:val="center"/>
          </w:tcPr>
          <w:p>
            <w:pPr>
              <w:pStyle w:val="a8"/>
              <w:jc w:val="left"/>
            </w:pPr>
            <w:r>
              <w:t xml:space="preserve">R1/R2 경계 근거</w:t>
            </w:r>
          </w:p>
        </w:tc>
      </w:tr>
      <w:tr>
        <w:tc>
          <w:tcPr>
            <w:vAlign w:val="center"/>
          </w:tcPr>
          <w:p>
            <w:pPr>
              <w:pStyle w:val="a8"/>
              <w:jc w:val="left"/>
            </w:pPr>
            <w:r>
              <w:t xml:space="preserve">2019-11-05</w:t>
            </w:r>
          </w:p>
        </w:tc>
        <w:tc>
          <w:tcPr>
            <w:vAlign w:val="center"/>
          </w:tcPr>
          <w:p>
            <w:pPr>
              <w:pStyle w:val="a8"/>
              <w:jc w:val="left"/>
            </w:pPr>
            <w:r>
              <w:t xml:space="preserve">Neutral</w:t>
            </w:r>
            <w:r>
              <w:t xml:space="preserve"> </w:t>
            </w:r>
            <m:oMath>
              <m:r>
                <m:t>→</m:t>
              </m:r>
            </m:oMath>
            <w:r>
              <w:t xml:space="preserve"> </w:t>
            </w:r>
            <w:r>
              <w:t xml:space="preserve">Bull</w:t>
            </w:r>
          </w:p>
        </w:tc>
        <w:tc>
          <w:tcPr>
            <w:vAlign w:val="center"/>
          </w:tcPr>
          <w:p>
            <w:pPr>
              <w:pStyle w:val="a8"/>
              <w:jc w:val="left"/>
            </w:pPr>
            <w:r>
              <w:t xml:space="preserve">COVID 직전 강세</w:t>
            </w:r>
          </w:p>
        </w:tc>
        <w:tc>
          <w:tcPr>
            <w:vAlign w:val="center"/>
          </w:tcPr>
          <w:p>
            <w:pPr>
              <w:pStyle w:val="a8"/>
              <w:jc w:val="left"/>
            </w:pPr>
            <w:r>
              <w:t xml:space="preserve">R2/R3 경계 근거</w:t>
            </w:r>
          </w:p>
        </w:tc>
      </w:tr>
      <w:tr>
        <w:tc>
          <w:tcPr>
            <w:vAlign w:val="center"/>
          </w:tcPr>
          <w:p>
            <w:pPr>
              <w:pStyle w:val="a8"/>
              <w:jc w:val="left"/>
            </w:pPr>
            <w:r>
              <w:t xml:space="preserve">2023-06-05</w:t>
            </w:r>
          </w:p>
        </w:tc>
        <w:tc>
          <w:tcPr>
            <w:vAlign w:val="center"/>
          </w:tcPr>
          <w:p>
            <w:pPr>
              <w:pStyle w:val="a8"/>
              <w:jc w:val="left"/>
            </w:pPr>
            <w:r>
              <w:t xml:space="preserve">Bear/Neutral</w:t>
            </w:r>
            <w:r>
              <w:t xml:space="preserve"> </w:t>
            </w:r>
            <m:oMath>
              <m:r>
                <m:t>→</m:t>
              </m:r>
            </m:oMath>
            <w:r>
              <w:t xml:space="preserve"> </w:t>
            </w:r>
            <w:r>
              <w:t xml:space="preserve">Bull</w:t>
            </w:r>
          </w:p>
        </w:tc>
        <w:tc>
          <w:tcPr>
            <w:vAlign w:val="center"/>
          </w:tcPr>
          <w:p>
            <w:pPr>
              <w:pStyle w:val="a8"/>
              <w:jc w:val="left"/>
            </w:pPr>
            <w:r>
              <w:t xml:space="preserve">AI 랠리 시작</w:t>
            </w:r>
          </w:p>
        </w:tc>
        <w:tc>
          <w:tcPr>
            <w:vAlign w:val="center"/>
          </w:tcPr>
          <w:p>
            <w:pPr>
              <w:pStyle w:val="a8"/>
              <w:jc w:val="left"/>
            </w:pPr>
            <w:r>
              <w:t xml:space="preserve">R3/R4 경계 근거</w:t>
            </w:r>
          </w:p>
        </w:tc>
      </w:tr>
      <w:tr>
        <w:tc>
          <w:tcPr>
            <w:tcBorders>
              <w:bottom w:val="single" w:sz="12" w:space="0" w:color="auto"/>
            </w:tcBorders>
            <w:vAlign w:val="center"/>
          </w:tcPr>
          <w:p>
            <w:pPr>
              <w:pStyle w:val="a8"/>
              <w:jc w:val="left"/>
            </w:pPr>
            <w:r>
              <w:t xml:space="preserve">2024-08-01</w:t>
            </w:r>
          </w:p>
        </w:tc>
        <w:tc>
          <w:tcPr>
            <w:tcBorders>
              <w:bottom w:val="single" w:sz="12" w:space="0" w:color="auto"/>
            </w:tcBorders>
            <w:vAlign w:val="center"/>
          </w:tcPr>
          <w:p>
            <w:pPr>
              <w:pStyle w:val="a8"/>
              <w:jc w:val="left"/>
            </w:pPr>
            <w:r>
              <w:t xml:space="preserve">Bull</w:t>
            </w:r>
            <w:r>
              <w:t xml:space="preserve"> </w:t>
            </w:r>
            <m:oMath>
              <m:r>
                <m:t>→</m:t>
              </m:r>
            </m:oMath>
            <w:r>
              <w:t xml:space="preserve"> </w:t>
            </w:r>
            <w:r>
              <w:t xml:space="preserve">Neutral</w:t>
            </w:r>
          </w:p>
        </w:tc>
        <w:tc>
          <w:tcPr>
            <w:tcBorders>
              <w:bottom w:val="single" w:sz="12" w:space="0" w:color="auto"/>
            </w:tcBorders>
            <w:vAlign w:val="center"/>
          </w:tcPr>
          <w:p>
            <w:pPr>
              <w:pStyle w:val="a8"/>
              <w:jc w:val="left"/>
            </w:pPr>
            <w:r>
              <w:t xml:space="preserve">2024 금리 인하 기대 후퇴</w:t>
            </w:r>
          </w:p>
        </w:tc>
        <w:tc>
          <w:tcPr>
            <w:tcBorders>
              <w:bottom w:val="single" w:sz="12" w:space="0" w:color="auto"/>
            </w:tcBorders>
            <w:vAlign w:val="center"/>
          </w:tcPr>
          <w:p>
            <w:pPr>
              <w:pStyle w:val="a8"/>
              <w:jc w:val="left"/>
            </w:pPr>
            <w:r>
              <w:t xml:space="preserve">분석 기간 내 마지막 전환점</w:t>
            </w:r>
          </w:p>
        </w:tc>
      </w:tr>
    </w:tbl>
    <w:bookmarkEnd w:id="79"/>
    <w:p>
      <w:pPr/>
      <m:oMath>
        <m:r>
          <m:t>n</m:t>
        </m:r>
        <m:r>
          <m:t>=</m:t>
        </m:r>
        <m:r>
          <m:t>3</m:t>
        </m:r>
      </m:oMath>
      <w:r>
        <w:t xml:space="preserve"> </w:t>
      </w:r>
      <w:r>
        <w:t xml:space="preserve">기준 전환점(2023-06-05)을 분기말로 조정하여 R3와 R4의 경계를 2023년 6월 말로 설정하였다. 2024-08-01 전환점(Bull</w:t>
      </w:r>
      <w:r>
        <w:t xml:space="preserve"> </w:t>
      </w:r>
      <m:oMath>
        <m:r>
          <m:t>→</m:t>
        </m:r>
      </m:oMath>
      <w:r>
        <w:t xml:space="preserve"> </w:t>
      </w:r>
      <w:r>
        <w:t xml:space="preserve">Neutral)은 R4 내부의 국면 변화로, 평가 국면 경계 조정에는 반영하지 않았다.</w:t>
      </w:r>
    </w:p>
    <w:p>
      <w:pPr>
        <w:pStyle w:val="2"/>
        <w:numPr>
          <w:ilvl w:val="0"/>
          <w:numId w:val="0"/>
        </w:numPr>
      </w:pPr>
      <w:bookmarkStart w:id="80" w:name="a7-평가-국면-정의"/>
      <w:r>
        <w:t xml:space="preserve">A7 평가 국면 정의</w:t>
      </w:r>
      <w:bookmarkEnd w:id="80"/>
    </w:p>
    <w:p>
      <w:pPr/>
      <w:r>
        <w:t xml:space="preserve">HMM 전환점을 분기말 기준으로 조정하고, COVID 시작 및 AI 랠리를 경제적 직관에 맞추어, 본 연구의 평가 구간을 표 A.6와 같이 4개 국면으로 정의하였다.</w:t>
      </w:r>
    </w:p>
    <w:bookmarkStart w:id="81" w:name="tab:a1_regimes"/>
    <w:p>
      <w:pPr>
        <w:keepNext/>
        <w:jc w:val="center"/>
      </w:pPr>
      <w:r>
        <w:t xml:space="preserve">&lt;표 A.6&gt; 본 연구 평가 국면 정의</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pPr>
              <w:pStyle w:val="a8"/>
              <w:jc w:val="left"/>
            </w:pPr>
            <w:r>
              <w:rPr>
                <w:b/>
              </w:rPr>
              <w:t xml:space="preserve">국면</w:t>
            </w:r>
          </w:p>
        </w:tc>
        <w:tc>
          <w:tcPr>
            <w:tcBorders>
              <w:top w:val="single" w:sz="12" w:space="0" w:color="auto"/>
              <w:bottom w:val="single" w:sz="4" w:space="0" w:color="auto"/>
            </w:tcBorders>
            <w:vAlign w:val="center"/>
          </w:tcPr>
          <w:p>
            <w:pPr>
              <w:pStyle w:val="a8"/>
              <w:jc w:val="left"/>
            </w:pPr>
            <w:r>
              <w:rPr>
                <w:b/>
              </w:rPr>
              <w:t xml:space="preserve">기간</w:t>
            </w:r>
          </w:p>
        </w:tc>
        <w:tc>
          <w:tcPr>
            <w:tcBorders>
              <w:top w:val="single" w:sz="12" w:space="0" w:color="auto"/>
              <w:bottom w:val="single" w:sz="4" w:space="0" w:color="auto"/>
            </w:tcBorders>
            <w:vAlign w:val="center"/>
          </w:tcPr>
          <w:p>
            <w:pPr>
              <w:pStyle w:val="a8"/>
              <w:jc w:val="center"/>
            </w:pPr>
            <w:r>
              <w:rPr>
                <w:b/>
              </w:rPr>
              <w:t xml:space="preserve">거래일</w:t>
            </w:r>
          </w:p>
        </w:tc>
        <w:tc>
          <w:tcPr>
            <w:tcBorders>
              <w:top w:val="single" w:sz="12" w:space="0" w:color="auto"/>
              <w:bottom w:val="single" w:sz="4" w:space="0" w:color="auto"/>
            </w:tcBorders>
            <w:vAlign w:val="center"/>
          </w:tcPr>
          <w:p>
            <w:pPr>
              <w:pStyle w:val="a8"/>
              <w:jc w:val="left"/>
            </w:pPr>
            <w:r>
              <w:rPr>
                <w:b/>
              </w:rPr>
              <w:t xml:space="preserve">해석</w:t>
            </w:r>
          </w:p>
        </w:tc>
      </w:tr>
      <w:tr>
        <w:tc>
          <w:tcPr>
            <w:vAlign w:val="center"/>
          </w:tcPr>
          <w:p>
            <w:pPr>
              <w:pStyle w:val="a8"/>
              <w:jc w:val="left"/>
            </w:pPr>
            <w:r>
              <w:t xml:space="preserve">R1</w:t>
            </w:r>
          </w:p>
        </w:tc>
        <w:tc>
          <w:tcPr>
            <w:vAlign w:val="center"/>
          </w:tcPr>
          <w:p>
            <w:pPr>
              <w:pStyle w:val="a8"/>
              <w:jc w:val="left"/>
            </w:pPr>
            <w:r>
              <w:t xml:space="preserve">2010-01</w:t>
            </w:r>
            <w:r>
              <w:t xml:space="preserve"> </w:t>
            </w:r>
            <m:oMath>
              <m:r>
                <m:t>∼</m:t>
              </m:r>
            </m:oMath>
            <w:r>
              <w:t xml:space="preserve"> </w:t>
            </w:r>
            <w:r>
              <w:t xml:space="preserve">2012-06 (30개월)</w:t>
            </w:r>
          </w:p>
        </w:tc>
        <w:tc>
          <w:tcPr>
            <w:vAlign w:val="center"/>
          </w:tcPr>
          <w:p>
            <w:pPr>
              <w:pStyle w:val="a8"/>
              <w:jc w:val="center"/>
            </w:pPr>
            <w:r>
              <w:t xml:space="preserve">약 630일</w:t>
            </w:r>
          </w:p>
        </w:tc>
        <w:tc>
          <w:tcPr>
            <w:vAlign w:val="center"/>
          </w:tcPr>
          <w:p>
            <w:pPr>
              <w:pStyle w:val="a8"/>
              <w:jc w:val="left"/>
            </w:pPr>
            <w:r>
              <w:t xml:space="preserve">GFC 회복·유럽 재정위기 구간</w:t>
            </w:r>
          </w:p>
        </w:tc>
      </w:tr>
      <w:tr>
        <w:tc>
          <w:tcPr>
            <w:vAlign w:val="center"/>
          </w:tcPr>
          <w:p>
            <w:pPr>
              <w:pStyle w:val="a8"/>
              <w:jc w:val="left"/>
            </w:pPr>
            <w:r>
              <w:t xml:space="preserve">R2</w:t>
            </w:r>
          </w:p>
        </w:tc>
        <w:tc>
          <w:tcPr>
            <w:vAlign w:val="center"/>
          </w:tcPr>
          <w:p>
            <w:pPr>
              <w:pStyle w:val="a8"/>
              <w:jc w:val="left"/>
            </w:pPr>
            <w:r>
              <w:t xml:space="preserve">2012-07</w:t>
            </w:r>
            <w:r>
              <w:t xml:space="preserve"> </w:t>
            </w:r>
            <m:oMath>
              <m:r>
                <m:t>∼</m:t>
              </m:r>
            </m:oMath>
            <w:r>
              <w:t xml:space="preserve"> </w:t>
            </w:r>
            <w:r>
              <w:t xml:space="preserve">2019-12 (90개월)</w:t>
            </w:r>
          </w:p>
        </w:tc>
        <w:tc>
          <w:tcPr>
            <w:vAlign w:val="center"/>
          </w:tcPr>
          <w:p>
            <w:pPr>
              <w:pStyle w:val="a8"/>
              <w:jc w:val="center"/>
            </w:pPr>
            <w:r>
              <w:t xml:space="preserve">약 1,890일</w:t>
            </w:r>
          </w:p>
        </w:tc>
        <w:tc>
          <w:tcPr>
            <w:vAlign w:val="center"/>
          </w:tcPr>
          <w:p>
            <w:pPr>
              <w:pStyle w:val="a8"/>
              <w:jc w:val="left"/>
            </w:pPr>
            <w:r>
              <w:t xml:space="preserve">저변동 장기 확장 구간</w:t>
            </w:r>
          </w:p>
        </w:tc>
      </w:tr>
      <w:tr>
        <w:tc>
          <w:tcPr>
            <w:vAlign w:val="center"/>
          </w:tcPr>
          <w:p>
            <w:pPr>
              <w:pStyle w:val="a8"/>
              <w:jc w:val="left"/>
            </w:pPr>
            <w:r>
              <w:t xml:space="preserve">R3</w:t>
            </w:r>
          </w:p>
        </w:tc>
        <w:tc>
          <w:tcPr>
            <w:vAlign w:val="center"/>
          </w:tcPr>
          <w:p>
            <w:pPr>
              <w:pStyle w:val="a8"/>
              <w:jc w:val="left"/>
            </w:pPr>
            <w:r>
              <w:t xml:space="preserve">2020-01</w:t>
            </w:r>
            <w:r>
              <w:t xml:space="preserve"> </w:t>
            </w:r>
            <m:oMath>
              <m:r>
                <m:t>∼</m:t>
              </m:r>
            </m:oMath>
            <w:r>
              <w:t xml:space="preserve"> </w:t>
            </w:r>
            <w:r>
              <w:t xml:space="preserve">2023-06 (42개월)</w:t>
            </w:r>
          </w:p>
        </w:tc>
        <w:tc>
          <w:tcPr>
            <w:vAlign w:val="center"/>
          </w:tcPr>
          <w:p>
            <w:pPr>
              <w:pStyle w:val="a8"/>
              <w:jc w:val="center"/>
            </w:pPr>
            <w:r>
              <w:t xml:space="preserve">약 882일</w:t>
            </w:r>
          </w:p>
        </w:tc>
        <w:tc>
          <w:tcPr>
            <w:vAlign w:val="center"/>
          </w:tcPr>
          <w:p>
            <w:pPr>
              <w:pStyle w:val="a8"/>
              <w:jc w:val="left"/>
            </w:pPr>
            <w:r>
              <w:t xml:space="preserve">COVID 충격·2022 긴축으로 인한 고변동성 복합 국면 구간</w:t>
            </w:r>
          </w:p>
        </w:tc>
      </w:tr>
      <w:tr>
        <w:tc>
          <w:tcPr>
            <w:tcBorders>
              <w:bottom w:val="single" w:sz="12" w:space="0" w:color="auto"/>
            </w:tcBorders>
            <w:vAlign w:val="center"/>
          </w:tcPr>
          <w:p>
            <w:pPr>
              <w:pStyle w:val="a8"/>
              <w:jc w:val="left"/>
            </w:pPr>
            <w:r>
              <w:t xml:space="preserve">R4</w:t>
            </w:r>
          </w:p>
        </w:tc>
        <w:tc>
          <w:tcPr>
            <w:tcBorders>
              <w:bottom w:val="single" w:sz="12" w:space="0" w:color="auto"/>
            </w:tcBorders>
            <w:vAlign w:val="center"/>
          </w:tcPr>
          <w:p>
            <w:pPr>
              <w:pStyle w:val="a8"/>
              <w:jc w:val="left"/>
            </w:pPr>
            <w:r>
              <w:t xml:space="preserve">2023-07</w:t>
            </w:r>
            <w:r>
              <w:t xml:space="preserve"> </w:t>
            </w:r>
            <m:oMath>
              <m:r>
                <m:t>∼</m:t>
              </m:r>
            </m:oMath>
            <w:r>
              <w:t xml:space="preserve"> </w:t>
            </w:r>
            <w:r>
              <w:t xml:space="preserve">2025-12 (30개월)</w:t>
            </w:r>
          </w:p>
        </w:tc>
        <w:tc>
          <w:tcPr>
            <w:tcBorders>
              <w:bottom w:val="single" w:sz="12" w:space="0" w:color="auto"/>
            </w:tcBorders>
            <w:vAlign w:val="center"/>
          </w:tcPr>
          <w:p>
            <w:pPr>
              <w:pStyle w:val="a8"/>
              <w:jc w:val="center"/>
            </w:pPr>
            <w:r>
              <w:t xml:space="preserve">약 630일</w:t>
            </w:r>
          </w:p>
        </w:tc>
        <w:tc>
          <w:tcPr>
            <w:tcBorders>
              <w:bottom w:val="single" w:sz="12" w:space="0" w:color="auto"/>
            </w:tcBorders>
            <w:vAlign w:val="center"/>
          </w:tcPr>
          <w:p>
            <w:pPr>
              <w:pStyle w:val="a8"/>
              <w:jc w:val="left"/>
            </w:pPr>
            <w:r>
              <w:t xml:space="preserve">AI 주도 랠리 (정상화)</w:t>
            </w:r>
          </w:p>
        </w:tc>
      </w:tr>
    </w:tbl>
    <w:bookmarkEnd w:id="81"/>
    <w:p>
      <w:pPr>
        <w:pStyle w:val="1"/>
        <w:numPr>
          <w:ilvl w:val="0"/>
          <w:numId w:val="0"/>
        </w:numPr>
      </w:pPr>
      <w:bookmarkStart w:id="82" w:name="app:result_table"/>
      <w:r>
        <w:t xml:space="preserve">부록 B. </w:t>
      </w:r>
      <w:r>
        <w:t xml:space="preserve">슬롯 분석 결과 전체 표</w:t>
      </w:r>
      <w:bookmarkEnd w:id="82"/>
    </w:p>
    <w:p>
      <w:pPr/>
      <w:r>
        <w:t xml:space="preserve">4.3절의 평균 결과(표 4)를 보완하여, 90 슬롯 전체의 성과를 뷰 신뢰도</w:t>
      </w:r>
      <w:r>
        <w:t xml:space="preserve"> </w:t>
      </w:r>
      <m:oMath>
        <m:r>
          <m:t>ω</m:t>
        </m:r>
        <m:r>
          <m:t>∈</m:t>
        </m:r>
        <m:r>
          <m:t>{</m:t>
        </m:r>
        <m:sSup>
          <m:e>
            <m:r>
              <m:t>ω</m:t>
            </m:r>
          </m:e>
          <m:sup>
            <m:r>
              <m:rPr>
                <m:sty m:val="p"/>
              </m:rPr>
              <m:t>e</m:t>
            </m:r>
            <m:r>
              <m:rPr>
                <m:sty m:val="p"/>
              </m:rPr>
              <m:t>r</m:t>
            </m:r>
            <m:r>
              <m:rPr>
                <m:sty m:val="p"/>
              </m:rPr>
              <m:t>r</m:t>
            </m:r>
          </m:sup>
        </m:sSup>
        <m:r>
          <m:t>,</m:t>
        </m:r>
        <m:sSup>
          <m:e>
            <m:r>
              <m:t>ω</m:t>
            </m:r>
          </m:e>
          <m:sup>
            <m:r>
              <m:rPr>
                <m:sty m:val="p"/>
              </m:rPr>
              <m:t>h</m:t>
            </m:r>
            <m:r>
              <m:rPr>
                <m:sty m:val="p"/>
              </m:rPr>
              <m:t>e</m:t>
            </m:r>
          </m:sup>
        </m:sSup>
        <m:r>
          <m:t>}</m:t>
        </m:r>
      </m:oMath>
      <w:r>
        <w:t xml:space="preserve">와 평가 지표</w:t>
      </w:r>
      <w:r>
        <w:t xml:space="preserve"> </w:t>
      </w:r>
      <m:oMath>
        <m:r>
          <m:t>∈</m:t>
        </m:r>
        <m:r>
          <m:t>{</m:t>
        </m:r>
        <m:r>
          <m:rPr>
            <m:nor/>
            <m:sty m:val="p"/>
          </m:rPr>
          <m:t>Sharpe</m:t>
        </m:r>
        <m:r>
          <m:t>,</m:t>
        </m:r>
        <m:r>
          <m:rPr>
            <m:nor/>
            <m:sty m:val="p"/>
          </m:rPr>
          <m:t>Sortino</m:t>
        </m:r>
        <m:r>
          <m:t>,</m:t>
        </m:r>
        <m:r>
          <m:rPr>
            <m:nor/>
            <m:sty m:val="p"/>
          </m:rPr>
          <m:t>MDD</m:t>
        </m:r>
        <m:r>
          <m:t>}</m:t>
        </m:r>
      </m:oMath>
      <w:r>
        <w:t xml:space="preserve">의 6개 조합 표로 제공한다. 표 A.7–A.9는</w:t>
      </w:r>
      <w:r>
        <w:t xml:space="preserve"> </w:t>
      </w:r>
      <m:oMath>
        <m:r>
          <m:t>ω</m:t>
        </m:r>
        <m:r>
          <m:t>=</m:t>
        </m:r>
        <m:sSup>
          <m:e>
            <m:r>
              <m:t>ω</m:t>
            </m:r>
          </m:e>
          <m:sup>
            <m:r>
              <m:rPr>
                <m:sty m:val="p"/>
              </m:rPr>
              <m:t>e</m:t>
            </m:r>
            <m:r>
              <m:rPr>
                <m:sty m:val="p"/>
              </m:rPr>
              <m:t>r</m:t>
            </m:r>
            <m:r>
              <m:rPr>
                <m:sty m:val="p"/>
              </m:rPr>
              <m:t>r</m:t>
            </m:r>
          </m:sup>
        </m:sSup>
      </m:oMath>
      <w:r>
        <w:t xml:space="preserve"> </w:t>
      </w:r>
      <w:r>
        <w:t xml:space="preserve">기준, 표 A.10–A.12는</w:t>
      </w:r>
      <w:r>
        <w:t xml:space="preserve"> </w:t>
      </w:r>
      <m:oMath>
        <m:r>
          <m:t>ω</m:t>
        </m:r>
        <m:r>
          <m:t>=</m:t>
        </m:r>
        <m:sSup>
          <m:e>
            <m:r>
              <m:t>ω</m:t>
            </m:r>
          </m:e>
          <m:sup>
            <m:r>
              <m:rPr>
                <m:sty m:val="p"/>
              </m:rPr>
              <m:t>h</m:t>
            </m:r>
            <m:r>
              <m:rPr>
                <m:sty m:val="p"/>
              </m:rPr>
              <m:t>e</m:t>
            </m:r>
          </m:sup>
        </m:sSup>
      </m:oMath>
      <w:r>
        <w:t xml:space="preserve"> </w:t>
      </w:r>
      <w:r>
        <w:t xml:space="preserve">기준이다.</w:t>
      </w:r>
    </w:p>
    <w:p>
      <w:pPr/>
      <w:r>
        <w:t xml:space="preserve">평가 지표는 다음 세 가지를 사용한다.</w:t>
      </w:r>
    </w:p>
    <w:p>
      <w:pPr>
        <w:numPr>
          <w:ilvl w:val="0"/>
          <w:numId w:val="1007"/>
        </w:numPr>
      </w:pPr>
      <w:r>
        <w:rPr>
          <w:b/>
        </w:rPr>
        <w:t xml:space="preserve">Sharpe 비율</w:t>
      </w:r>
      <w:r>
        <w:t xml:space="preserve">: 평균 초과수익을 표준편차로 나눈 위험 조정 수익률. 클수록 우위.</w:t>
      </w:r>
    </w:p>
    <w:p>
      <w:pPr>
        <w:numPr>
          <w:ilvl w:val="0"/>
          <w:numId w:val="1007"/>
        </w:numPr>
      </w:pPr>
      <w:r>
        <w:rPr>
          <w:b/>
        </w:rPr>
        <w:t xml:space="preserve">Sortino 비율</w:t>
      </w:r>
      <w:r>
        <w:t xml:space="preserve">: 샤프 비율의 하방 변동성 버전으로, 분모를 하방 표준편차로 대체한다(Sortino &amp; Price, 1994). 하락 변동성만 페널티로 반영하며 클수록 우위.</w:t>
      </w:r>
    </w:p>
    <w:p>
      <w:pPr>
        <w:numPr>
          <w:ilvl w:val="0"/>
          <w:numId w:val="1007"/>
        </w:numPr>
      </w:pPr>
      <w:r>
        <w:rPr>
          <w:b/>
        </w:rPr>
        <w:t xml:space="preserve">최대낙폭 (MDD)</w:t>
      </w:r>
      <w:r>
        <w:t xml:space="preserve">: 누적 고점 대비 최대 손실 폭(%). 음수가 손실이므로 클수록(0 에 가까울수록) 우위.</w:t>
      </w:r>
    </w:p>
    <w:p>
      <w:pPr/>
      <w:r>
        <w:t xml:space="preserve">따라서 모든 표의</w:t>
      </w:r>
      <w:r>
        <w:t xml:space="preserve"> </w:t>
      </w:r>
      <m:oMath>
        <m:r>
          <m:t>Δ</m:t>
        </m:r>
        <m:r>
          <m:t>&gt;</m:t>
        </m:r>
        <m:r>
          <m:t>0</m:t>
        </m:r>
      </m:oMath>
      <w:r>
        <w:t xml:space="preserve"> </w:t>
      </w:r>
      <w:r>
        <w:t xml:space="preserve">셀(녹색)은 앙상블이 ANN 대비 위험 조정 수익 또는 손실 폭 측면에서 우위인 경우이다.</w:t>
      </w:r>
    </w:p>
    <w:p>
      <w:pPr>
        <w:keepNext/>
        <w:jc w:val="center"/>
        <w:spacing w:after="40"/>
      </w:pPr>
      <w:r>
        <w:rPr>
          <w:rFonts w:ascii="Times New Roman" w:hAnsi="Times New Roman" w:eastAsia="바탕"/>
          <w:sz w:val="20"/>
          <w:szCs w:val="20"/>
        </w:rPr>
        <w:t xml:space="preserve">&lt;표 A.7&gt; 전체 45 슬롯 Sharpe 비율 결과 (ω = ω^err 고정). p × w_mkt × q = 3 × 3 × 5 = 45 슬롯 각각의 앙상블(E) · ANN(A) Sharpe 비율 및 차이 Δ = E - A를 5개 구간 (All, R1 회복, R2 확장, R3 위기, R4 정상화)에 대해 보고한다.</w:t>
      </w:r>
    </w:p>
    <w:tbl>
      <w:tblPr>
        <w:tblW w:w="9298" w:type="dxa"/>
        <w:jc w:val="center"/>
        <w:tblBorders>
          <w:top w:val="none" w:sz="0" w:space="0"/>
          <w:left w:val="none" w:sz="0" w:space="0"/>
          <w:bottom w:val="none" w:sz="0" w:space="0"/>
          <w:right w:val="none" w:sz="0" w:space="0"/>
          <w:insideH w:val="none" w:sz="0" w:space="0"/>
          <w:insideV w:val="none" w:sz="0" w:space="0"/>
        </w:tblBorders>
        <w:tblLayout w:type="fixed"/>
        <w:tblLook w:val="04A0" w:firstRow="1" w:lastRow="0" w:firstColumn="0" w:lastColumn="0" w:noHBand="0" w:noVBand="1"/>
      </w:tblPr>
      <w:tblGrid>
        <w:gridCol w:w="516"/>
        <w:gridCol w:w="516"/>
        <w:gridCol w:w="516"/>
        <w:gridCol w:w="516"/>
        <w:gridCol w:w="516"/>
        <w:gridCol w:w="516"/>
        <w:gridCol w:w="516"/>
        <w:gridCol w:w="516"/>
        <w:gridCol w:w="516"/>
        <w:gridCol w:w="516"/>
        <w:gridCol w:w="516"/>
        <w:gridCol w:w="516"/>
        <w:gridCol w:w="516"/>
        <w:gridCol w:w="516"/>
        <w:gridCol w:w="516"/>
        <w:gridCol w:w="516"/>
        <w:gridCol w:w="516"/>
        <w:gridCol w:w="526"/>
      </w:tblGrid>
      <w:tr>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All</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R1</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R2</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R3</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R4</w:t>
            </w:r>
          </w:p>
        </w:tc>
      </w:tr>
      <w:tr>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p</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w</w:t>
            </w:r>
            <w:r>
              <w:rPr>
                <w:rFonts w:ascii="Times New Roman" w:hAnsi="Times New Roman" w:eastAsia="바탕"/>
                <w:b/>
                <w:sz w:val="13"/>
                <w:szCs w:val="13"/>
                <w:vertAlign w:val="subscript"/>
              </w:rPr>
              <w:t xml:space="preserve">mkt</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q</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r>
      <w:tr>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mcap</w:t>
            </w:r>
          </w:p>
        </w:tc>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0.643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0.720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+0.228</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0.947</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1.168</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0.997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1.245</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0.518</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0.756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0.780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+0.202</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0.946</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1.295</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0.653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0.659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0.720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0.742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+0.257</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eq</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1.120</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1.335</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0.578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0.578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0.720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0.624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+0.198</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1.203</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1.350</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0.621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+0.334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0.622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0.748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0.317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0.405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+0.117</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1.307</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+0.311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0.776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+0.110</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rp</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1.285</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0.620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+0.333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0.647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0.621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0.647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0.769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+0.202</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1.302</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0.654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0.363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0.654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0.740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0.387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+0.101</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0.309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0.727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0.365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0.692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+0.031</w:t>
            </w:r>
          </w:p>
        </w:tc>
      </w:tr>
      <w:tr>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1.041</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0.971</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1.038</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+0.065</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1.369</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1.338</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+0.031</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0.872</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0.781</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+0.091</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0.491</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0.390</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+0.100</w:t>
            </w:r>
          </w:p>
        </w:tc>
      </w:tr>
    </w:tbl>
    <w:p>
      <w:pPr>
        <w:keepNext/>
        <w:jc w:val="center"/>
        <w:spacing w:after="40"/>
      </w:pPr>
      <w:r>
        <w:rPr>
          <w:rFonts w:ascii="Times New Roman" w:hAnsi="Times New Roman" w:eastAsia="바탕"/>
          <w:sz w:val="20"/>
          <w:szCs w:val="20"/>
        </w:rPr>
        <w:t xml:space="preserve">&lt;표 A.8&gt; 전체 45 슬롯 Sortino 비율 결과 (ω = ω^err 고정). p × w_mkt × q = 3 × 3 × 5 = 45 슬롯 각각의 앙상블 (E) · ANN (A) Sortino 비율 및 차이 Δ = E - A 를 5 개 구간 (All, R1 회복, R2 확장, R3 위기, R4 정상화) 에 대해 보고한다.</w:t>
      </w:r>
    </w:p>
    <w:tbl>
      <w:tblPr>
        <w:tblW w:w="9298" w:type="dxa"/>
        <w:jc w:val="center"/>
        <w:tblBorders>
          <w:top w:val="none" w:sz="0" w:space="0"/>
          <w:left w:val="none" w:sz="0" w:space="0"/>
          <w:bottom w:val="none" w:sz="0" w:space="0"/>
          <w:right w:val="none" w:sz="0" w:space="0"/>
          <w:insideH w:val="none" w:sz="0" w:space="0"/>
          <w:insideV w:val="none" w:sz="0" w:space="0"/>
        </w:tblBorders>
        <w:tblLayout w:type="fixed"/>
        <w:tblLook w:val="04A0" w:firstRow="1" w:lastRow="0" w:firstColumn="0" w:lastColumn="0" w:noHBand="0" w:noVBand="1"/>
      </w:tblPr>
      <w:tblGrid>
        <w:gridCol w:w="516"/>
        <w:gridCol w:w="516"/>
        <w:gridCol w:w="516"/>
        <w:gridCol w:w="516"/>
        <w:gridCol w:w="516"/>
        <w:gridCol w:w="516"/>
        <w:gridCol w:w="516"/>
        <w:gridCol w:w="516"/>
        <w:gridCol w:w="516"/>
        <w:gridCol w:w="516"/>
        <w:gridCol w:w="516"/>
        <w:gridCol w:w="516"/>
        <w:gridCol w:w="516"/>
        <w:gridCol w:w="516"/>
        <w:gridCol w:w="516"/>
        <w:gridCol w:w="516"/>
        <w:gridCol w:w="516"/>
        <w:gridCol w:w="526"/>
      </w:tblGrid>
      <w:tr>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All</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R1</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R2</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R3</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R4</w:t>
            </w:r>
          </w:p>
        </w:tc>
      </w:tr>
      <w:tr>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p</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w</w:t>
            </w:r>
            <w:r>
              <w:rPr>
                <w:rFonts w:ascii="Times New Roman" w:hAnsi="Times New Roman" w:eastAsia="바탕"/>
                <w:b/>
                <w:sz w:val="13"/>
                <w:szCs w:val="13"/>
                <w:vertAlign w:val="subscript"/>
              </w:rPr>
              <w:t xml:space="preserve">mkt</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q</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r>
      <w:tr>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mcap</w:t>
            </w:r>
          </w:p>
        </w:tc>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1.663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1.923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1.597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+0.635</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1.526</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1.509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1.731</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-0.382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2.181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+0.649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1.598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1.977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1.796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1.637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0.522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+0.655</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1.513</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1.974</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1.670</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2.108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1.585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1.972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1.907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1.584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2.004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0.458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+0.793</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eq</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1.662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1.784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1.821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1.974</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1.800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2.090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1.716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1.653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+0.082</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1.715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2.088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1.923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1.844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2.025</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1.961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+0.722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0.529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1.939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2.082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1.910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0.664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1.660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0.608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1.872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1.831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1.634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0.782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+0.170</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2.482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2.213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2.029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1.783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0.406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1.589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2.086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2.067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2.151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1.668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2.228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1.856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+0.183</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rp</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1.319</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1.746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1.891</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1.794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+0.577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2.070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+0.235</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1.876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+0.338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1.935</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1.883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2.019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0.842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0.750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1.635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+0.167</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2.457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1.784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1.806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1.915</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1.747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+0.482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1.799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2.019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1.745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0.601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+0.090</w:t>
            </w:r>
          </w:p>
        </w:tc>
      </w:tr>
      <w:tr>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1.676</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1.499</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+0.177</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1.983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1.441</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+0.542</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1.711</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1.725</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-0.015</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1.845</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1.682</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+0.162</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0.882</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0.691</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+0.191</w:t>
            </w:r>
          </w:p>
        </w:tc>
      </w:tr>
    </w:tbl>
    <w:p>
      <w:pPr>
        <w:keepNext/>
        <w:jc w:val="center"/>
        <w:spacing w:after="40"/>
      </w:pPr>
      <w:r>
        <w:rPr>
          <w:rFonts w:ascii="Times New Roman" w:hAnsi="Times New Roman" w:eastAsia="바탕"/>
          <w:sz w:val="20"/>
          <w:szCs w:val="20"/>
        </w:rPr>
        <w:t xml:space="preserve">&lt;표 A.9&gt; 전체 45 슬롯 최대낙폭 (MDD) 결과 (ω = ω^err 고정). p × w_mkt × q = 3 × 3 × 5 = 45 슬롯 각각의 앙상블 (E) · ANN (A) 최대낙폭 (MDD) 및 차이 Δ = E - A 를 5 개 구간 (All, R1 회복, R2 확장, R3 위기, R4 정상화) 에 대해 보고한다. MDD 는 음수가 손실이므로 Δ &gt; 0 이 앙상블이 덜 빠진 경우이다.</w:t>
      </w:r>
    </w:p>
    <w:tbl>
      <w:tblPr>
        <w:tblW w:w="9298" w:type="dxa"/>
        <w:jc w:val="center"/>
        <w:tblBorders>
          <w:top w:val="none" w:sz="0" w:space="0"/>
          <w:left w:val="none" w:sz="0" w:space="0"/>
          <w:bottom w:val="none" w:sz="0" w:space="0"/>
          <w:right w:val="none" w:sz="0" w:space="0"/>
          <w:insideH w:val="none" w:sz="0" w:space="0"/>
          <w:insideV w:val="none" w:sz="0" w:space="0"/>
        </w:tblBorders>
        <w:tblLayout w:type="fixed"/>
        <w:tblLook w:val="04A0" w:firstRow="1" w:lastRow="0" w:firstColumn="0" w:lastColumn="0" w:noHBand="0" w:noVBand="1"/>
      </w:tblPr>
      <w:tblGrid>
        <w:gridCol w:w="516"/>
        <w:gridCol w:w="516"/>
        <w:gridCol w:w="516"/>
        <w:gridCol w:w="516"/>
        <w:gridCol w:w="516"/>
        <w:gridCol w:w="516"/>
        <w:gridCol w:w="516"/>
        <w:gridCol w:w="516"/>
        <w:gridCol w:w="516"/>
        <w:gridCol w:w="516"/>
        <w:gridCol w:w="516"/>
        <w:gridCol w:w="516"/>
        <w:gridCol w:w="516"/>
        <w:gridCol w:w="516"/>
        <w:gridCol w:w="516"/>
        <w:gridCol w:w="516"/>
        <w:gridCol w:w="516"/>
        <w:gridCol w:w="526"/>
      </w:tblGrid>
      <w:tr>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All</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R1</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R2</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R3</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R4</w:t>
            </w:r>
          </w:p>
        </w:tc>
      </w:tr>
      <w:tr>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p</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w</w:t>
            </w:r>
            <w:r>
              <w:rPr>
                <w:rFonts w:ascii="Times New Roman" w:hAnsi="Times New Roman" w:eastAsia="바탕"/>
                <w:b/>
                <w:sz w:val="13"/>
                <w:szCs w:val="13"/>
                <w:vertAlign w:val="subscript"/>
              </w:rPr>
              <w:t xml:space="preserve">mkt</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q</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r>
      <w:tr>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mcap</w:t>
            </w:r>
          </w:p>
        </w:tc>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-7.07%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-7.07%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-15.89%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-7.47%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-7.45%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-18.39%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-18.39%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+4.43%</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-17.84%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-14.61%</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-3.22%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-14.11%</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-2.85%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-17.84%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-11.96%</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-5.88%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-9.88%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+4.73%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-8.07%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-7.69%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-7.69%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-8.95%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-8.98%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-18.05%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-15.89%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-18.05%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+3.98%</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-13.97%</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-11.06%</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-5.35%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+3.82%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-6.99%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-6.85%</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-9.25%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-7.96%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-8.01%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+4.42%</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eq</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-18.86%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+4.13%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-12.65%</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-8.20%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+2.60%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-18.86%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+4.13%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-9.66%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-18.86%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-18.86%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-9.66%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-9.42%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-17.44%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-17.44%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-9.40%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-9.82%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+1.93%</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-18.55%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+4.90%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-12.73%</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-8.17%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-18.55%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+4.90%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-8.95%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-9.87%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-18.55%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-18.55%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-9.87%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-16.55%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+3.88%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-11.13%</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-8.35%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+3.88%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-7.76%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-8.91%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-8.91%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-8.70%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-9.64%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rp</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+4.61%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-8.45%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+5.19%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-8.74%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-9.34%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-9.34%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-8.38%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-8.57%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-17.17%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-17.17%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-9.50%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+1.96%</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-18.23%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+4.37%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-8.33%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-18.23%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+5.54%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-7.57%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-9.04%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-9.04%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-15.02%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-8.72%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-8.77%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+4.49%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-8.59%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+4.49%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-8.15%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-8.15%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-7.66%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-7.27%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-7.85%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w:t>
            </w:r>
          </w:p>
        </w:tc>
      </w:tr>
      <w:tr>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-15.69%</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-13.96%</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-15.69%</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-13.96%</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-11.87%</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-11.38%</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-0.48%</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-11.64%</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-13.54%</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+1.91%</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-8.60%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-9.19%</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w:t>
            </w:r>
          </w:p>
        </w:tc>
      </w:tr>
    </w:tbl>
    <w:p>
      <w:pPr>
        <w:keepNext/>
        <w:jc w:val="center"/>
        <w:spacing w:after="40"/>
      </w:pPr>
      <w:r>
        <w:rPr>
          <w:rFonts w:ascii="Times New Roman" w:hAnsi="Times New Roman" w:eastAsia="바탕"/>
          <w:sz w:val="20"/>
          <w:szCs w:val="20"/>
        </w:rPr>
        <w:t xml:space="preserve">&lt;표 A.10&gt; 전체 45 슬롯 Sharpe 비율 결과 (ω = ω^he 고정). p × w_mkt × q = 3 × 3 × 5 = 45 슬롯 각각의 앙상블 (E) · ANN (A) Sharpe 비율 및 차이 Δ = E - A 를 5 개 구간 (All, R1 회복, R2 확장, R3 위기, R4 정상화) 에 대해 보고한다.</w:t>
      </w:r>
    </w:p>
    <w:tbl>
      <w:tblPr>
        <w:tblW w:w="9298" w:type="dxa"/>
        <w:jc w:val="center"/>
        <w:tblBorders>
          <w:top w:val="none" w:sz="0" w:space="0"/>
          <w:left w:val="none" w:sz="0" w:space="0"/>
          <w:bottom w:val="none" w:sz="0" w:space="0"/>
          <w:right w:val="none" w:sz="0" w:space="0"/>
          <w:insideH w:val="none" w:sz="0" w:space="0"/>
          <w:insideV w:val="none" w:sz="0" w:space="0"/>
        </w:tblBorders>
        <w:tblLayout w:type="fixed"/>
        <w:tblLook w:val="04A0" w:firstRow="1" w:lastRow="0" w:firstColumn="0" w:lastColumn="0" w:noHBand="0" w:noVBand="1"/>
      </w:tblPr>
      <w:tblGrid>
        <w:gridCol w:w="516"/>
        <w:gridCol w:w="516"/>
        <w:gridCol w:w="516"/>
        <w:gridCol w:w="516"/>
        <w:gridCol w:w="516"/>
        <w:gridCol w:w="516"/>
        <w:gridCol w:w="516"/>
        <w:gridCol w:w="516"/>
        <w:gridCol w:w="516"/>
        <w:gridCol w:w="516"/>
        <w:gridCol w:w="516"/>
        <w:gridCol w:w="516"/>
        <w:gridCol w:w="516"/>
        <w:gridCol w:w="516"/>
        <w:gridCol w:w="516"/>
        <w:gridCol w:w="516"/>
        <w:gridCol w:w="516"/>
        <w:gridCol w:w="526"/>
      </w:tblGrid>
      <w:tr>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All</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R1</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R2</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R3</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R4</w:t>
            </w:r>
          </w:p>
        </w:tc>
      </w:tr>
      <w:tr>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p</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w</w:t>
            </w:r>
            <w:r>
              <w:rPr>
                <w:rFonts w:ascii="Times New Roman" w:hAnsi="Times New Roman" w:eastAsia="바탕"/>
                <w:b/>
                <w:sz w:val="13"/>
                <w:szCs w:val="13"/>
                <w:vertAlign w:val="subscript"/>
              </w:rPr>
              <w:t xml:space="preserve">mkt</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q</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r>
      <w:tr>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mcap</w:t>
            </w:r>
          </w:p>
        </w:tc>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1.283</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0.811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0.369</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0.369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1.828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0.385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0.521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0.813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0.628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0.387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-0.053</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1.458</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0.742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0.465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0.339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0.346</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1.981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0.331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0.488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0.312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eq</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0.499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0.505</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0.522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-0.050</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1.367</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1.189</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0.257</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0.486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1.815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-0.096</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1.159</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0.246</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0.362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-0.083</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rp</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0.447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0.543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0.841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-0.070</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1.181</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0.603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0.303</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0.527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0.303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0.401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-0.110</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0.461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0.276</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0.493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-0.073</w:t>
            </w:r>
          </w:p>
        </w:tc>
      </w:tr>
      <w:tr>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0.914</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0.921</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1.178</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-0.008</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1.323</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0.499</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0.565</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-0.067</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0.242</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0.348</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-0.105</w:t>
            </w:r>
          </w:p>
        </w:tc>
      </w:tr>
    </w:tbl>
    <w:p>
      <w:pPr>
        <w:keepNext/>
        <w:jc w:val="center"/>
        <w:spacing w:after="40"/>
      </w:pPr>
      <w:r>
        <w:rPr>
          <w:rFonts w:ascii="Times New Roman" w:hAnsi="Times New Roman" w:eastAsia="바탕"/>
          <w:sz w:val="20"/>
          <w:szCs w:val="20"/>
        </w:rPr>
        <w:t xml:space="preserve">&lt;표 A.11&gt; 전체 45 슬롯 Sortino 비율 결과 (ω = ω^he 고정). p × w_mkt × q = 3 × 3 × 5 = 45 슬롯 각각의 앙상블 (E) · ANN (A) Sortino 비율 및 차이 Δ = E - A 를 5 개 구간 (All, R1 회복, R2 확장, R3 위기, R4 정상화) 에 대해 보고한다.</w:t>
      </w:r>
    </w:p>
    <w:tbl>
      <w:tblPr>
        <w:tblW w:w="9298" w:type="dxa"/>
        <w:jc w:val="center"/>
        <w:tblBorders>
          <w:top w:val="none" w:sz="0" w:space="0"/>
          <w:left w:val="none" w:sz="0" w:space="0"/>
          <w:bottom w:val="none" w:sz="0" w:space="0"/>
          <w:right w:val="none" w:sz="0" w:space="0"/>
          <w:insideH w:val="none" w:sz="0" w:space="0"/>
          <w:insideV w:val="none" w:sz="0" w:space="0"/>
        </w:tblBorders>
        <w:tblLayout w:type="fixed"/>
        <w:tblLook w:val="04A0" w:firstRow="1" w:lastRow="0" w:firstColumn="0" w:lastColumn="0" w:noHBand="0" w:noVBand="1"/>
      </w:tblPr>
      <w:tblGrid>
        <w:gridCol w:w="516"/>
        <w:gridCol w:w="516"/>
        <w:gridCol w:w="516"/>
        <w:gridCol w:w="516"/>
        <w:gridCol w:w="516"/>
        <w:gridCol w:w="516"/>
        <w:gridCol w:w="516"/>
        <w:gridCol w:w="516"/>
        <w:gridCol w:w="516"/>
        <w:gridCol w:w="516"/>
        <w:gridCol w:w="516"/>
        <w:gridCol w:w="516"/>
        <w:gridCol w:w="516"/>
        <w:gridCol w:w="516"/>
        <w:gridCol w:w="516"/>
        <w:gridCol w:w="516"/>
        <w:gridCol w:w="516"/>
        <w:gridCol w:w="526"/>
      </w:tblGrid>
      <w:tr>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All</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R1</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R2</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R3</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R4</w:t>
            </w:r>
          </w:p>
        </w:tc>
      </w:tr>
      <w:tr>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p</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w</w:t>
            </w:r>
            <w:r>
              <w:rPr>
                <w:rFonts w:ascii="Times New Roman" w:hAnsi="Times New Roman" w:eastAsia="바탕"/>
                <w:b/>
                <w:sz w:val="13"/>
                <w:szCs w:val="13"/>
                <w:vertAlign w:val="subscript"/>
              </w:rPr>
              <w:t xml:space="preserve">mkt</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q</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r>
      <w:tr>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mcap</w:t>
            </w:r>
          </w:p>
        </w:tc>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1.905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1.837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0.779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1.912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2.014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0.779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2.142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+0.489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1.818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-0.048</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1.742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1.595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2.149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2.418</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1.944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1.914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1.784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0.648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0.640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1.663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2.417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2.036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0.640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2.951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2.572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0.664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2.395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-0.073</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1.599</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2.532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2.719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1.927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1.897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0.586</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2.717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2.027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3.045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0.542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2.885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1.582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2.680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-0.091</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eq</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1.655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1.867</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2.124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2.092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0.768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1.892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2.107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0.768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2.049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1.849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1.889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1.653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-0.123</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1.637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2.268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2.264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2.048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2.087</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0.384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0.406</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2.282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2.088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0.406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2.291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1.685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0.622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2.329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1.804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2.166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2.046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-0.167</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2.383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2.519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2.036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2.002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0.394</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1.592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2.526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1.993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2.263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1.682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2.532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1.816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0.549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2.320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2.033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-0.163</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rp</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1.814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+0.577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2.010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2.034</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+0.313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2.129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-0.060</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2.335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+0.756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1.985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2.018</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0.443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0.484</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2.047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0.484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2.007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-0.205</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2.476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1.708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+0.768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1.979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0.447</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1.742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2.028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0.447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1.661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0.846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0.608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-0.113</w:t>
            </w:r>
          </w:p>
        </w:tc>
      </w:tr>
      <w:tr>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1.434</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-0.014</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2.040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1.415</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+0.626</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1.840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2.030</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1.089</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-0.159</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0.584</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-0.191</w:t>
            </w:r>
          </w:p>
        </w:tc>
      </w:tr>
    </w:tbl>
    <w:p>
      <w:pPr>
        <w:keepNext/>
        <w:jc w:val="center"/>
        <w:spacing w:after="40"/>
      </w:pPr>
      <w:r>
        <w:rPr>
          <w:rFonts w:ascii="Times New Roman" w:hAnsi="Times New Roman" w:eastAsia="바탕"/>
          <w:sz w:val="20"/>
          <w:szCs w:val="20"/>
        </w:rPr>
        <w:t xml:space="preserve">&lt;표 A.12&gt; 전체 45 슬롯 최대낙폭 (MDD) 결과 (ω = ω^he 고정). p × w_mkt × q = 3 × 3 × 5 = 45 슬롯 각각의 앙상블 (E) · ANN (A) 최대낙폭 (MDD) 및 차이 Δ = E - A 를 5 개 구간 (All, R1 회복, R2 확장, R3 위기, R4 정상화) 에 대해 보고한다. MDD 는 음수가 손실이므로 Δ &gt; 0 이 앙상블이 덜 빠진 경우이다.</w:t>
      </w:r>
    </w:p>
    <w:tbl>
      <w:tblPr>
        <w:tblW w:w="9298" w:type="dxa"/>
        <w:jc w:val="center"/>
        <w:tblBorders>
          <w:top w:val="none" w:sz="0" w:space="0"/>
          <w:left w:val="none" w:sz="0" w:space="0"/>
          <w:bottom w:val="none" w:sz="0" w:space="0"/>
          <w:right w:val="none" w:sz="0" w:space="0"/>
          <w:insideH w:val="none" w:sz="0" w:space="0"/>
          <w:insideV w:val="none" w:sz="0" w:space="0"/>
        </w:tblBorders>
        <w:tblLayout w:type="fixed"/>
        <w:tblLook w:val="04A0" w:firstRow="1" w:lastRow="0" w:firstColumn="0" w:lastColumn="0" w:noHBand="0" w:noVBand="1"/>
      </w:tblPr>
      <w:tblGrid>
        <w:gridCol w:w="516"/>
        <w:gridCol w:w="516"/>
        <w:gridCol w:w="516"/>
        <w:gridCol w:w="516"/>
        <w:gridCol w:w="516"/>
        <w:gridCol w:w="516"/>
        <w:gridCol w:w="516"/>
        <w:gridCol w:w="516"/>
        <w:gridCol w:w="516"/>
        <w:gridCol w:w="516"/>
        <w:gridCol w:w="516"/>
        <w:gridCol w:w="516"/>
        <w:gridCol w:w="516"/>
        <w:gridCol w:w="516"/>
        <w:gridCol w:w="516"/>
        <w:gridCol w:w="516"/>
        <w:gridCol w:w="516"/>
        <w:gridCol w:w="526"/>
      </w:tblGrid>
      <w:tr>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All</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R1</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R2</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R3</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R4</w:t>
            </w:r>
          </w:p>
        </w:tc>
      </w:tr>
      <w:tr>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p</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w</w:t>
            </w:r>
            <w:r>
              <w:rPr>
                <w:rFonts w:ascii="Times New Roman" w:hAnsi="Times New Roman" w:eastAsia="바탕"/>
                <w:b/>
                <w:sz w:val="13"/>
                <w:szCs w:val="13"/>
                <w:vertAlign w:val="subscript"/>
              </w:rPr>
              <w:t xml:space="preserve">mkt</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q</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r>
      <w:tr>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mcap</w:t>
            </w:r>
          </w:p>
        </w:tc>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-5.91%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-5.91%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-7.13%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-7.17%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-9.26%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-7.19%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-18.91%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-18.91%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-11.51%</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-12.09%</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-9.79%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+3.22%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-7.18%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-7.18%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-17.89%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-6.31%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-9.33%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-9.19%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-19.65%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-19.65%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-0.69%</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-9.77%</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-9.77%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-5.56%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-8.31%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-8.24%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-8.24%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-19.01%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-8.38%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-19.01%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-0.60%</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eq</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+3.17%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-5.35%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-5.12%</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-5.12%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-6.25%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-4.79%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-9.39%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-4.94%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-15.84%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-8.53%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-15.84%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-7.60%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-7.06%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-6.78%</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-9.19%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-7.07%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-8.23%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-9.18%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-8.96%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-8.82%</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-9.81%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-5.62%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-6.68%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-7.11%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-6.67%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-8.15%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-8.61%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rp</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-14.19%</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-14.19%</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+2.87%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-5.25%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-4.96%</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-4.96%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-4.84%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-9.63%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-4.93%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-8.54%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-7.51%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-12.11%</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-6.96%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-6.82%</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-9.33%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-7.13%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-8.19%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-9.16%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-12.18%</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-9.58%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-12.18%</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-9.03%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w:t>
            </w:r>
          </w:p>
        </w:tc>
      </w:tr>
      <w:tr>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-12.70%</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-12.72%</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-11.34%</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-9.55%</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-7.99%</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-13.19%</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-12.70%</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-8.60%</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w:t>
            </w:r>
          </w:p>
        </w:tc>
      </w:tr>
    </w:tbl>
    <w:p>
      <w:pPr>
        <w:pStyle w:val="1"/>
        <w:numPr>
          <w:ilvl w:val="0"/>
          <w:numId w:val="0"/>
        </w:numPr>
      </w:pPr>
      <w:bookmarkStart w:id="83" w:name="app:r1"/>
      <w:r>
        <w:t xml:space="preserve">부록 C. </w:t>
      </w:r>
      <w:r>
        <w:t xml:space="preserve">R1 회복 국면 결과 분석</w:t>
      </w:r>
      <w:bookmarkEnd w:id="83"/>
    </w:p>
    <w:p>
      <w:pPr/>
      <w:r>
        <w:t xml:space="preserve">본 부록은 5절 셋째 한계에서 인용한 R1 국면 손실의 시점 집중성(약 76%, 40%) 및 4.3절의 표 5에서 관찰된</w:t>
      </w:r>
      <w:r>
        <w:t xml:space="preserve"> </w:t>
      </w:r>
      <m:oMath>
        <m:r>
          <m:rPr>
            <m:sty m:val="b"/>
          </m:rPr>
          <m:t>p</m:t>
        </m:r>
      </m:oMath>
      <w:r>
        <w:t xml:space="preserve"> </w:t>
      </w:r>
      <w:r>
        <w:t xml:space="preserve">벡터 의존적 비대칭의 정량적 근거를 제공한다.</w:t>
      </w:r>
    </w:p>
    <w:p>
      <w:pPr>
        <w:pStyle w:val="2"/>
        <w:numPr>
          <w:ilvl w:val="0"/>
          <w:numId w:val="0"/>
        </w:numPr>
      </w:pPr>
      <w:bookmarkStart w:id="84" w:name="r1-국면-mathbfp-벡터별-앙상블ann-격차"/>
      <w:r>
        <w:t xml:space="preserve">R1 국면</w:t>
      </w:r>
      <w:r>
        <w:t xml:space="preserve"> </w:t>
      </w:r>
      <m:oMath>
        <m:r>
          <m:rPr>
            <m:sty m:val="b"/>
          </m:rPr>
          <m:t>p</m:t>
        </m:r>
      </m:oMath>
      <w:r>
        <w:t xml:space="preserve"> </w:t>
      </w:r>
      <w:r>
        <w:t xml:space="preserve">벡터별 앙상블–ANN 격차</w:t>
      </w:r>
      <w:bookmarkEnd w:id="84"/>
    </w:p>
    <w:p>
      <w:pPr/>
      <w:r>
        <w:t xml:space="preserve">본문 4.3절 표 5에서 샤프 비율 기준</w:t>
      </w:r>
      <w:r>
        <w:t xml:space="preserve"> </w:t>
      </w:r>
      <m:oMath>
        <m:r>
          <m:rPr>
            <m:sty m:val="b"/>
          </m:rPr>
          <m:t>p</m:t>
        </m:r>
      </m:oMath>
      <w:r>
        <w:t xml:space="preserve"> </w:t>
      </w:r>
      <w:r>
        <w:t xml:space="preserve">벡터별 앙상블 우위 슬롯 수를 보고하였다. 본 부록은 보조 지표로 누적 수익률 차이를 함께 제시한다(각</w:t>
      </w:r>
      <w:r>
        <w:t xml:space="preserve"> </w:t>
      </w:r>
      <m:oMath>
        <m:r>
          <m:rPr>
            <m:sty m:val="b"/>
          </m:rPr>
          <m:t>p</m:t>
        </m:r>
      </m:oMath>
      <w:r>
        <w:t xml:space="preserve"> </w:t>
      </w:r>
      <w:r>
        <w:t xml:space="preserve">별 15 슬롯 평균, R1 30 개월 누적).</w:t>
      </w:r>
    </w:p>
    <w:bookmarkStart w:id="85" w:name="tab:r1_pmatrix_delta"/>
    <w:p>
      <w:pPr>
        <w:keepNext/>
        <w:jc w:val="center"/>
      </w:pPr>
      <w:r>
        <w:t xml:space="preserve">&lt;표 A.13&gt; R1 회복 국면</w:t>
      </w:r>
      <w:r>
        <w:t xml:space="preserve"> </w:t>
      </w:r>
      <m:oMath>
        <m:r>
          <m:rPr>
            <m:sty m:val="b"/>
          </m:rPr>
          <m:t>p</m:t>
        </m:r>
      </m:oMath>
      <w:r>
        <w:t xml:space="preserve"> </w:t>
      </w:r>
      <w:r>
        <w:t xml:space="preserve">벡터별 앙상블 vs ANN 격차 — 평균</w:t>
      </w:r>
      <w:r>
        <w:t xml:space="preserve"> </w:t>
      </w:r>
      <m:oMath>
        <m:r>
          <m:t>Δ</m:t>
        </m:r>
      </m:oMath>
      <w:r>
        <w:t xml:space="preserve"> </w:t>
      </w:r>
      <w:r>
        <w:t xml:space="preserve">Sharpe,</w:t>
      </w:r>
      <w:r>
        <w:t xml:space="preserve"> </w:t>
      </w:r>
      <w:r>
        <w:t xml:space="preserve">앙상블 우위 슬롯 수, 누적</w:t>
      </w:r>
      <w:r>
        <w:t xml:space="preserve"> </w:t>
      </w:r>
      <m:oMath>
        <m:r>
          <m:t>Δ</m:t>
        </m:r>
      </m:oMath>
      <w:r>
        <w:t xml:space="preserve">Return 세 지표.</w:t>
      </w:r>
      <w:r>
        <w:t xml:space="preserve"> </w:t>
      </w:r>
      <w:r>
        <w:t xml:space="preserve">각</w:t>
      </w:r>
      <w:r>
        <w:t xml:space="preserve"> </w:t>
      </w:r>
      <m:oMath>
        <m:r>
          <m:rPr>
            <m:sty m:val="b"/>
          </m:rPr>
          <m:t>p</m:t>
        </m:r>
      </m:oMath>
      <w:r>
        <w:t xml:space="preserve"> </w:t>
      </w:r>
      <w:r>
        <w:t xml:space="preserve">값에 대해</w:t>
      </w:r>
      <w:r>
        <w:t xml:space="preserve"> </w:t>
      </w:r>
      <m:oMath>
        <m:r>
          <m:t>q</m:t>
        </m:r>
        <m:r>
          <m:t>×</m:t>
        </m:r>
        <m:sSub>
          <m:e>
            <m:r>
              <m:rPr>
                <m:sty m:val="b"/>
              </m:rPr>
              <m:t>w</m:t>
            </m:r>
          </m:e>
          <m:sub>
            <m:r>
              <m:t>m</m:t>
            </m:r>
            <m:r>
              <m:t>k</m:t>
            </m:r>
            <m:r>
              <m:t>t</m:t>
            </m:r>
          </m:sub>
        </m:sSub>
        <m:r>
          <m:t>=</m:t>
        </m:r>
        <m:r>
          <m:t>15</m:t>
        </m:r>
      </m:oMath>
      <w:r>
        <w:t xml:space="preserve"> </w:t>
      </w:r>
      <w:r>
        <w:t xml:space="preserve">슬롯 평균.</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pPr>
              <w:pStyle w:val="a8"/>
              <w:jc w:val="left"/>
            </w:pPr>
            <m:oMath>
              <m:r>
                <m:rPr>
                  <m:sty m:val="b"/>
                </m:rPr>
                <m:t>p</m:t>
              </m:r>
            </m:oMath>
          </w:p>
        </w:tc>
        <w:tc>
          <w:tcPr>
            <w:tcBorders>
              <w:top w:val="single" w:sz="12" w:space="0" w:color="auto"/>
              <w:bottom w:val="single" w:sz="4" w:space="0" w:color="auto"/>
            </w:tcBorders>
            <w:vAlign w:val="center"/>
          </w:tcPr>
          <w:p>
            <w:pPr>
              <w:pStyle w:val="a8"/>
              <w:jc w:val="center"/>
            </w:pPr>
            <w:r>
              <w:t xml:space="preserve">평균</w:t>
            </w:r>
            <w:r>
              <w:t xml:space="preserve"> </w:t>
            </w:r>
            <m:oMath>
              <m:r>
                <m:t>Δ</m:t>
              </m:r>
            </m:oMath>
            <w:r>
              <w:t xml:space="preserve"> </w:t>
            </w:r>
            <w:r>
              <w:t xml:space="preserve">Sharpe (</w:t>
            </w:r>
            <m:oMath>
              <m:r>
                <m:rPr>
                  <m:sty m:val="p"/>
                </m:rPr>
                <m:t>E</m:t>
              </m:r>
              <m:r>
                <m:t>−</m:t>
              </m:r>
              <m:r>
                <m:rPr>
                  <m:sty m:val="p"/>
                </m:rPr>
                <m:t>A</m:t>
              </m:r>
            </m:oMath>
            <w:r>
              <w:t xml:space="preserve">)</w:t>
            </w:r>
          </w:p>
        </w:tc>
        <w:tc>
          <w:tcPr>
            <w:tcBorders>
              <w:top w:val="single" w:sz="12" w:space="0" w:color="auto"/>
              <w:bottom w:val="single" w:sz="4" w:space="0" w:color="auto"/>
            </w:tcBorders>
            <w:vAlign w:val="center"/>
          </w:tcPr>
          <w:p>
            <w:pPr>
              <w:pStyle w:val="a8"/>
              <w:jc w:val="center"/>
            </w:pPr>
            <w:r>
              <w:t xml:space="preserve">앙상블 우위 슬롯 (Sharpe, /15)</w:t>
            </w:r>
          </w:p>
        </w:tc>
        <w:tc>
          <w:tcPr>
            <w:tcBorders>
              <w:top w:val="single" w:sz="12" w:space="0" w:color="auto"/>
              <w:bottom w:val="single" w:sz="4" w:space="0" w:color="auto"/>
            </w:tcBorders>
            <w:vAlign w:val="center"/>
          </w:tcPr>
          <w:p>
            <w:pPr>
              <w:pStyle w:val="a8"/>
              <w:jc w:val="center"/>
            </w:pPr>
            <w:r>
              <w:t xml:space="preserve">R1 누적</w:t>
            </w:r>
            <w:r>
              <w:t xml:space="preserve"> </w:t>
            </w:r>
            <m:oMath>
              <m:r>
                <m:t>Δ</m:t>
              </m:r>
            </m:oMath>
            <w:r>
              <w:t xml:space="preserve">Return</w:t>
            </w:r>
          </w:p>
        </w:tc>
      </w:tr>
      <w:tr>
        <w:tc>
          <w:tcPr>
            <w:vAlign w:val="center"/>
          </w:tcPr>
          <w:p>
            <w:pPr>
              <w:pStyle w:val="a8"/>
              <w:jc w:val="left"/>
            </w:pPr>
            <m:oMath>
              <m:sSup>
                <m:e>
                  <m:r>
                    <m:rPr>
                      <m:sty m:val="b"/>
                    </m:rPr>
                    <m:t>p</m:t>
                  </m:r>
                </m:e>
                <m:sup>
                  <m:r>
                    <m:rPr>
                      <m:sty m:val="p"/>
                    </m:rPr>
                    <m:t>m</m:t>
                  </m:r>
                  <m:r>
                    <m:rPr>
                      <m:sty m:val="p"/>
                    </m:rPr>
                    <m:t>c</m:t>
                  </m:r>
                  <m:r>
                    <m:rPr>
                      <m:sty m:val="p"/>
                    </m:rPr>
                    <m:t>a</m:t>
                  </m:r>
                  <m:r>
                    <m:rPr>
                      <m:sty m:val="p"/>
                    </m:rPr>
                    <m:t>p</m:t>
                  </m:r>
                </m:sup>
              </m:sSup>
            </m:oMath>
          </w:p>
        </w:tc>
        <w:tc>
          <w:tcPr>
            <w:vAlign w:val="center"/>
          </w:tcPr>
          <w:p>
            <w:pPr>
              <w:pStyle w:val="a8"/>
              <w:jc w:val="center"/>
            </w:pPr>
            <m:oMath>
              <m:r>
                <m:t>−</m:t>
              </m:r>
              <m:r>
                <m:t>0.214</m:t>
              </m:r>
            </m:oMath>
          </w:p>
        </w:tc>
        <w:tc>
          <w:tcPr>
            <w:vAlign w:val="center"/>
          </w:tcPr>
          <w:p>
            <w:pPr>
              <w:pStyle w:val="a8"/>
              <w:jc w:val="center"/>
            </w:pPr>
            <w:r>
              <w:t xml:space="preserve">0 / 15</w:t>
            </w:r>
          </w:p>
        </w:tc>
        <w:tc>
          <w:tcPr>
            <w:vAlign w:val="center"/>
          </w:tcPr>
          <w:p>
            <w:pPr>
              <w:pStyle w:val="a8"/>
              <w:jc w:val="center"/>
            </w:pPr>
            <m:oMath>
              <m:r>
                <m:t>−</m:t>
              </m:r>
              <m:r>
                <m:t>7.75</m:t>
              </m:r>
              <m:r>
                <m:t>%</m:t>
              </m:r>
            </m:oMath>
          </w:p>
        </w:tc>
      </w:tr>
      <w:tr>
        <w:tc>
          <w:tcPr>
            <w:vAlign w:val="center"/>
          </w:tcPr>
          <w:p>
            <w:pPr>
              <w:pStyle w:val="a8"/>
              <w:jc w:val="left"/>
            </w:pPr>
            <m:oMath>
              <m:sSup>
                <m:e>
                  <m:r>
                    <m:rPr>
                      <m:sty m:val="b"/>
                    </m:rPr>
                    <m:t>p</m:t>
                  </m:r>
                </m:e>
                <m:sup>
                  <m:r>
                    <m:rPr>
                      <m:sty m:val="p"/>
                    </m:rPr>
                    <m:t>e</m:t>
                  </m:r>
                  <m:r>
                    <m:rPr>
                      <m:sty m:val="p"/>
                    </m:rPr>
                    <m:t>q</m:t>
                  </m:r>
                </m:sup>
              </m:sSup>
            </m:oMath>
          </w:p>
        </w:tc>
        <w:tc>
          <w:tcPr>
            <w:vAlign w:val="center"/>
          </w:tcPr>
          <w:p>
            <w:pPr>
              <w:pStyle w:val="a8"/>
              <w:jc w:val="center"/>
            </w:pPr>
            <m:oMath>
              <m:r>
                <m:t>−</m:t>
              </m:r>
              <m:r>
                <m:t>0.046</m:t>
              </m:r>
            </m:oMath>
          </w:p>
        </w:tc>
        <w:tc>
          <w:tcPr>
            <w:vAlign w:val="center"/>
          </w:tcPr>
          <w:p>
            <w:pPr>
              <w:pStyle w:val="a8"/>
              <w:jc w:val="center"/>
            </w:pPr>
            <w:r>
              <w:t xml:space="preserve">1 / 15</w:t>
            </w:r>
          </w:p>
        </w:tc>
        <w:tc>
          <w:tcPr>
            <w:vAlign w:val="center"/>
          </w:tcPr>
          <w:p>
            <w:pPr>
              <w:pStyle w:val="a8"/>
              <w:jc w:val="center"/>
            </w:pPr>
            <m:oMath>
              <m:r>
                <m:t>−</m:t>
              </m:r>
              <m:r>
                <m:t>1.74</m:t>
              </m:r>
              <m:r>
                <m:t>%</m:t>
              </m:r>
            </m:oMath>
          </w:p>
        </w:tc>
      </w:tr>
      <w:tr>
        <w:tc>
          <w:tcPr>
            <w:tcBorders>
              <w:bottom w:val="single" w:sz="12" w:space="0" w:color="auto"/>
            </w:tcBorders>
            <w:vAlign w:val="center"/>
          </w:tcPr>
          <w:p>
            <w:pPr>
              <w:pStyle w:val="a8"/>
              <w:jc w:val="left"/>
            </w:pPr>
            <m:oMath>
              <m:sSup>
                <m:e>
                  <m:r>
                    <m:rPr>
                      <m:sty m:val="b"/>
                    </m:rPr>
                    <m:t>p</m:t>
                  </m:r>
                </m:e>
                <m:sup>
                  <m:r>
                    <m:rPr>
                      <m:sty m:val="p"/>
                    </m:rPr>
                    <m:t>r</m:t>
                  </m:r>
                  <m:r>
                    <m:rPr>
                      <m:sty m:val="p"/>
                    </m:rPr>
                    <m:t>p</m:t>
                  </m:r>
                </m:sup>
              </m:sSup>
            </m:oMath>
          </w:p>
        </w:tc>
        <w:tc>
          <w:tcPr>
            <w:tcBorders>
              <w:bottom w:val="single" w:sz="12" w:space="0" w:color="auto"/>
            </w:tcBorders>
            <w:vAlign w:val="center"/>
          </w:tcPr>
          <w:p>
            <w:pPr>
              <w:pStyle w:val="a8"/>
              <w:jc w:val="center"/>
            </w:pPr>
            <m:oMath>
              <m:r>
                <m:t>+</m:t>
              </m:r>
              <m:r>
                <m:t>0.081</m:t>
              </m:r>
            </m:oMath>
          </w:p>
        </w:tc>
        <w:tc>
          <w:tcPr>
            <w:tcBorders>
              <w:bottom w:val="single" w:sz="12" w:space="0" w:color="auto"/>
            </w:tcBorders>
            <w:vAlign w:val="center"/>
          </w:tcPr>
          <w:p>
            <w:pPr>
              <w:pStyle w:val="a8"/>
              <w:jc w:val="center"/>
            </w:pPr>
            <w:r>
              <w:t xml:space="preserve">14 / 15</w:t>
            </w:r>
          </w:p>
        </w:tc>
        <w:tc>
          <w:tcPr>
            <w:tcBorders>
              <w:bottom w:val="single" w:sz="12" w:space="0" w:color="auto"/>
            </w:tcBorders>
            <w:vAlign w:val="center"/>
          </w:tcPr>
          <w:p>
            <w:pPr>
              <w:pStyle w:val="a8"/>
              <w:jc w:val="center"/>
            </w:pPr>
            <m:oMath>
              <m:r>
                <m:t>+</m:t>
              </m:r>
              <m:r>
                <m:t>0.19</m:t>
              </m:r>
              <m:r>
                <m:t>%</m:t>
              </m:r>
            </m:oMath>
          </w:p>
        </w:tc>
      </w:tr>
    </w:tbl>
    <w:bookmarkEnd w:id="85"/>
    <w:p>
      <w:pPr/>
      <m:oMath>
        <m:r>
          <m:t>Δ</m:t>
        </m:r>
      </m:oMath>
      <w:r>
        <w:t xml:space="preserve">Return = (앙상블 누적 수익)</w:t>
      </w:r>
      <w:r>
        <w:t xml:space="preserve"> </w:t>
      </w:r>
      <m:oMath>
        <m:r>
          <m:t>−</m:t>
        </m:r>
      </m:oMath>
      <w:r>
        <w:t xml:space="preserve"> </w:t>
      </w:r>
      <w:r>
        <w:t xml:space="preserve">(ANN 누적 수익), 각</w:t>
      </w:r>
      <w:r>
        <w:t xml:space="preserve"> </w:t>
      </w:r>
      <m:oMath>
        <m:r>
          <m:rPr>
            <m:sty m:val="b"/>
          </m:rPr>
          <m:t>p</m:t>
        </m:r>
      </m:oMath>
      <w:r>
        <w:t xml:space="preserve"> </w:t>
      </w:r>
      <w:r>
        <w:t xml:space="preserve">별 15 슬롯 평균.</w:t>
      </w:r>
    </w:p>
    <w:p>
      <w:pPr/>
      <w:r>
        <w:t xml:space="preserve">R1 앙상블 열위는</w:t>
      </w:r>
      <w:r>
        <w:t xml:space="preserve"> </w:t>
      </w:r>
      <m:oMath>
        <m:sSup>
          <m:e>
            <m:r>
              <m:rPr>
                <m:sty m:val="b"/>
              </m:rPr>
              <m:t>p</m:t>
            </m:r>
          </m:e>
          <m:sup>
            <m:r>
              <m:rPr>
                <m:sty m:val="p"/>
              </m:rPr>
              <m:t>m</m:t>
            </m:r>
            <m:r>
              <m:rPr>
                <m:sty m:val="p"/>
              </m:rPr>
              <m:t>c</m:t>
            </m:r>
            <m:r>
              <m:rPr>
                <m:sty m:val="p"/>
              </m:rPr>
              <m:t>a</m:t>
            </m:r>
            <m:r>
              <m:rPr>
                <m:sty m:val="p"/>
              </m:rPr>
              <m:t>p</m:t>
            </m:r>
          </m:sup>
        </m:sSup>
      </m:oMath>
      <w:r>
        <w:t xml:space="preserve"> </w:t>
      </w:r>
      <w:r>
        <w:t xml:space="preserve">조건에서 가장 두드러지며 (</w:t>
      </w:r>
      <m:oMath>
        <m:r>
          <m:t>−</m:t>
        </m:r>
        <m:r>
          <m:t>7.75</m:t>
        </m:r>
        <m:r>
          <m:t>%</m:t>
        </m:r>
      </m:oMath>
      <w:r>
        <w:t xml:space="preserve">),</w:t>
      </w:r>
      <w:r>
        <w:t xml:space="preserve"> </w:t>
      </w:r>
      <m:oMath>
        <m:sSup>
          <m:e>
            <m:r>
              <m:rPr>
                <m:sty m:val="b"/>
              </m:rPr>
              <m:t>p</m:t>
            </m:r>
          </m:e>
          <m:sup>
            <m:r>
              <m:rPr>
                <m:sty m:val="p"/>
              </m:rPr>
              <m:t>e</m:t>
            </m:r>
            <m:r>
              <m:rPr>
                <m:sty m:val="p"/>
              </m:rPr>
              <m:t>q</m:t>
            </m:r>
          </m:sup>
        </m:sSup>
      </m:oMath>
      <w:r>
        <w:t xml:space="preserve">에서 격차가 큰 폭 완화되고 (</w:t>
      </w:r>
      <m:oMath>
        <m:r>
          <m:t>−</m:t>
        </m:r>
        <m:r>
          <m:t>1.74</m:t>
        </m:r>
        <m:r>
          <m:t>%</m:t>
        </m:r>
      </m:oMath>
      <w:r>
        <w:t xml:space="preserve">),</w:t>
      </w:r>
      <w:r>
        <w:t xml:space="preserve"> </w:t>
      </w:r>
      <m:oMath>
        <m:sSup>
          <m:e>
            <m:r>
              <m:rPr>
                <m:sty m:val="b"/>
              </m:rPr>
              <m:t>p</m:t>
            </m:r>
          </m:e>
          <m:sup>
            <m:r>
              <m:rPr>
                <m:sty m:val="p"/>
              </m:rPr>
              <m:t>r</m:t>
            </m:r>
            <m:r>
              <m:rPr>
                <m:sty m:val="p"/>
              </m:rPr>
              <m:t>p</m:t>
            </m:r>
          </m:sup>
        </m:sSup>
      </m:oMath>
      <w:r>
        <w:t xml:space="preserve">에서는 사실상 사라진다 (</w:t>
      </w:r>
      <m:oMath>
        <m:r>
          <m:t>+</m:t>
        </m:r>
        <m:r>
          <m:t>0.19</m:t>
        </m:r>
        <m:r>
          <m:t>%</m:t>
        </m:r>
      </m:oMath>
      <w:r>
        <w:t xml:space="preserve">).</w:t>
      </w:r>
    </w:p>
    <w:p>
      <w:pPr>
        <w:pStyle w:val="2"/>
        <w:numPr>
          <w:ilvl w:val="0"/>
          <w:numId w:val="0"/>
        </w:numPr>
      </w:pPr>
      <w:bookmarkStart w:id="86" w:name="mathbfpmathrmmcap-누적-손실의-시점-집중성"/>
      <m:oMath>
        <m:sSup>
          <m:e>
            <m:r>
              <m:rPr>
                <m:sty m:val="b"/>
              </m:rPr>
              <m:t>p</m:t>
            </m:r>
          </m:e>
          <m:sup>
            <m:r>
              <m:rPr>
                <m:sty m:val="p"/>
              </m:rPr>
              <m:t>m</m:t>
            </m:r>
            <m:r>
              <m:rPr>
                <m:sty m:val="p"/>
              </m:rPr>
              <m:t>c</m:t>
            </m:r>
            <m:r>
              <m:rPr>
                <m:sty m:val="p"/>
              </m:rPr>
              <m:t>a</m:t>
            </m:r>
            <m:r>
              <m:rPr>
                <m:sty m:val="p"/>
              </m:rPr>
              <m:t>p</m:t>
            </m:r>
          </m:sup>
        </m:sSup>
      </m:oMath>
      <w:r>
        <w:t xml:space="preserve"> </w:t>
      </w:r>
      <w:r>
        <w:t xml:space="preserve">누적 손실의 시점 집중성</w:t>
      </w:r>
      <w:bookmarkEnd w:id="86"/>
    </w:p>
    <w:p>
      <w:pPr/>
      <m:oMath>
        <m:sSup>
          <m:e>
            <m:r>
              <m:rPr>
                <m:sty m:val="b"/>
              </m:rPr>
              <m:t>p</m:t>
            </m:r>
          </m:e>
          <m:sup>
            <m:r>
              <m:rPr>
                <m:sty m:val="p"/>
              </m:rPr>
              <m:t>m</m:t>
            </m:r>
            <m:r>
              <m:rPr>
                <m:sty m:val="p"/>
              </m:rPr>
              <m:t>c</m:t>
            </m:r>
            <m:r>
              <m:rPr>
                <m:sty m:val="p"/>
              </m:rPr>
              <m:t>a</m:t>
            </m:r>
            <m:r>
              <m:rPr>
                <m:sty m:val="p"/>
              </m:rPr>
              <m:t>p</m:t>
            </m:r>
          </m:sup>
        </m:sSup>
      </m:oMath>
      <w:r>
        <w:t xml:space="preserve"> </w:t>
      </w:r>
      <w:r>
        <w:t xml:space="preserve">누적 손실</w:t>
      </w:r>
      <w:r>
        <w:t xml:space="preserve"> </w:t>
      </w:r>
      <m:oMath>
        <m:r>
          <m:t>−</m:t>
        </m:r>
        <m:r>
          <m:t>7.75</m:t>
        </m:r>
        <m:r>
          <m:t>%</m:t>
        </m:r>
      </m:oMath>
      <w:r>
        <w:t xml:space="preserve"> </w:t>
      </w:r>
      <w:r>
        <w:t xml:space="preserve">의 월별 분포를 보면, 약 76%가 2011 3·4·8월의 세 시점에 집중된다.</w:t>
      </w:r>
    </w:p>
    <w:bookmarkStart w:id="87" w:name="tab:r1_loss_concentration"/>
    <w:p>
      <w:pPr>
        <w:keepNext/>
        <w:jc w:val="center"/>
      </w:pPr>
      <w:r>
        <w:t xml:space="preserve">&lt;표 A.14&gt;</w:t>
      </w:r>
      <w:r>
        <w:t xml:space="preserve"> </w:t>
      </w:r>
      <m:oMath>
        <m:sSup>
          <m:e>
            <m:r>
              <m:rPr>
                <m:sty m:val="b"/>
              </m:rPr>
              <m:t>p</m:t>
            </m:r>
          </m:e>
          <m:sup>
            <m:r>
              <m:rPr>
                <m:sty m:val="p"/>
              </m:rPr>
              <m:t>m</m:t>
            </m:r>
            <m:r>
              <m:rPr>
                <m:sty m:val="p"/>
              </m:rPr>
              <m:t>c</m:t>
            </m:r>
            <m:r>
              <m:rPr>
                <m:sty m:val="p"/>
              </m:rPr>
              <m:t>a</m:t>
            </m:r>
            <m:r>
              <m:rPr>
                <m:sty m:val="p"/>
              </m:rPr>
              <m:t>p</m:t>
            </m:r>
          </m:sup>
        </m:sSup>
      </m:oMath>
      <w:r>
        <w:t xml:space="preserve"> </w:t>
      </w:r>
      <w:r>
        <w:t xml:space="preserve">누적 손실의 시점 집중성 — R1 30개월 중</w:t>
      </w:r>
      <w:r>
        <w:t xml:space="preserve"> </w:t>
      </w:r>
      <w:r>
        <w:t xml:space="preserve">2011년 3·4·8월 세 시점이 누적 손실의 약 76%를 차지한다.</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pPr>
              <w:pStyle w:val="a8"/>
              <w:jc w:val="left"/>
            </w:pPr>
            <w:r>
              <w:t xml:space="preserve">시점</w:t>
            </w:r>
          </w:p>
        </w:tc>
        <w:tc>
          <w:tcPr>
            <w:tcBorders>
              <w:top w:val="single" w:sz="12" w:space="0" w:color="auto"/>
              <w:bottom w:val="single" w:sz="4" w:space="0" w:color="auto"/>
            </w:tcBorders>
            <w:vAlign w:val="center"/>
          </w:tcPr>
          <w:p>
            <w:pPr>
              <w:pStyle w:val="a8"/>
              <w:jc w:val="left"/>
            </w:pPr>
            <w:r>
              <w:t xml:space="preserve">시장 이벤트</w:t>
            </w:r>
          </w:p>
        </w:tc>
        <w:tc>
          <w:tcPr>
            <w:tcBorders>
              <w:top w:val="single" w:sz="12" w:space="0" w:color="auto"/>
              <w:bottom w:val="single" w:sz="4" w:space="0" w:color="auto"/>
            </w:tcBorders>
            <w:vAlign w:val="center"/>
          </w:tcPr>
          <w:p>
            <w:pPr>
              <w:pStyle w:val="a8"/>
              <w:jc w:val="right"/>
            </w:pPr>
            <m:oMath>
              <m:r>
                <m:t>Δ</m:t>
              </m:r>
            </m:oMath>
            <w:r>
              <w:t xml:space="preserve">Return (</w:t>
            </w:r>
            <m:oMath>
              <m:sSup>
                <m:e>
                  <m:r>
                    <m:rPr>
                      <m:sty m:val="b"/>
                    </m:rPr>
                    <m:t>p</m:t>
                  </m:r>
                </m:e>
                <m:sup>
                  <m:r>
                    <m:rPr>
                      <m:sty m:val="p"/>
                    </m:rPr>
                    <m:t>m</m:t>
                  </m:r>
                  <m:r>
                    <m:rPr>
                      <m:sty m:val="p"/>
                    </m:rPr>
                    <m:t>c</m:t>
                  </m:r>
                  <m:r>
                    <m:rPr>
                      <m:sty m:val="p"/>
                    </m:rPr>
                    <m:t>a</m:t>
                  </m:r>
                  <m:r>
                    <m:rPr>
                      <m:sty m:val="p"/>
                    </m:rPr>
                    <m:t>p</m:t>
                  </m:r>
                </m:sup>
              </m:sSup>
            </m:oMath>
            <w:r>
              <w:t xml:space="preserve">)</w:t>
            </w:r>
          </w:p>
        </w:tc>
        <w:tc>
          <w:tcPr>
            <w:tcBorders>
              <w:top w:val="single" w:sz="12" w:space="0" w:color="auto"/>
              <w:bottom w:val="single" w:sz="4" w:space="0" w:color="auto"/>
            </w:tcBorders>
            <w:vAlign w:val="center"/>
          </w:tcPr>
          <w:p>
            <w:pPr>
              <w:pStyle w:val="a8"/>
              <w:jc w:val="right"/>
            </w:pPr>
            <w:r>
              <w:t xml:space="preserve">기여도</w:t>
            </w:r>
          </w:p>
        </w:tc>
      </w:tr>
      <w:tr>
        <w:tc>
          <w:tcPr>
            <w:vAlign w:val="center"/>
          </w:tcPr>
          <w:p>
            <w:pPr>
              <w:pStyle w:val="a8"/>
              <w:jc w:val="left"/>
            </w:pPr>
            <w:r>
              <w:t xml:space="preserve">2011-03</w:t>
            </w:r>
          </w:p>
        </w:tc>
        <w:tc>
          <w:tcPr>
            <w:vAlign w:val="center"/>
          </w:tcPr>
          <w:p>
            <w:pPr>
              <w:pStyle w:val="a8"/>
              <w:jc w:val="left"/>
            </w:pPr>
            <w:r>
              <w:t xml:space="preserve">Tohoku 지진 + 일본 시장 충격</w:t>
            </w:r>
          </w:p>
        </w:tc>
        <w:tc>
          <w:tcPr>
            <w:vAlign w:val="center"/>
          </w:tcPr>
          <w:p>
            <w:pPr>
              <w:pStyle w:val="a8"/>
              <w:jc w:val="right"/>
            </w:pPr>
            <m:oMath>
              <m:r>
                <m:t>−</m:t>
              </m:r>
              <m:r>
                <m:t>1.19</m:t>
              </m:r>
            </m:oMath>
            <w:r>
              <w:t xml:space="preserve">%p</w:t>
            </w:r>
          </w:p>
        </w:tc>
        <w:tc>
          <w:tcPr>
            <w:vAlign w:val="center"/>
          </w:tcPr>
          <w:p>
            <w:pPr>
              <w:pStyle w:val="a8"/>
              <w:jc w:val="right"/>
            </w:pPr>
            <w:r>
              <w:t xml:space="preserve">15.4%</w:t>
            </w:r>
          </w:p>
        </w:tc>
      </w:tr>
      <w:tr>
        <w:tc>
          <w:tcPr>
            <w:vAlign w:val="center"/>
          </w:tcPr>
          <w:p>
            <w:pPr>
              <w:pStyle w:val="a8"/>
              <w:jc w:val="left"/>
            </w:pPr>
            <w:r>
              <w:t xml:space="preserve">2011-04</w:t>
            </w:r>
          </w:p>
        </w:tc>
        <w:tc>
          <w:tcPr>
            <w:vAlign w:val="center"/>
          </w:tcPr>
          <w:p>
            <w:pPr>
              <w:pStyle w:val="a8"/>
              <w:jc w:val="left"/>
            </w:pPr>
            <w:r>
              <w:t xml:space="preserve">포르투갈 구제금융 신청 + 유럽 재정위기 재발</w:t>
            </w:r>
          </w:p>
        </w:tc>
        <w:tc>
          <w:tcPr>
            <w:vAlign w:val="center"/>
          </w:tcPr>
          <w:p>
            <w:pPr>
              <w:pStyle w:val="a8"/>
              <w:jc w:val="right"/>
            </w:pPr>
            <m:oMath>
              <m:r>
                <m:t>−</m:t>
              </m:r>
              <m:r>
                <m:t>1.65</m:t>
              </m:r>
            </m:oMath>
            <w:r>
              <w:t xml:space="preserve">%p</w:t>
            </w:r>
          </w:p>
        </w:tc>
        <w:tc>
          <w:tcPr>
            <w:vAlign w:val="center"/>
          </w:tcPr>
          <w:p>
            <w:pPr>
              <w:pStyle w:val="a8"/>
              <w:jc w:val="right"/>
            </w:pPr>
            <w:r>
              <w:t xml:space="preserve">21.3%</w:t>
            </w:r>
          </w:p>
        </w:tc>
      </w:tr>
      <w:tr>
        <w:tc>
          <w:tcPr>
            <w:vAlign w:val="center"/>
          </w:tcPr>
          <w:p>
            <w:pPr>
              <w:pStyle w:val="a8"/>
              <w:jc w:val="left"/>
            </w:pPr>
            <w:r>
              <w:t xml:space="preserve">2011-08</w:t>
            </w:r>
          </w:p>
        </w:tc>
        <w:tc>
          <w:tcPr>
            <w:vAlign w:val="center"/>
          </w:tcPr>
          <w:p>
            <w:pPr>
              <w:pStyle w:val="a8"/>
              <w:jc w:val="left"/>
            </w:pPr>
            <w:r>
              <w:t xml:space="preserve">유로존 위기 + 미국 신용등급 강등</w:t>
            </w:r>
          </w:p>
        </w:tc>
        <w:tc>
          <w:tcPr>
            <w:vAlign w:val="center"/>
          </w:tcPr>
          <w:p>
            <w:pPr>
              <w:pStyle w:val="a8"/>
              <w:jc w:val="right"/>
            </w:pPr>
            <m:oMath>
              <m:r>
                <m:t>−</m:t>
              </m:r>
              <m:r>
                <m:t>3.08</m:t>
              </m:r>
            </m:oMath>
            <w:r>
              <w:t xml:space="preserve">%p</w:t>
            </w:r>
          </w:p>
        </w:tc>
        <w:tc>
          <w:tcPr>
            <w:vAlign w:val="center"/>
          </w:tcPr>
          <w:p>
            <w:pPr>
              <w:pStyle w:val="a8"/>
              <w:jc w:val="right"/>
            </w:pPr>
            <w:r>
              <w:t xml:space="preserve">39.7%</w:t>
            </w:r>
          </w:p>
        </w:tc>
      </w:tr>
      <w:tr>
        <w:tc>
          <w:tcPr>
            <w:vAlign w:val="center"/>
          </w:tcPr>
          <w:p>
            <w:pPr>
              <w:pStyle w:val="a8"/>
              <w:jc w:val="left"/>
            </w:pPr>
            <w:r>
              <w:t xml:space="preserve">위 3 개 합계</w:t>
            </w:r>
          </w:p>
        </w:tc>
        <w:tc>
          <w:tcPr>
            <w:vAlign w:val="center"/>
          </w:tcPr>
          <w:p>
            <w:pPr>
              <w:pStyle w:val="a8"/>
              <w:jc w:val="left"/>
            </w:pPr>
            <w:r>
              <w:t xml:space="preserve">–</w:t>
            </w:r>
          </w:p>
        </w:tc>
        <w:tc>
          <w:tcPr>
            <w:vAlign w:val="center"/>
          </w:tcPr>
          <w:p>
            <w:pPr>
              <w:pStyle w:val="a8"/>
              <w:jc w:val="right"/>
            </w:pPr>
            <m:oMath>
              <m:r>
                <m:t>−</m:t>
              </m:r>
              <m:r>
                <m:t>5.92</m:t>
              </m:r>
            </m:oMath>
            <w:r>
              <w:t xml:space="preserve">%p</w:t>
            </w:r>
          </w:p>
        </w:tc>
        <w:tc>
          <w:tcPr>
            <w:vAlign w:val="center"/>
          </w:tcPr>
          <w:p>
            <w:pPr>
              <w:pStyle w:val="a8"/>
              <w:jc w:val="right"/>
            </w:pPr>
            <w:r>
              <w:t xml:space="preserve">76.4%</w:t>
            </w:r>
          </w:p>
        </w:tc>
      </w:tr>
      <w:tr>
        <w:tc>
          <w:tcPr>
            <w:vAlign w:val="center"/>
          </w:tcPr>
          <w:p>
            <w:pPr>
              <w:pStyle w:val="a8"/>
              <w:jc w:val="left"/>
            </w:pPr>
            <w:r>
              <w:t xml:space="preserve">나머지 27 개월</w:t>
            </w:r>
          </w:p>
        </w:tc>
        <w:tc>
          <w:tcPr>
            <w:vAlign w:val="center"/>
          </w:tcPr>
          <w:p>
            <w:pPr>
              <w:pStyle w:val="a8"/>
              <w:jc w:val="left"/>
            </w:pPr>
            <w:r>
              <w:t xml:space="preserve">–</w:t>
            </w:r>
          </w:p>
        </w:tc>
        <w:tc>
          <w:tcPr>
            <w:vAlign w:val="center"/>
          </w:tcPr>
          <w:p>
            <w:pPr>
              <w:pStyle w:val="a8"/>
              <w:jc w:val="right"/>
            </w:pPr>
            <m:oMath>
              <m:r>
                <m:t>−</m:t>
              </m:r>
              <m:r>
                <m:t>1.83</m:t>
              </m:r>
            </m:oMath>
            <w:r>
              <w:t xml:space="preserve">%p</w:t>
            </w:r>
          </w:p>
        </w:tc>
        <w:tc>
          <w:tcPr>
            <w:vAlign w:val="center"/>
          </w:tcPr>
          <w:p>
            <w:pPr>
              <w:pStyle w:val="a8"/>
              <w:jc w:val="right"/>
            </w:pPr>
            <w:r>
              <w:t xml:space="preserve">23.6%</w:t>
            </w:r>
          </w:p>
        </w:tc>
      </w:tr>
      <w:tr>
        <w:tc>
          <w:tcPr>
            <w:tcBorders>
              <w:bottom w:val="single" w:sz="12" w:space="0" w:color="auto"/>
            </w:tcBorders>
            <w:vAlign w:val="center"/>
          </w:tcPr>
          <w:p>
            <w:pPr>
              <w:pStyle w:val="a8"/>
              <w:jc w:val="left"/>
            </w:pPr>
            <w:r>
              <w:t xml:space="preserve">R1 누적 합계</w:t>
            </w:r>
          </w:p>
        </w:tc>
        <w:tc>
          <w:tcPr>
            <w:tcBorders>
              <w:bottom w:val="single" w:sz="12" w:space="0" w:color="auto"/>
            </w:tcBorders>
            <w:vAlign w:val="center"/>
          </w:tcPr>
          <w:p>
            <w:pPr>
              <w:pStyle w:val="a8"/>
              <w:jc w:val="left"/>
            </w:pPr>
            <w:r>
              <w:t xml:space="preserve">–</w:t>
            </w:r>
          </w:p>
        </w:tc>
        <w:tc>
          <w:tcPr>
            <w:tcBorders>
              <w:bottom w:val="single" w:sz="12" w:space="0" w:color="auto"/>
            </w:tcBorders>
            <w:vAlign w:val="center"/>
          </w:tcPr>
          <w:p>
            <w:pPr>
              <w:pStyle w:val="a8"/>
              <w:jc w:val="right"/>
            </w:pPr>
            <m:oMath>
              <m:r>
                <m:t>−</m:t>
              </m:r>
              <m:r>
                <m:t>7.75</m:t>
              </m:r>
            </m:oMath>
            <w:r>
              <w:t xml:space="preserve">%p</w:t>
            </w:r>
          </w:p>
        </w:tc>
        <w:tc>
          <w:tcPr>
            <w:tcBorders>
              <w:bottom w:val="single" w:sz="12" w:space="0" w:color="auto"/>
            </w:tcBorders>
            <w:vAlign w:val="center"/>
          </w:tcPr>
          <w:p>
            <w:pPr>
              <w:pStyle w:val="a8"/>
              <w:jc w:val="right"/>
            </w:pPr>
            <w:r>
              <w:t xml:space="preserve">100.0%</w:t>
            </w:r>
          </w:p>
        </w:tc>
      </w:tr>
    </w:tbl>
    <w:bookmarkEnd w:id="87"/>
    <w:p>
      <w:pPr/>
      <w:r>
        <w:t xml:space="preserve">2011-08 단일 월이 R1 누적 손실의 약 40%를 견인하며, 30개월 R1 국면 손실의 대부분이 2011년 3·4·8월 세 시점에 집중된다. 이러한 표본 크기와 분포의 집중성을 고려할 때, R1 국면 결과는 회복 구간 일반에 대한 결론으로 확장하기 어렵다.</w:t>
      </w:r>
    </w:p>
    <w:p>
      <w:pPr>
        <w:pStyle w:val="1"/>
        <w:numPr>
          <w:ilvl w:val="0"/>
          <w:numId w:val="0"/>
        </w:numPr>
      </w:pPr>
      <w:bookmarkStart w:id="88" w:name="app:r4_mechanism"/>
      <w:r>
        <w:t xml:space="preserve">부록 D. </w:t>
      </w:r>
      <w:r>
        <w:t xml:space="preserve">R4 정상화 국면의</w:t>
      </w:r>
      <w:r>
        <w:t xml:space="preserve"> </w:t>
      </w:r>
      <m:oMath>
        <m:sSup>
          <m:e>
            <m:r>
              <m:t>q</m:t>
            </m:r>
          </m:e>
          <m:sup>
            <m:r>
              <m:rPr>
                <m:sty m:val="p"/>
              </m:rPr>
              <m:t>f</m:t>
            </m:r>
            <m:r>
              <m:rPr>
                <m:sty m:val="p"/>
              </m:rPr>
              <m:t>f</m:t>
            </m:r>
            <m:r>
              <m:rPr>
                <m:sty m:val="p"/>
              </m:rPr>
              <m:t>3</m:t>
            </m:r>
          </m:sup>
        </m:sSup>
      </m:oMath>
      <w:r>
        <w:t xml:space="preserve"> </w:t>
      </w:r>
      <w:r>
        <w:t xml:space="preserve">부호 반전과</w:t>
      </w:r>
      <w:r>
        <w:t xml:space="preserve"> </w:t>
      </w:r>
      <m:oMath>
        <m:r>
          <m:rPr>
            <m:sty m:val="b"/>
          </m:rPr>
          <m:t>p</m:t>
        </m:r>
      </m:oMath>
      <w:r>
        <w:t xml:space="preserve"> </w:t>
      </w:r>
      <w:r>
        <w:t xml:space="preserve">벡터의 완화 효과</w:t>
      </w:r>
      <w:bookmarkEnd w:id="88"/>
    </w:p>
    <w:p>
      <w:pPr/>
      <w:r>
        <w:t xml:space="preserve">본 부록은 5절에서 언급한 "Pyo and Lee (2018) 가 사용한 Fama-French 회귀 기반</w:t>
      </w:r>
      <w:r>
        <w:t xml:space="preserve"> </w:t>
      </w:r>
      <m:oMath>
        <m:sSup>
          <m:e>
            <m:r>
              <m:t>q</m:t>
            </m:r>
          </m:e>
          <m:sup>
            <m:r>
              <m:rPr>
                <m:sty m:val="p"/>
              </m:rPr>
              <m:t>f</m:t>
            </m:r>
            <m:r>
              <m:rPr>
                <m:sty m:val="p"/>
              </m:rPr>
              <m:t>f</m:t>
            </m:r>
            <m:r>
              <m:rPr>
                <m:sty m:val="p"/>
              </m:rPr>
              <m:t>3</m:t>
            </m:r>
          </m:sup>
        </m:sSup>
      </m:oMath>
      <w:r>
        <w:t xml:space="preserve">이 시장 상황에 따라 부호가 반전되면서 저변동 전략의 본질이 약화될 수 있다" 는 관찰의 정량적 근거를 제공한다. 본 부록의 모든 분석은 사후적 관찰에 머무르며, 인과적 메커니즘의 규명은 본 연구의 범위를 벗어난다.</w:t>
      </w:r>
    </w:p>
    <w:p>
      <w:pPr>
        <w:pStyle w:val="2"/>
        <w:numPr>
          <w:ilvl w:val="0"/>
          <w:numId w:val="0"/>
        </w:numPr>
      </w:pPr>
      <w:bookmarkStart w:id="89" w:name="앵커-슬롯의-국면별-비중-추이"/>
      <w:r>
        <w:t xml:space="preserve">앵커 슬롯의 국면별 비중 추이</w:t>
      </w:r>
      <w:bookmarkEnd w:id="89"/>
    </w:p>
    <w:p>
      <w:pPr/>
      <w:r>
        <w:t xml:space="preserve">Pyo and Lee (2018)가 제안한 앵커 슬롯</w:t>
      </w:r>
      <w:r>
        <w:t xml:space="preserve"> </w:t>
      </w:r>
      <w:r>
        <w:rPr>
          <w:rStyle w:val="VerbatimChar"/>
        </w:rPr>
        <w:t xml:space="preserve">mcap_mcap_ff3_err</w:t>
      </w:r>
      <w:r>
        <w:t xml:space="preserve">의 저변동·고변동 종목 비중을 4 개 국면에 걸쳐 집계한 결과는 다음과 같다.</w:t>
      </w:r>
    </w:p>
    <w:bookmarkStart w:id="90" w:name="tab:r4_anchor_weights"/>
    <w:p>
      <w:pPr>
        <w:keepNext/>
        <w:jc w:val="center"/>
      </w:pPr>
      <w:r>
        <w:t xml:space="preserve">&lt;표 A.15&gt; 앵커 슬롯 (</w:t>
      </w:r>
      <w:r>
        <w:rPr>
          <w:rStyle w:val="VerbatimChar"/>
        </w:rPr>
        <w:t xml:space="preserve">mcap_mcap_ff3_err</w:t>
      </w:r>
      <w:r>
        <w:t xml:space="preserve">)의 국면별 저변동·고변동 비중 추이.</w:t>
      </w:r>
      <w:r>
        <w:t xml:space="preserve"> </w:t>
      </w:r>
      <w:r>
        <w:t xml:space="preserve">저변동 / 고변동은 변동성 예측값 하위 30% / 상위 30%로 정의하며, 각 셀은 월별 평균.</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c>
          <w:tcPr>
            <w:tcBorders>
              <w:top w:val="single" w:sz="12" w:space="0" w:color="auto"/>
            </w:tcBorders>
            <w:vAlign w:val="center"/>
          </w:tcPr>
          <w:p>
            <w:pPr>
              <w:pStyle w:val="a8"/>
            </w:pPr>
          </w:p>
        </w:tc>
        <w:tc>
          <w:tcPr>
            <w:gridSpan w:val="3"/>
            <w:tcBorders>
              <w:top w:val="single" w:sz="12" w:space="0" w:color="auto"/>
              <w:bottom w:val="single" w:sz="4" w:space="0" w:color="auto"/>
            </w:tcBorders>
            <w:vAlign w:val="center"/>
          </w:tcPr>
          <w:p>
            <w:pPr>
              <w:pStyle w:val="a8"/>
            </w:pPr>
            <w:r>
              <w:rPr>
                <w:rFonts w:ascii="Times New Roman" w:hAnsi="Times New Roman" w:eastAsia="바탕"/>
              </w:rPr>
              <w:t xml:space="preserve">앙상블 (E)</w:t>
            </w:r>
          </w:p>
        </w:tc>
        <w:tc>
          <w:tcPr>
            <w:gridSpan w:val="3"/>
            <w:tcBorders>
              <w:top w:val="single" w:sz="12" w:space="0" w:color="auto"/>
              <w:bottom w:val="single" w:sz="4" w:space="0" w:color="auto"/>
            </w:tcBorders>
            <w:vAlign w:val="center"/>
          </w:tcPr>
          <w:p>
            <w:pPr>
              <w:pStyle w:val="a8"/>
            </w:pPr>
            <w:r>
              <w:rPr>
                <w:rFonts w:ascii="Times New Roman" w:hAnsi="Times New Roman" w:eastAsia="바탕"/>
              </w:rPr>
              <w:t xml:space="preserve">ANN (A)</w:t>
            </w:r>
          </w:p>
        </w:tc>
      </w:tr>
      <w:tr>
        <w:tc>
          <w:tcPr>
            <w:tcBorders>
              <w:bottom w:val="single" w:sz="4" w:space="0" w:color="auto"/>
            </w:tcBorders>
            <w:vAlign w:val="center"/>
          </w:tcPr>
          <w:p>
            <w:pPr>
              <w:pStyle w:val="a8"/>
            </w:pPr>
            <w:r>
              <w:rPr>
                <w:rFonts w:ascii="Times New Roman" w:hAnsi="Times New Roman" w:eastAsia="바탕"/>
              </w:rPr>
              <w:t xml:space="preserve">국면</w:t>
            </w:r>
          </w:p>
        </w:tc>
        <w:tc>
          <w:tcPr>
            <w:tcBorders>
              <w:bottom w:val="single" w:sz="4" w:space="0" w:color="auto"/>
            </w:tcBorders>
            <w:vAlign w:val="center"/>
          </w:tcPr>
          <w:p>
            <w:pPr>
              <w:pStyle w:val="a8"/>
            </w:pPr>
            <w:r>
              <w:rPr>
                <w:rFonts w:ascii="Times New Roman" w:hAnsi="Times New Roman" w:eastAsia="바탕"/>
              </w:rPr>
              <w:t xml:space="preserve">저변동</w:t>
            </w:r>
          </w:p>
        </w:tc>
        <w:tc>
          <w:tcPr>
            <w:tcBorders>
              <w:bottom w:val="single" w:sz="4" w:space="0" w:color="auto"/>
            </w:tcBorders>
            <w:vAlign w:val="center"/>
          </w:tcPr>
          <w:p>
            <w:pPr>
              <w:pStyle w:val="a8"/>
            </w:pPr>
            <w:r>
              <w:rPr>
                <w:rFonts w:ascii="Times New Roman" w:hAnsi="Times New Roman" w:eastAsia="바탕"/>
              </w:rPr>
              <w:t xml:space="preserve">고변동</w:t>
            </w:r>
          </w:p>
        </w:tc>
        <w:tc>
          <w:tcPr>
            <w:tcBorders>
              <w:bottom w:val="single" w:sz="4" w:space="0" w:color="auto"/>
            </w:tcBorders>
            <w:vAlign w:val="center"/>
          </w:tcPr>
          <w:p>
            <w:pPr>
              <w:pStyle w:val="a8"/>
            </w:pPr>
            <w:r>
              <w:rPr>
                <w:rFonts w:ascii="Times New Roman" w:hAnsi="Times New Roman" w:eastAsia="바탕"/>
              </w:rPr>
              <w:t xml:space="preserve">스프레드</w:t>
            </w:r>
          </w:p>
        </w:tc>
        <w:tc>
          <w:tcPr>
            <w:tcBorders>
              <w:bottom w:val="single" w:sz="4" w:space="0" w:color="auto"/>
            </w:tcBorders>
            <w:vAlign w:val="center"/>
          </w:tcPr>
          <w:p>
            <w:pPr>
              <w:pStyle w:val="a8"/>
            </w:pPr>
            <w:r>
              <w:rPr>
                <w:rFonts w:ascii="Times New Roman" w:hAnsi="Times New Roman" w:eastAsia="바탕"/>
              </w:rPr>
              <w:t xml:space="preserve">저변동</w:t>
            </w:r>
          </w:p>
        </w:tc>
        <w:tc>
          <w:tcPr>
            <w:tcBorders>
              <w:bottom w:val="single" w:sz="4" w:space="0" w:color="auto"/>
            </w:tcBorders>
            <w:vAlign w:val="center"/>
          </w:tcPr>
          <w:p>
            <w:pPr>
              <w:pStyle w:val="a8"/>
            </w:pPr>
            <w:r>
              <w:rPr>
                <w:rFonts w:ascii="Times New Roman" w:hAnsi="Times New Roman" w:eastAsia="바탕"/>
              </w:rPr>
              <w:t xml:space="preserve">고변동</w:t>
            </w:r>
          </w:p>
        </w:tc>
        <w:tc>
          <w:tcPr>
            <w:tcBorders>
              <w:bottom w:val="single" w:sz="4" w:space="0" w:color="auto"/>
            </w:tcBorders>
            <w:vAlign w:val="center"/>
          </w:tcPr>
          <w:p>
            <w:pPr>
              <w:pStyle w:val="a8"/>
            </w:pPr>
            <w:r>
              <w:rPr>
                <w:rFonts w:ascii="Times New Roman" w:hAnsi="Times New Roman" w:eastAsia="바탕"/>
              </w:rPr>
              <w:t xml:space="preserve">스프레드</w:t>
            </w:r>
          </w:p>
        </w:tc>
      </w:tr>
      <w:tr>
        <w:tc>
          <w:tcPr>
            <w:vAlign w:val="center"/>
          </w:tcPr>
          <w:p>
            <w:pPr>
              <w:pStyle w:val="a8"/>
              <w:jc w:val="left"/>
            </w:pPr>
            <w:r>
              <w:t xml:space="preserve">R1 회복</w:t>
            </w:r>
          </w:p>
        </w:tc>
        <w:tc>
          <w:tcPr>
            <w:vAlign w:val="center"/>
          </w:tcPr>
          <w:p>
            <w:pPr>
              <w:pStyle w:val="a8"/>
              <w:jc w:val="center"/>
            </w:pPr>
            <w:r>
              <w:t xml:space="preserve">0.556</w:t>
            </w:r>
          </w:p>
        </w:tc>
        <w:tc>
          <w:tcPr>
            <w:vAlign w:val="center"/>
          </w:tcPr>
          <w:p>
            <w:pPr>
              <w:pStyle w:val="a8"/>
              <w:jc w:val="center"/>
            </w:pPr>
            <w:r>
              <w:t xml:space="preserve">0.087</w:t>
            </w:r>
          </w:p>
        </w:tc>
        <w:tc>
          <w:tcPr>
            <w:vAlign w:val="center"/>
          </w:tcPr>
          <w:p>
            <w:pPr>
              <w:pStyle w:val="a8"/>
              <w:jc w:val="center"/>
            </w:pPr>
            <m:oMath>
              <m:r>
                <m:t>+</m:t>
              </m:r>
              <m:r>
                <m:t>0.469</m:t>
              </m:r>
            </m:oMath>
          </w:p>
        </w:tc>
        <w:tc>
          <w:tcPr>
            <w:vAlign w:val="center"/>
          </w:tcPr>
          <w:p>
            <w:pPr>
              <w:pStyle w:val="a8"/>
              <w:jc w:val="center"/>
            </w:pPr>
            <w:r>
              <w:t xml:space="preserve">0.598</w:t>
            </w:r>
          </w:p>
        </w:tc>
        <w:tc>
          <w:tcPr>
            <w:vAlign w:val="center"/>
          </w:tcPr>
          <w:p>
            <w:pPr>
              <w:pStyle w:val="a8"/>
              <w:jc w:val="center"/>
            </w:pPr>
            <w:r>
              <w:t xml:space="preserve">0.082</w:t>
            </w:r>
          </w:p>
        </w:tc>
        <w:tc>
          <w:tcPr>
            <w:vAlign w:val="center"/>
          </w:tcPr>
          <w:p>
            <w:pPr>
              <w:pStyle w:val="a8"/>
              <w:jc w:val="center"/>
            </w:pPr>
            <m:oMath>
              <m:r>
                <m:t>+</m:t>
              </m:r>
              <m:r>
                <m:t>0.516</m:t>
              </m:r>
            </m:oMath>
          </w:p>
        </w:tc>
      </w:tr>
      <w:tr>
        <w:tc>
          <w:tcPr>
            <w:vAlign w:val="center"/>
          </w:tcPr>
          <w:p>
            <w:pPr>
              <w:pStyle w:val="a8"/>
              <w:jc w:val="left"/>
            </w:pPr>
            <w:r>
              <w:t xml:space="preserve">R2 확장</w:t>
            </w:r>
          </w:p>
        </w:tc>
        <w:tc>
          <w:tcPr>
            <w:vAlign w:val="center"/>
          </w:tcPr>
          <w:p>
            <w:pPr>
              <w:pStyle w:val="a8"/>
              <w:jc w:val="center"/>
            </w:pPr>
            <w:r>
              <w:t xml:space="preserve">0.431</w:t>
            </w:r>
          </w:p>
        </w:tc>
        <w:tc>
          <w:tcPr>
            <w:vAlign w:val="center"/>
          </w:tcPr>
          <w:p>
            <w:pPr>
              <w:pStyle w:val="a8"/>
              <w:jc w:val="center"/>
            </w:pPr>
            <w:r>
              <w:t xml:space="preserve">0.205</w:t>
            </w:r>
          </w:p>
        </w:tc>
        <w:tc>
          <w:tcPr>
            <w:vAlign w:val="center"/>
          </w:tcPr>
          <w:p>
            <w:pPr>
              <w:pStyle w:val="a8"/>
              <w:jc w:val="center"/>
            </w:pPr>
            <m:oMath>
              <m:r>
                <m:t>+</m:t>
              </m:r>
              <m:r>
                <m:t>0.226</m:t>
              </m:r>
            </m:oMath>
          </w:p>
        </w:tc>
        <w:tc>
          <w:tcPr>
            <w:vAlign w:val="center"/>
          </w:tcPr>
          <w:p>
            <w:pPr>
              <w:pStyle w:val="a8"/>
              <w:jc w:val="center"/>
            </w:pPr>
            <w:r>
              <w:t xml:space="preserve">0.453</w:t>
            </w:r>
          </w:p>
        </w:tc>
        <w:tc>
          <w:tcPr>
            <w:vAlign w:val="center"/>
          </w:tcPr>
          <w:p>
            <w:pPr>
              <w:pStyle w:val="a8"/>
              <w:jc w:val="center"/>
            </w:pPr>
            <w:r>
              <w:t xml:space="preserve">0.181</w:t>
            </w:r>
          </w:p>
        </w:tc>
        <w:tc>
          <w:tcPr>
            <w:vAlign w:val="center"/>
          </w:tcPr>
          <w:p>
            <w:pPr>
              <w:pStyle w:val="a8"/>
              <w:jc w:val="center"/>
            </w:pPr>
            <m:oMath>
              <m:r>
                <m:t>+</m:t>
              </m:r>
              <m:r>
                <m:t>0.272</m:t>
              </m:r>
            </m:oMath>
          </w:p>
        </w:tc>
      </w:tr>
      <w:tr>
        <w:tc>
          <w:tcPr>
            <w:vAlign w:val="center"/>
          </w:tcPr>
          <w:p>
            <w:pPr>
              <w:pStyle w:val="a8"/>
              <w:jc w:val="left"/>
            </w:pPr>
            <w:r>
              <w:t xml:space="preserve">R3 위기</w:t>
            </w:r>
          </w:p>
        </w:tc>
        <w:tc>
          <w:tcPr>
            <w:vAlign w:val="center"/>
          </w:tcPr>
          <w:p>
            <w:pPr>
              <w:pStyle w:val="a8"/>
              <w:jc w:val="center"/>
            </w:pPr>
            <w:r>
              <w:t xml:space="preserve">0.403</w:t>
            </w:r>
          </w:p>
        </w:tc>
        <w:tc>
          <w:tcPr>
            <w:vAlign w:val="center"/>
          </w:tcPr>
          <w:p>
            <w:pPr>
              <w:pStyle w:val="a8"/>
              <w:jc w:val="center"/>
            </w:pPr>
            <w:r>
              <w:t xml:space="preserve">0.212</w:t>
            </w:r>
          </w:p>
        </w:tc>
        <w:tc>
          <w:tcPr>
            <w:vAlign w:val="center"/>
          </w:tcPr>
          <w:p>
            <w:pPr>
              <w:pStyle w:val="a8"/>
              <w:jc w:val="center"/>
            </w:pPr>
            <m:oMath>
              <m:r>
                <m:t>+</m:t>
              </m:r>
              <m:r>
                <m:t>0.190</m:t>
              </m:r>
            </m:oMath>
          </w:p>
        </w:tc>
        <w:tc>
          <w:tcPr>
            <w:vAlign w:val="center"/>
          </w:tcPr>
          <w:p>
            <w:pPr>
              <w:pStyle w:val="a8"/>
              <w:jc w:val="center"/>
            </w:pPr>
            <w:r>
              <w:t xml:space="preserve">0.420</w:t>
            </w:r>
          </w:p>
        </w:tc>
        <w:tc>
          <w:tcPr>
            <w:vAlign w:val="center"/>
          </w:tcPr>
          <w:p>
            <w:pPr>
              <w:pStyle w:val="a8"/>
              <w:jc w:val="center"/>
            </w:pPr>
            <w:r>
              <w:t xml:space="preserve">0.198</w:t>
            </w:r>
          </w:p>
        </w:tc>
        <w:tc>
          <w:tcPr>
            <w:vAlign w:val="center"/>
          </w:tcPr>
          <w:p>
            <w:pPr>
              <w:pStyle w:val="a8"/>
              <w:jc w:val="center"/>
            </w:pPr>
            <m:oMath>
              <m:r>
                <m:t>+</m:t>
              </m:r>
              <m:r>
                <m:t>0.222</m:t>
              </m:r>
            </m:oMath>
          </w:p>
        </w:tc>
      </w:tr>
      <w:tr>
        <w:tc>
          <w:tcPr>
            <w:tcBorders>
              <w:bottom w:val="single" w:sz="12" w:space="0" w:color="auto"/>
            </w:tcBorders>
            <w:vAlign w:val="center"/>
          </w:tcPr>
          <w:p>
            <w:pPr>
              <w:pStyle w:val="a8"/>
              <w:jc w:val="left"/>
            </w:pPr>
            <w:r>
              <w:t xml:space="preserve">R4 정상화</w:t>
            </w:r>
          </w:p>
        </w:tc>
        <w:tc>
          <w:tcPr>
            <w:tcBorders>
              <w:bottom w:val="single" w:sz="12" w:space="0" w:color="auto"/>
            </w:tcBorders>
            <w:vAlign w:val="center"/>
          </w:tcPr>
          <w:p>
            <w:pPr>
              <w:pStyle w:val="a8"/>
              <w:jc w:val="center"/>
            </w:pPr>
            <w:r>
              <w:t xml:space="preserve">0.250</w:t>
            </w:r>
          </w:p>
        </w:tc>
        <w:tc>
          <w:tcPr>
            <w:tcBorders>
              <w:bottom w:val="single" w:sz="12" w:space="0" w:color="auto"/>
            </w:tcBorders>
            <w:vAlign w:val="center"/>
          </w:tcPr>
          <w:p>
            <w:pPr>
              <w:pStyle w:val="a8"/>
              <w:jc w:val="center"/>
            </w:pPr>
            <w:r>
              <w:t xml:space="preserve">0.395</w:t>
            </w:r>
          </w:p>
        </w:tc>
        <w:tc>
          <w:tcPr>
            <w:tcBorders>
              <w:bottom w:val="single" w:sz="12" w:space="0" w:color="auto"/>
            </w:tcBorders>
            <w:vAlign w:val="center"/>
          </w:tcPr>
          <w:p>
            <w:pPr>
              <w:pStyle w:val="a8"/>
              <w:jc w:val="center"/>
            </w:pPr>
            <m:oMath>
              <m:r>
                <m:rPr>
                  <m:sty m:val="b"/>
                </m:rPr>
                <m:t>−</m:t>
              </m:r>
              <m:r>
                <m:rPr>
                  <m:sty m:val="b"/>
                </m:rPr>
                <m:t>0.145</m:t>
              </m:r>
            </m:oMath>
          </w:p>
        </w:tc>
        <w:tc>
          <w:tcPr>
            <w:tcBorders>
              <w:bottom w:val="single" w:sz="12" w:space="0" w:color="auto"/>
            </w:tcBorders>
            <w:vAlign w:val="center"/>
          </w:tcPr>
          <w:p>
            <w:pPr>
              <w:pStyle w:val="a8"/>
              <w:jc w:val="center"/>
            </w:pPr>
            <w:r>
              <w:t xml:space="preserve">0.263</w:t>
            </w:r>
          </w:p>
        </w:tc>
        <w:tc>
          <w:tcPr>
            <w:tcBorders>
              <w:bottom w:val="single" w:sz="12" w:space="0" w:color="auto"/>
            </w:tcBorders>
            <w:vAlign w:val="center"/>
          </w:tcPr>
          <w:p>
            <w:pPr>
              <w:pStyle w:val="a8"/>
              <w:jc w:val="center"/>
            </w:pPr>
            <w:r>
              <w:t xml:space="preserve">0.366</w:t>
            </w:r>
          </w:p>
        </w:tc>
        <w:tc>
          <w:tcPr>
            <w:tcBorders>
              <w:bottom w:val="single" w:sz="12" w:space="0" w:color="auto"/>
            </w:tcBorders>
            <w:vAlign w:val="center"/>
          </w:tcPr>
          <w:p>
            <w:pPr>
              <w:pStyle w:val="a8"/>
              <w:jc w:val="center"/>
            </w:pPr>
            <m:oMath>
              <m:r>
                <m:rPr>
                  <m:sty m:val="b"/>
                </m:rPr>
                <m:t>−</m:t>
              </m:r>
              <m:r>
                <m:rPr>
                  <m:sty m:val="b"/>
                </m:rPr>
                <m:t>0.103</m:t>
              </m:r>
            </m:oMath>
          </w:p>
        </w:tc>
      </w:tr>
    </w:tbl>
    <w:bookmarkEnd w:id="90"/>
    <w:p>
      <w:pPr/>
      <w:r>
        <w:t xml:space="preserve">R1 국면에서 R3 국면까지는 저변동 비중이 고변동 비중보다 큰 저변동 전략이 유지되었으나, R4 국면에서 앙상블 · ANN 모형 모두 변동성 스프레드가 음수로 전환되어 저변동 전략의 본질이 사실상 반전된 상태로 운용되었다.</w:t>
      </w:r>
    </w:p>
    <w:p>
      <w:pPr>
        <w:pStyle w:val="2"/>
        <w:numPr>
          <w:ilvl w:val="0"/>
          <w:numId w:val="0"/>
        </w:numPr>
      </w:pPr>
      <w:bookmarkStart w:id="91" w:name="qmathrmff3의-국면별-부호-분포"/>
      <m:oMath>
        <m:sSup>
          <m:e>
            <m:r>
              <m:t>q</m:t>
            </m:r>
          </m:e>
          <m:sup>
            <m:r>
              <m:rPr>
                <m:sty m:val="p"/>
              </m:rPr>
              <m:t>f</m:t>
            </m:r>
            <m:r>
              <m:rPr>
                <m:sty m:val="p"/>
              </m:rPr>
              <m:t>f</m:t>
            </m:r>
            <m:r>
              <m:rPr>
                <m:sty m:val="p"/>
              </m:rPr>
              <m:t>3</m:t>
            </m:r>
          </m:sup>
        </m:sSup>
      </m:oMath>
      <w:r>
        <w:t xml:space="preserve">의 국면별 부호 분포</w:t>
      </w:r>
      <w:bookmarkEnd w:id="91"/>
    </w:p>
    <w:p>
      <w:pPr/>
      <w:r>
        <w:t xml:space="preserve">앵커 슬롯에서</w:t>
      </w:r>
      <w:r>
        <w:t xml:space="preserve"> </w:t>
      </w:r>
      <m:oMath>
        <m:sSup>
          <m:e>
            <m:r>
              <m:t>q</m:t>
            </m:r>
          </m:e>
          <m:sup>
            <m:r>
              <m:rPr>
                <m:sty m:val="p"/>
              </m:rPr>
              <m:t>f</m:t>
            </m:r>
            <m:r>
              <m:rPr>
                <m:sty m:val="p"/>
              </m:rPr>
              <m:t>f</m:t>
            </m:r>
            <m:r>
              <m:rPr>
                <m:sty m:val="p"/>
              </m:rPr>
              <m:t>3</m:t>
            </m:r>
          </m:sup>
        </m:sSup>
      </m:oMath>
      <w:r>
        <w:t xml:space="preserve">의 월별 평균값과 음수 비율을 국면별로 집계한 결과는 다음과 같다.</w:t>
      </w:r>
    </w:p>
    <w:bookmarkStart w:id="92" w:name="tab:r4_q_sign"/>
    <w:p>
      <w:pPr>
        <w:keepNext/>
        <w:jc w:val="center"/>
      </w:pPr>
      <w:r>
        <w:t xml:space="preserve">&lt;표 A.16&gt; 앵커 슬롯 (</w:t>
      </w:r>
      <w:r>
        <w:rPr>
          <w:rStyle w:val="VerbatimChar"/>
        </w:rPr>
        <w:t xml:space="preserve">mcap_mcap_ff3_err</w:t>
      </w:r>
      <w:r>
        <w:t xml:space="preserve">)의</w:t>
      </w:r>
      <w:r>
        <w:t xml:space="preserve"> </w:t>
      </w:r>
      <m:oMath>
        <m:sSup>
          <m:e>
            <m:r>
              <m:t>q</m:t>
            </m:r>
          </m:e>
          <m:sup>
            <m:r>
              <m:rPr>
                <m:sty m:val="p"/>
              </m:rPr>
              <m:t>f</m:t>
            </m:r>
            <m:r>
              <m:rPr>
                <m:sty m:val="p"/>
              </m:rPr>
              <m:t>f</m:t>
            </m:r>
            <m:r>
              <m:rPr>
                <m:sty m:val="p"/>
              </m:rPr>
              <m:t>3</m:t>
            </m:r>
          </m:sup>
        </m:sSup>
      </m:oMath>
      <w:r>
        <w:t xml:space="preserve"> </w:t>
      </w:r>
      <w:r>
        <w:t xml:space="preserve">국면별 부호 분포 — R4에서 평균값과 음수 빈도가 모두 극단적으로 증가.</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c>
          <w:tcPr>
            <w:tcBorders>
              <w:top w:val="single" w:sz="12" w:space="0" w:color="auto"/>
            </w:tcBorders>
            <w:vAlign w:val="center"/>
          </w:tcPr>
          <w:p>
            <w:pPr>
              <w:pStyle w:val="a8"/>
            </w:pPr>
          </w:p>
        </w:tc>
        <w:tc>
          <w:tcPr>
            <w:gridSpan w:val="2"/>
            <w:tcBorders>
              <w:top w:val="single" w:sz="12" w:space="0" w:color="auto"/>
              <w:bottom w:val="single" w:sz="4" w:space="0" w:color="auto"/>
            </w:tcBorders>
            <w:vAlign w:val="center"/>
          </w:tcPr>
          <w:p>
            <w:pPr>
              <w:pStyle w:val="a8"/>
            </w:pPr>
            <w:r>
              <w:rPr>
                <w:rFonts w:ascii="Times New Roman" w:hAnsi="Times New Roman" w:eastAsia="바탕"/>
              </w:rPr>
              <w:t xml:space="preserve">앙상블 (E)</w:t>
            </w:r>
          </w:p>
        </w:tc>
        <w:tc>
          <w:tcPr>
            <w:gridSpan w:val="2"/>
            <w:tcBorders>
              <w:top w:val="single" w:sz="12" w:space="0" w:color="auto"/>
              <w:bottom w:val="single" w:sz="4" w:space="0" w:color="auto"/>
            </w:tcBorders>
            <w:vAlign w:val="center"/>
          </w:tcPr>
          <w:p>
            <w:pPr>
              <w:pStyle w:val="a8"/>
            </w:pPr>
            <w:r>
              <w:rPr>
                <w:rFonts w:ascii="Times New Roman" w:hAnsi="Times New Roman" w:eastAsia="바탕"/>
              </w:rPr>
              <w:t xml:space="preserve">ANN (A)</w:t>
            </w:r>
          </w:p>
        </w:tc>
      </w:tr>
      <w:tr>
        <w:tc>
          <w:tcPr>
            <w:tcBorders>
              <w:bottom w:val="single" w:sz="4" w:space="0" w:color="auto"/>
            </w:tcBorders>
            <w:vAlign w:val="center"/>
          </w:tcPr>
          <w:p>
            <w:pPr>
              <w:pStyle w:val="a8"/>
            </w:pPr>
            <w:r>
              <w:rPr>
                <w:rFonts w:ascii="Times New Roman" w:hAnsi="Times New Roman" w:eastAsia="바탕"/>
              </w:rPr>
              <w:t xml:space="preserve">국면</w:t>
            </w:r>
          </w:p>
        </w:tc>
        <w:tc>
          <w:tcPr>
            <w:tcBorders>
              <w:bottom w:val="single" w:sz="4" w:space="0" w:color="auto"/>
            </w:tcBorders>
            <w:vAlign w:val="center"/>
          </w:tcPr>
          <w:p>
            <w:pPr>
              <w:pStyle w:val="a8"/>
            </w:pPr>
            <w:r>
              <w:rPr>
                <w:rFonts w:ascii="Times New Roman" w:hAnsi="Times New Roman" w:eastAsia="바탕"/>
              </w:rPr>
              <w:t xml:space="preserve">mean(q)</w:t>
            </w:r>
          </w:p>
        </w:tc>
        <w:tc>
          <w:tcPr>
            <w:tcBorders>
              <w:bottom w:val="single" w:sz="4" w:space="0" w:color="auto"/>
            </w:tcBorders>
            <w:vAlign w:val="center"/>
          </w:tcPr>
          <w:p>
            <w:pPr>
              <w:pStyle w:val="a8"/>
            </w:pPr>
            <w:r>
              <w:rPr>
                <w:rFonts w:ascii="Times New Roman" w:hAnsi="Times New Roman" w:eastAsia="바탕"/>
              </w:rPr>
              <w:t xml:space="preserve">% q &lt; 0</w:t>
            </w:r>
          </w:p>
        </w:tc>
        <w:tc>
          <w:tcPr>
            <w:tcBorders>
              <w:bottom w:val="single" w:sz="4" w:space="0" w:color="auto"/>
            </w:tcBorders>
            <w:vAlign w:val="center"/>
          </w:tcPr>
          <w:p>
            <w:pPr>
              <w:pStyle w:val="a8"/>
            </w:pPr>
            <w:r>
              <w:rPr>
                <w:rFonts w:ascii="Times New Roman" w:hAnsi="Times New Roman" w:eastAsia="바탕"/>
              </w:rPr>
              <w:t xml:space="preserve">mean(q)</w:t>
            </w:r>
          </w:p>
        </w:tc>
        <w:tc>
          <w:tcPr>
            <w:tcBorders>
              <w:bottom w:val="single" w:sz="4" w:space="0" w:color="auto"/>
            </w:tcBorders>
            <w:vAlign w:val="center"/>
          </w:tcPr>
          <w:p>
            <w:pPr>
              <w:pStyle w:val="a8"/>
            </w:pPr>
            <w:r>
              <w:rPr>
                <w:rFonts w:ascii="Times New Roman" w:hAnsi="Times New Roman" w:eastAsia="바탕"/>
              </w:rPr>
              <w:t xml:space="preserve">% q &lt; 0</w:t>
            </w:r>
          </w:p>
        </w:tc>
      </w:tr>
      <w:tr>
        <w:tc>
          <w:tcPr>
            <w:vAlign w:val="center"/>
          </w:tcPr>
          <w:p>
            <w:pPr>
              <w:pStyle w:val="a8"/>
              <w:jc w:val="left"/>
            </w:pPr>
            <w:r>
              <w:t xml:space="preserve">R1 회복</w:t>
            </w:r>
          </w:p>
        </w:tc>
        <w:tc>
          <w:tcPr>
            <w:vAlign w:val="center"/>
          </w:tcPr>
          <w:p>
            <w:pPr>
              <w:pStyle w:val="a8"/>
              <w:jc w:val="center"/>
            </w:pPr>
            <m:oMath>
              <m:r>
                <m:t>+</m:t>
              </m:r>
              <m:r>
                <m:t>0.0001</m:t>
              </m:r>
            </m:oMath>
          </w:p>
        </w:tc>
        <w:tc>
          <w:tcPr>
            <w:vAlign w:val="center"/>
          </w:tcPr>
          <w:p>
            <w:pPr>
              <w:pStyle w:val="a8"/>
              <w:jc w:val="center"/>
            </w:pPr>
            <w:r>
              <w:t xml:space="preserve">43.3%</w:t>
            </w:r>
          </w:p>
        </w:tc>
        <w:tc>
          <w:tcPr>
            <w:vAlign w:val="center"/>
          </w:tcPr>
          <w:p>
            <w:pPr>
              <w:pStyle w:val="a8"/>
              <w:jc w:val="center"/>
            </w:pPr>
            <m:oMath>
              <m:r>
                <m:t>+</m:t>
              </m:r>
              <m:r>
                <m:t>0.0022</m:t>
              </m:r>
            </m:oMath>
          </w:p>
        </w:tc>
        <w:tc>
          <w:tcPr>
            <w:vAlign w:val="center"/>
          </w:tcPr>
          <w:p>
            <w:pPr>
              <w:pStyle w:val="a8"/>
              <w:jc w:val="center"/>
            </w:pPr>
            <w:r>
              <w:t xml:space="preserve">3.3%</w:t>
            </w:r>
          </w:p>
        </w:tc>
      </w:tr>
      <w:tr>
        <w:tc>
          <w:tcPr>
            <w:vAlign w:val="center"/>
          </w:tcPr>
          <w:p>
            <w:pPr>
              <w:pStyle w:val="a8"/>
              <w:jc w:val="left"/>
            </w:pPr>
            <w:r>
              <w:t xml:space="preserve">R2 확장</w:t>
            </w:r>
          </w:p>
        </w:tc>
        <w:tc>
          <w:tcPr>
            <w:vAlign w:val="center"/>
          </w:tcPr>
          <w:p>
            <w:pPr>
              <w:pStyle w:val="a8"/>
              <w:jc w:val="center"/>
            </w:pPr>
            <m:oMath>
              <m:r>
                <m:t>−</m:t>
              </m:r>
              <m:r>
                <m:t>0.0010</m:t>
              </m:r>
            </m:oMath>
          </w:p>
        </w:tc>
        <w:tc>
          <w:tcPr>
            <w:vAlign w:val="center"/>
          </w:tcPr>
          <w:p>
            <w:pPr>
              <w:pStyle w:val="a8"/>
              <w:jc w:val="center"/>
            </w:pPr>
            <w:r>
              <w:t xml:space="preserve">61.1%</w:t>
            </w:r>
          </w:p>
        </w:tc>
        <w:tc>
          <w:tcPr>
            <w:vAlign w:val="center"/>
          </w:tcPr>
          <w:p>
            <w:pPr>
              <w:pStyle w:val="a8"/>
              <w:jc w:val="center"/>
            </w:pPr>
            <m:oMath>
              <m:r>
                <m:t>−</m:t>
              </m:r>
              <m:r>
                <m:t>0.0001</m:t>
              </m:r>
            </m:oMath>
          </w:p>
        </w:tc>
        <w:tc>
          <w:tcPr>
            <w:vAlign w:val="center"/>
          </w:tcPr>
          <w:p>
            <w:pPr>
              <w:pStyle w:val="a8"/>
              <w:jc w:val="center"/>
            </w:pPr>
            <w:r>
              <w:t xml:space="preserve">44.4%</w:t>
            </w:r>
          </w:p>
        </w:tc>
      </w:tr>
      <w:tr>
        <w:tc>
          <w:tcPr>
            <w:vAlign w:val="center"/>
          </w:tcPr>
          <w:p>
            <w:pPr>
              <w:pStyle w:val="a8"/>
              <w:jc w:val="left"/>
            </w:pPr>
            <w:r>
              <w:t xml:space="preserve">R3 위기</w:t>
            </w:r>
          </w:p>
        </w:tc>
        <w:tc>
          <w:tcPr>
            <w:vAlign w:val="center"/>
          </w:tcPr>
          <w:p>
            <w:pPr>
              <w:pStyle w:val="a8"/>
              <w:jc w:val="center"/>
            </w:pPr>
            <m:oMath>
              <m:r>
                <m:t>−</m:t>
              </m:r>
              <m:r>
                <m:t>0.0009</m:t>
              </m:r>
            </m:oMath>
          </w:p>
        </w:tc>
        <w:tc>
          <w:tcPr>
            <w:vAlign w:val="center"/>
          </w:tcPr>
          <w:p>
            <w:pPr>
              <w:pStyle w:val="a8"/>
              <w:jc w:val="center"/>
            </w:pPr>
            <w:r>
              <w:t xml:space="preserve">69.0%</w:t>
            </w:r>
          </w:p>
        </w:tc>
        <w:tc>
          <w:tcPr>
            <w:vAlign w:val="center"/>
          </w:tcPr>
          <w:p>
            <w:pPr>
              <w:pStyle w:val="a8"/>
              <w:jc w:val="center"/>
            </w:pPr>
            <m:oMath>
              <m:r>
                <m:t>−</m:t>
              </m:r>
              <m:r>
                <m:t>0.0000</m:t>
              </m:r>
            </m:oMath>
          </w:p>
        </w:tc>
        <w:tc>
          <w:tcPr>
            <w:vAlign w:val="center"/>
          </w:tcPr>
          <w:p>
            <w:pPr>
              <w:pStyle w:val="a8"/>
              <w:jc w:val="center"/>
            </w:pPr>
            <w:r>
              <w:t xml:space="preserve">40.5%</w:t>
            </w:r>
          </w:p>
        </w:tc>
      </w:tr>
      <w:tr>
        <w:tc>
          <w:tcPr>
            <w:tcBorders>
              <w:bottom w:val="single" w:sz="12" w:space="0" w:color="auto"/>
            </w:tcBorders>
            <w:vAlign w:val="center"/>
          </w:tcPr>
          <w:p>
            <w:pPr>
              <w:pStyle w:val="a8"/>
              <w:jc w:val="left"/>
            </w:pPr>
            <w:r>
              <w:t xml:space="preserve">R4 정상화</w:t>
            </w:r>
          </w:p>
        </w:tc>
        <w:tc>
          <w:tcPr>
            <w:tcBorders>
              <w:bottom w:val="single" w:sz="12" w:space="0" w:color="auto"/>
            </w:tcBorders>
            <w:vAlign w:val="center"/>
          </w:tcPr>
          <w:p>
            <w:pPr>
              <w:pStyle w:val="a8"/>
              <w:jc w:val="center"/>
            </w:pPr>
            <m:oMath>
              <m:r>
                <m:rPr>
                  <m:sty m:val="b"/>
                </m:rPr>
                <m:t>−</m:t>
              </m:r>
              <m:r>
                <m:rPr>
                  <m:sty m:val="b"/>
                </m:rPr>
                <m:t>0.0100</m:t>
              </m:r>
            </m:oMath>
          </w:p>
        </w:tc>
        <w:tc>
          <w:tcPr>
            <w:tcBorders>
              <w:bottom w:val="single" w:sz="12" w:space="0" w:color="auto"/>
            </w:tcBorders>
            <w:vAlign w:val="center"/>
          </w:tcPr>
          <w:p>
            <w:pPr>
              <w:pStyle w:val="a8"/>
              <w:jc w:val="center"/>
            </w:pPr>
            <m:oMath>
              <m:r>
                <m:rPr>
                  <m:sty m:val="b"/>
                </m:rPr>
                <m:t>80.0</m:t>
              </m:r>
            </m:oMath>
            <w:r>
              <w:t xml:space="preserve">%</w:t>
            </w:r>
          </w:p>
        </w:tc>
        <w:tc>
          <w:tcPr>
            <w:tcBorders>
              <w:bottom w:val="single" w:sz="12" w:space="0" w:color="auto"/>
            </w:tcBorders>
            <w:vAlign w:val="center"/>
          </w:tcPr>
          <w:p>
            <w:pPr>
              <w:pStyle w:val="a8"/>
              <w:jc w:val="center"/>
            </w:pPr>
            <m:oMath>
              <m:r>
                <m:rPr>
                  <m:sty m:val="b"/>
                </m:rPr>
                <m:t>−</m:t>
              </m:r>
              <m:r>
                <m:rPr>
                  <m:sty m:val="b"/>
                </m:rPr>
                <m:t>0.0099</m:t>
              </m:r>
            </m:oMath>
          </w:p>
        </w:tc>
        <w:tc>
          <w:tcPr>
            <w:tcBorders>
              <w:bottom w:val="single" w:sz="12" w:space="0" w:color="auto"/>
            </w:tcBorders>
            <w:vAlign w:val="center"/>
          </w:tcPr>
          <w:p>
            <w:pPr>
              <w:pStyle w:val="a8"/>
              <w:jc w:val="center"/>
            </w:pPr>
            <m:oMath>
              <m:r>
                <m:rPr>
                  <m:sty m:val="b"/>
                </m:rPr>
                <m:t>90.0</m:t>
              </m:r>
            </m:oMath>
            <w:r>
              <w:t xml:space="preserve">%</w:t>
            </w:r>
          </w:p>
        </w:tc>
      </w:tr>
    </w:tbl>
    <w:bookmarkEnd w:id="92"/>
    <w:p>
      <w:pPr/>
      <w:r>
        <w:t xml:space="preserve">R4 국면에서</w:t>
      </w:r>
      <w:r>
        <w:t xml:space="preserve"> </w:t>
      </w:r>
      <m:oMath>
        <m:sSup>
          <m:e>
            <m:r>
              <m:t>q</m:t>
            </m:r>
          </m:e>
          <m:sup>
            <m:r>
              <m:rPr>
                <m:sty m:val="p"/>
              </m:rPr>
              <m:t>f</m:t>
            </m:r>
            <m:r>
              <m:rPr>
                <m:sty m:val="p"/>
              </m:rPr>
              <m:t>f</m:t>
            </m:r>
            <m:r>
              <m:rPr>
                <m:sty m:val="p"/>
              </m:rPr>
              <m:t>3</m:t>
            </m:r>
          </m:sup>
        </m:sSup>
      </m:oMath>
      <w:r>
        <w:t xml:space="preserve">의 평균값은 다른 국면 대비 높은 음수 값을 보이며, 음수 발생 빈도도 80% 수준에 도달한다. BL 사후 추정에서</w:t>
      </w:r>
      <w:r>
        <w:t xml:space="preserve"> </w:t>
      </w:r>
      <m:oMath>
        <m:r>
          <m:rPr>
            <m:sty m:val="b"/>
          </m:rPr>
          <m:t>p</m:t>
        </m:r>
      </m:oMath>
      <w:r>
        <w:t xml:space="preserve">와</w:t>
      </w:r>
      <w:r>
        <w:t xml:space="preserve"> </w:t>
      </w:r>
      <m:oMath>
        <m:r>
          <m:t>q</m:t>
        </m:r>
      </m:oMath>
      <w:r>
        <w:t xml:space="preserve"> </w:t>
      </w:r>
      <w:r>
        <w:t xml:space="preserve">항의 부호는</w:t>
      </w:r>
      <w:r>
        <w:t xml:space="preserve"> </w:t>
      </w:r>
      <m:oMath>
        <m:r>
          <m:t>q</m:t>
        </m:r>
      </m:oMath>
      <w:r>
        <w:t xml:space="preserve"> </w:t>
      </w:r>
      <w:r>
        <w:t xml:space="preserve">의 부호에 의해 결정되므로, R4 국면에서는 저변동(</w:t>
      </w:r>
      <m:oMath>
        <m:r>
          <m:rPr>
            <m:sty m:val="b"/>
          </m:rPr>
          <m:t>p</m:t>
        </m:r>
      </m:oMath>
      <w:r>
        <w:t xml:space="preserve">의 양의 가중) · 고변동(</w:t>
      </w:r>
      <m:oMath>
        <m:r>
          <m:rPr>
            <m:sty m:val="b"/>
          </m:rPr>
          <m:t>p</m:t>
        </m:r>
      </m:oMath>
      <w:r>
        <w:t xml:space="preserve">의 음의 가중)에 대한 뷰의 방향이 반전되어 고변동 롱 · 저변동 숏으로 작동한다.</w:t>
      </w:r>
    </w:p>
    <w:p>
      <w:pPr>
        <w:pStyle w:val="CaptionedFigure"/>
      </w:pPr>
      <w:bookmarkStart w:id="94" w:name="fig:q_timeline"/>
      <w:r>
        <w:drawing>
          <wp:inline>
            <wp:extent cx="5892800" cy="2073078"/>
            <wp:effectExtent b="0" l="0" r="0" t="0"/>
            <wp:docPr descr="&lt;그림 A.1&gt; q^{\mathrm{ff3}}(파란 원, FF3 회귀 기반)과 q^{\mathrm{lam}}(초록 사각, \lambda_q 기반)의 월별 시계열 — 앵커 슬롯 mcap_mcap_ff3_err 기준. 빨간 점선은 부호 반전 임계선(0), 음영은 4개 국면. q^{\mathrm{lam}}은 전 기간 양수를 유지하나, q^{\mathrm{ff3}}은 빈번한 부호 반전 후 R4 국면에서 강한 음수로 수렴한다." title="" id="1" name="Picture"/>
            <a:graphic>
              <a:graphicData uri="http://schemas.openxmlformats.org/drawingml/2006/picture">
                <pic:pic>
                  <pic:nvPicPr>
                    <pic:cNvPr descr="/sessions/sleepy-loving-thompson/mnt/low_vol_with_lstm_har_bl/paper/images/paper_final/r4_ff3_lam.png" id="0" name="Picture"/>
                    <pic:cNvPicPr>
                      <a:picLocks noChangeArrowheads="1" noChangeAspect="1"/>
                    </pic:cNvPicPr>
                  </pic:nvPicPr>
                  <pic:blipFill>
                    <a:blip r:embed="rId93"/>
                    <a:stretch>
                      <a:fillRect/>
                    </a:stretch>
                  </pic:blipFill>
                  <pic:spPr bwMode="auto">
                    <a:xfrm>
                      <a:off x="0" y="0"/>
                      <a:ext cx="5892800" cy="2073078"/>
                    </a:xfrm>
                    <a:prstGeom prst="rect">
                      <a:avLst/>
                    </a:prstGeom>
                    <a:noFill/>
                    <a:ln w="9525">
                      <a:noFill/>
                      <a:headEnd/>
                      <a:tailEnd/>
                    </a:ln>
                  </pic:spPr>
                </pic:pic>
              </a:graphicData>
            </a:graphic>
          </wp:inline>
        </w:drawing>
      </w:r>
      <w:bookmarkEnd w:id="94"/>
    </w:p>
    <w:p>
      <w:pPr>
        <w:jc w:val="center"/>
      </w:pPr>
      <w:r>
        <w:t xml:space="preserve">&lt;그림 A.1&gt;</w:t>
      </w:r>
      <w:r>
        <w:t xml:space="preserve"> </w:t>
      </w:r>
      <m:oMath>
        <m:sSup>
          <m:e>
            <m:r>
              <m:t>q</m:t>
            </m:r>
          </m:e>
          <m:sup>
            <m:r>
              <m:rPr>
                <m:sty m:val="p"/>
              </m:rPr>
              <m:t>f</m:t>
            </m:r>
            <m:r>
              <m:rPr>
                <m:sty m:val="p"/>
              </m:rPr>
              <m:t>f</m:t>
            </m:r>
            <m:r>
              <m:rPr>
                <m:sty m:val="p"/>
              </m:rPr>
              <m:t>3</m:t>
            </m:r>
          </m:sup>
        </m:sSup>
      </m:oMath>
      <w:r>
        <w:t xml:space="preserve">(파란 원, FF3 회귀 기반)과</w:t>
      </w:r>
      <w:r>
        <w:t xml:space="preserve"> </w:t>
      </w:r>
      <m:oMath>
        <m:sSup>
          <m:e>
            <m:r>
              <m:t>q</m:t>
            </m:r>
          </m:e>
          <m:sup>
            <m:r>
              <m:rPr>
                <m:sty m:val="p"/>
              </m:rPr>
              <m:t>l</m:t>
            </m:r>
            <m:r>
              <m:rPr>
                <m:sty m:val="p"/>
              </m:rPr>
              <m:t>a</m:t>
            </m:r>
            <m:r>
              <m:rPr>
                <m:sty m:val="p"/>
              </m:rPr>
              <m:t>m</m:t>
            </m:r>
          </m:sup>
        </m:sSup>
      </m:oMath>
      <w:r>
        <w:t xml:space="preserve">(초록 사각,</w:t>
      </w:r>
      <w:r>
        <w:t xml:space="preserve"> </w:t>
      </w:r>
      <m:oMath>
        <m:sSub>
          <m:e>
            <m:r>
              <m:t>λ</m:t>
            </m:r>
          </m:e>
          <m:sub>
            <m:r>
              <m:t>q</m:t>
            </m:r>
          </m:sub>
        </m:sSub>
      </m:oMath>
      <w:r>
        <w:t xml:space="preserve"> </w:t>
      </w:r>
      <w:r>
        <w:t xml:space="preserve">기반)의 월별 시계열 — 앵커 슬롯</w:t>
      </w:r>
      <w:r>
        <w:t xml:space="preserve"> </w:t>
      </w:r>
      <w:r>
        <w:rPr>
          <w:rStyle w:val="VerbatimChar"/>
        </w:rPr>
        <w:t xml:space="preserve">mcap_mcap_ff3_err</w:t>
      </w:r>
      <w:r>
        <w:t xml:space="preserve"> </w:t>
      </w:r>
      <w:r>
        <w:t xml:space="preserve">기준. 빨간 점선은 부호 반전 임계선(0), 음영은 4개 국면.</w:t>
      </w:r>
      <w:r>
        <w:t xml:space="preserve"> </w:t>
      </w:r>
      <m:oMath>
        <m:sSup>
          <m:e>
            <m:r>
              <m:t>q</m:t>
            </m:r>
          </m:e>
          <m:sup>
            <m:r>
              <m:rPr>
                <m:sty m:val="p"/>
              </m:rPr>
              <m:t>l</m:t>
            </m:r>
            <m:r>
              <m:rPr>
                <m:sty m:val="p"/>
              </m:rPr>
              <m:t>a</m:t>
            </m:r>
            <m:r>
              <m:rPr>
                <m:sty m:val="p"/>
              </m:rPr>
              <m:t>m</m:t>
            </m:r>
          </m:sup>
        </m:sSup>
      </m:oMath>
      <w:r>
        <w:t xml:space="preserve">은 전 기간 양수를 유지하나,</w:t>
      </w:r>
      <w:r>
        <w:t xml:space="preserve"> </w:t>
      </w:r>
      <m:oMath>
        <m:sSup>
          <m:e>
            <m:r>
              <m:t>q</m:t>
            </m:r>
          </m:e>
          <m:sup>
            <m:r>
              <m:rPr>
                <m:sty m:val="p"/>
              </m:rPr>
              <m:t>f</m:t>
            </m:r>
            <m:r>
              <m:rPr>
                <m:sty m:val="p"/>
              </m:rPr>
              <m:t>f</m:t>
            </m:r>
            <m:r>
              <m:rPr>
                <m:sty m:val="p"/>
              </m:rPr>
              <m:t>3</m:t>
            </m:r>
          </m:sup>
        </m:sSup>
      </m:oMath>
      <w:r>
        <w:t xml:space="preserve">은 빈번한 부호 반전 후 R4 국면에서 강한 음수로 수렴한다.</w:t>
      </w:r>
    </w:p>
    <w:p>
      <w:pPr/>
      <w:r>
        <w:t xml:space="preserve">그림 A.1 은 Pyo and Lee (2018) 가 제안한 앵커 슬롯의</w:t>
      </w:r>
      <w:r>
        <w:t xml:space="preserve"> </w:t>
      </w:r>
      <m:oMath>
        <m:sSup>
          <m:e>
            <m:r>
              <m:t>q</m:t>
            </m:r>
          </m:e>
          <m:sup>
            <m:r>
              <m:rPr>
                <m:sty m:val="p"/>
              </m:rPr>
              <m:t>f</m:t>
            </m:r>
            <m:r>
              <m:rPr>
                <m:sty m:val="p"/>
              </m:rPr>
              <m:t>f</m:t>
            </m:r>
            <m:r>
              <m:rPr>
                <m:sty m:val="p"/>
              </m:rPr>
              <m:t>3</m:t>
            </m:r>
          </m:sup>
        </m:sSup>
      </m:oMath>
      <w:r>
        <w:t xml:space="preserve"> </w:t>
      </w:r>
      <w:r>
        <w:t xml:space="preserve">과 동일 앵커에서</w:t>
      </w:r>
      <w:r>
        <w:t xml:space="preserve"> </w:t>
      </w:r>
      <m:oMath>
        <m:r>
          <m:t>q</m:t>
        </m:r>
      </m:oMath>
      <w:r>
        <w:t xml:space="preserve"> </w:t>
      </w:r>
      <w:r>
        <w:t xml:space="preserve">만</w:t>
      </w:r>
      <w:r>
        <w:t xml:space="preserve"> </w:t>
      </w:r>
      <m:oMath>
        <m:sSup>
          <m:e>
            <m:r>
              <m:t>q</m:t>
            </m:r>
          </m:e>
          <m:sup>
            <m:r>
              <m:rPr>
                <m:sty m:val="p"/>
              </m:rPr>
              <m:t>l</m:t>
            </m:r>
            <m:r>
              <m:rPr>
                <m:sty m:val="p"/>
              </m:rPr>
              <m:t>a</m:t>
            </m:r>
            <m:r>
              <m:rPr>
                <m:sty m:val="p"/>
              </m:rPr>
              <m:t>m</m:t>
            </m:r>
          </m:sup>
        </m:sSup>
      </m:oMath>
      <w:r>
        <w:t xml:space="preserve"> </w:t>
      </w:r>
      <w:r>
        <w:t xml:space="preserve">으로 교체한 경우의 값을 시각화한 것이다. FF3 기반의</w:t>
      </w:r>
      <w:r>
        <w:t xml:space="preserve"> </w:t>
      </w:r>
      <m:oMath>
        <m:sSup>
          <m:e>
            <m:r>
              <m:t>q</m:t>
            </m:r>
          </m:e>
          <m:sup>
            <m:r>
              <m:rPr>
                <m:sty m:val="p"/>
              </m:rPr>
              <m:t>f</m:t>
            </m:r>
            <m:r>
              <m:rPr>
                <m:sty m:val="p"/>
              </m:rPr>
              <m:t>f</m:t>
            </m:r>
            <m:r>
              <m:rPr>
                <m:sty m:val="p"/>
              </m:rPr>
              <m:t>3</m:t>
            </m:r>
          </m:sup>
        </m:sSup>
      </m:oMath>
      <w:r>
        <w:t xml:space="preserve"> </w:t>
      </w:r>
      <w:r>
        <w:t xml:space="preserve">은 R1R3 구간에서도 부호 반전을 자주 보이며 R4 에 들어서면 0 아래에 머물러 뷰 방향이 반전된 상태가 유지되는 반면,</w:t>
      </w:r>
      <w:r>
        <w:t xml:space="preserve"> </w:t>
      </w:r>
      <w:r>
        <w:t xml:space="preserve">양수 clip 범위를 갖는</w:t>
      </w:r>
      <w:r>
        <w:t xml:space="preserve"> </w:t>
      </w:r>
      <m:oMath>
        <m:sSub>
          <m:e>
            <m:r>
              <m:t>λ</m:t>
            </m:r>
          </m:e>
          <m:sub>
            <m:r>
              <m:t>q</m:t>
            </m:r>
          </m:sub>
        </m:sSub>
      </m:oMath>
      <w:r>
        <w:t xml:space="preserve"> </w:t>
      </w:r>
      <w:r>
        <w:t xml:space="preserve">기반의</w:t>
      </w:r>
      <w:r>
        <w:t xml:space="preserve"> </w:t>
      </w:r>
      <m:oMath>
        <m:sSup>
          <m:e>
            <m:r>
              <m:t>q</m:t>
            </m:r>
          </m:e>
          <m:sup>
            <m:r>
              <m:rPr>
                <m:sty m:val="p"/>
              </m:rPr>
              <m:t>l</m:t>
            </m:r>
            <m:r>
              <m:rPr>
                <m:sty m:val="p"/>
              </m:rPr>
              <m:t>a</m:t>
            </m:r>
            <m:r>
              <m:rPr>
                <m:sty m:val="p"/>
              </m:rPr>
              <m:t>m</m:t>
            </m:r>
          </m:sup>
        </m:sSup>
      </m:oMath>
      <w:r>
        <w:t xml:space="preserve"> </w:t>
      </w:r>
      <w:r>
        <w:t xml:space="preserve">(3.3.1절 정의) 은 전 기간 양수를 유지하여 저변동 뷰의 일관성을 보존한다.</w:t>
      </w:r>
    </w:p>
    <w:p>
      <w:pPr>
        <w:pStyle w:val="2"/>
        <w:numPr>
          <w:ilvl w:val="0"/>
          <w:numId w:val="0"/>
        </w:numPr>
      </w:pPr>
      <w:bookmarkStart w:id="95" w:name="mathbfp-벡터-변경의-완화-효과"/>
      <m:oMath>
        <m:r>
          <m:rPr>
            <m:sty m:val="b"/>
          </m:rPr>
          <m:t>p</m:t>
        </m:r>
      </m:oMath>
      <w:r>
        <w:t xml:space="preserve"> </w:t>
      </w:r>
      <w:r>
        <w:t xml:space="preserve">벡터 변경의 완화 효과</w:t>
      </w:r>
      <w:bookmarkEnd w:id="95"/>
    </w:p>
    <w:p>
      <w:pPr/>
      <w:r>
        <w:t xml:space="preserve">R4 정상화 국면에서</w:t>
      </w:r>
      <w:r>
        <w:t xml:space="preserve"> </w:t>
      </w:r>
      <m:oMath>
        <m:sSub>
          <m:e>
            <m:r>
              <m:rPr>
                <m:sty m:val="b"/>
              </m:rPr>
              <m:t>w</m:t>
            </m:r>
          </m:e>
          <m:sub>
            <m:r>
              <m:t>m</m:t>
            </m:r>
            <m:r>
              <m:t>k</m:t>
            </m:r>
            <m:r>
              <m:t>t</m:t>
            </m:r>
          </m:sub>
        </m:sSub>
        <m:r>
          <m:t>=</m:t>
        </m:r>
        <m:sSup>
          <m:e>
            <m:r>
              <m:rPr>
                <m:sty m:val="b"/>
              </m:rPr>
              <m:t>w</m:t>
            </m:r>
          </m:e>
          <m:sup>
            <m:r>
              <m:rPr>
                <m:sty m:val="p"/>
              </m:rPr>
              <m:t>m</m:t>
            </m:r>
            <m:r>
              <m:rPr>
                <m:sty m:val="p"/>
              </m:rPr>
              <m:t>c</m:t>
            </m:r>
            <m:r>
              <m:rPr>
                <m:sty m:val="p"/>
              </m:rPr>
              <m:t>a</m:t>
            </m:r>
            <m:r>
              <m:rPr>
                <m:sty m:val="p"/>
              </m:rPr>
              <m:t>p</m:t>
            </m:r>
          </m:sup>
        </m:sSup>
        <m:r>
          <m:t>,</m:t>
        </m:r>
        <m:r>
          <m:t>ω</m:t>
        </m:r>
        <m:r>
          <m:t>=</m:t>
        </m:r>
        <m:sSup>
          <m:e>
            <m:r>
              <m:t>ω</m:t>
            </m:r>
          </m:e>
          <m:sup>
            <m:r>
              <m:rPr>
                <m:sty m:val="p"/>
              </m:rPr>
              <m:t>e</m:t>
            </m:r>
            <m:r>
              <m:rPr>
                <m:sty m:val="p"/>
              </m:rPr>
              <m:t>r</m:t>
            </m:r>
            <m:r>
              <m:rPr>
                <m:sty m:val="p"/>
              </m:rPr>
              <m:t>r</m:t>
            </m:r>
          </m:sup>
        </m:sSup>
      </m:oMath>
      <w:r>
        <w:t xml:space="preserve">을 고정한 채</w:t>
      </w:r>
      <w:r>
        <w:t xml:space="preserve"> </w:t>
      </w:r>
      <m:oMath>
        <m:r>
          <m:rPr>
            <m:sty m:val="b"/>
          </m:rPr>
          <m:t>p</m:t>
        </m:r>
      </m:oMath>
      <w:r>
        <w:t xml:space="preserve"> </w:t>
      </w:r>
      <w:r>
        <w:t xml:space="preserve">와</w:t>
      </w:r>
      <w:r>
        <w:t xml:space="preserve"> </w:t>
      </w:r>
      <m:oMath>
        <m:r>
          <m:t>q</m:t>
        </m:r>
      </m:oMath>
      <w:r>
        <w:t xml:space="preserve">를 변경한 모든 조합의 스프레드는 다음과 같다(앙상블 기준).</w:t>
      </w:r>
    </w:p>
    <w:bookmarkStart w:id="96" w:name="tab:r4_pq_spread"/>
    <w:p>
      <w:pPr>
        <w:keepNext/>
        <w:jc w:val="center"/>
      </w:pPr>
      <w:r>
        <w:t xml:space="preserve">&lt;표 A.17&gt; R4 정상화 구간에서</w:t>
      </w:r>
      <w:r>
        <w:t xml:space="preserve"> </w:t>
      </w:r>
      <m:oMath>
        <m:sSub>
          <m:e>
            <m:r>
              <m:rPr>
                <m:sty m:val="b"/>
              </m:rPr>
              <m:t>w</m:t>
            </m:r>
          </m:e>
          <m:sub>
            <m:r>
              <m:t>m</m:t>
            </m:r>
            <m:r>
              <m:t>k</m:t>
            </m:r>
            <m:r>
              <m:t>t</m:t>
            </m:r>
          </m:sub>
        </m:sSub>
        <m:r>
          <m:t>=</m:t>
        </m:r>
        <m:sSup>
          <m:e>
            <m:r>
              <m:rPr>
                <m:sty m:val="b"/>
              </m:rPr>
              <m:t>w</m:t>
            </m:r>
          </m:e>
          <m:sup>
            <m:r>
              <m:rPr>
                <m:sty m:val="p"/>
              </m:rPr>
              <m:t>m</m:t>
            </m:r>
            <m:r>
              <m:rPr>
                <m:sty m:val="p"/>
              </m:rPr>
              <m:t>c</m:t>
            </m:r>
            <m:r>
              <m:rPr>
                <m:sty m:val="p"/>
              </m:rPr>
              <m:t>a</m:t>
            </m:r>
            <m:r>
              <m:rPr>
                <m:sty m:val="p"/>
              </m:rPr>
              <m:t>p</m:t>
            </m:r>
          </m:sup>
        </m:sSup>
        <m:r>
          <m:t>,</m:t>
        </m:r>
        <m:r>
          <m:t>ω</m:t>
        </m:r>
        <m:r>
          <m:t>=</m:t>
        </m:r>
        <m:sSup>
          <m:e>
            <m:r>
              <m:t>ω</m:t>
            </m:r>
          </m:e>
          <m:sup>
            <m:r>
              <m:rPr>
                <m:sty m:val="p"/>
              </m:rPr>
              <m:t>e</m:t>
            </m:r>
            <m:r>
              <m:rPr>
                <m:sty m:val="p"/>
              </m:rPr>
              <m:t>r</m:t>
            </m:r>
            <m:r>
              <m:rPr>
                <m:sty m:val="p"/>
              </m:rPr>
              <m:t>r</m:t>
            </m:r>
          </m:sup>
        </m:sSup>
      </m:oMath>
      <w:r>
        <w:t xml:space="preserve"> </w:t>
      </w:r>
      <w:r>
        <w:t xml:space="preserve">고정 후</w:t>
      </w:r>
      <w:r>
        <w:t xml:space="preserve"> </w:t>
      </w:r>
      <m:oMath>
        <m:r>
          <m:rPr>
            <m:sty m:val="b"/>
          </m:rPr>
          <m:t>p</m:t>
        </m:r>
      </m:oMath>
      <w:r>
        <w:t xml:space="preserve"> </w:t>
      </w:r>
      <w:r>
        <w:t xml:space="preserve">와</w:t>
      </w:r>
      <w:r>
        <w:t xml:space="preserve"> </w:t>
      </w:r>
      <m:oMath>
        <m:r>
          <m:t>q</m:t>
        </m:r>
      </m:oMath>
      <w:r>
        <w:t xml:space="preserve">를 변경한 모든 조합의 스프레드(저변동</w:t>
      </w:r>
      <w:r>
        <w:t xml:space="preserve"> </w:t>
      </w:r>
      <m:oMath>
        <m:r>
          <m:t>−</m:t>
        </m:r>
      </m:oMath>
      <w:r>
        <w:t xml:space="preserve"> </w:t>
      </w:r>
      <w:r>
        <w:t xml:space="preserve">고변동, 앙상블 기준).</w:t>
      </w:r>
      <w:r>
        <w:t xml:space="preserve"> </w:t>
      </w:r>
      <m:oMath>
        <m:r>
          <m:t>(</m:t>
        </m:r>
        <m:sSup>
          <m:e>
            <m:r>
              <m:rPr>
                <m:sty m:val="b"/>
              </m:rPr>
              <m:t>p</m:t>
            </m:r>
          </m:e>
          <m:sup>
            <m:r>
              <m:rPr>
                <m:sty m:val="p"/>
              </m:rPr>
              <m:t>m</m:t>
            </m:r>
            <m:r>
              <m:rPr>
                <m:sty m:val="p"/>
              </m:rPr>
              <m:t>c</m:t>
            </m:r>
            <m:r>
              <m:rPr>
                <m:sty m:val="p"/>
              </m:rPr>
              <m:t>a</m:t>
            </m:r>
            <m:r>
              <m:rPr>
                <m:sty m:val="p"/>
              </m:rPr>
              <m:t>p</m:t>
            </m:r>
          </m:sup>
        </m:sSup>
        <m:r>
          <m:t>,</m:t>
        </m:r>
        <m:sSup>
          <m:e>
            <m:r>
              <m:t>q</m:t>
            </m:r>
          </m:e>
          <m:sup>
            <m:r>
              <m:rPr>
                <m:sty m:val="p"/>
              </m:rPr>
              <m:t>f</m:t>
            </m:r>
            <m:r>
              <m:rPr>
                <m:sty m:val="p"/>
              </m:rPr>
              <m:t>f</m:t>
            </m:r>
            <m:r>
              <m:rPr>
                <m:sty m:val="p"/>
              </m:rPr>
              <m:t>3</m:t>
            </m:r>
          </m:sup>
        </m:sSup>
        <m:r>
          <m:t>)</m:t>
        </m:r>
      </m:oMath>
      <w:r>
        <w:t xml:space="preserve"> </w:t>
      </w:r>
      <w:r>
        <w:t xml:space="preserve">한 조합에서만 음수로 반전된다.</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pPr>
              <w:pStyle w:val="a8"/>
              <w:jc w:val="left"/>
            </w:pPr>
            <w:r>
              <w:t xml:space="preserve">스프레드 (저</w:t>
            </w:r>
            <m:oMath>
              <m:r>
                <m:t>−</m:t>
              </m:r>
            </m:oMath>
            <w:r>
              <w:t xml:space="preserve">고)</w:t>
            </w:r>
          </w:p>
        </w:tc>
        <w:tc>
          <w:tcPr>
            <w:tcBorders>
              <w:top w:val="single" w:sz="12" w:space="0" w:color="auto"/>
              <w:bottom w:val="single" w:sz="4" w:space="0" w:color="auto"/>
            </w:tcBorders>
            <w:vAlign w:val="center"/>
          </w:tcPr>
          <w:p>
            <w:pPr>
              <w:pStyle w:val="a8"/>
              <w:jc w:val="center"/>
            </w:pPr>
            <m:oMath>
              <m:sSup>
                <m:e>
                  <m:r>
                    <m:t>q</m:t>
                  </m:r>
                </m:e>
                <m:sup>
                  <m:r>
                    <m:rPr>
                      <m:sty m:val="p"/>
                    </m:rPr>
                    <m:t>l</m:t>
                  </m:r>
                  <m:r>
                    <m:rPr>
                      <m:sty m:val="p"/>
                    </m:rPr>
                    <m:t>a</m:t>
                  </m:r>
                  <m:r>
                    <m:rPr>
                      <m:sty m:val="p"/>
                    </m:rPr>
                    <m:t>m</m:t>
                  </m:r>
                </m:sup>
              </m:sSup>
            </m:oMath>
          </w:p>
        </w:tc>
        <w:tc>
          <w:tcPr>
            <w:tcBorders>
              <w:top w:val="single" w:sz="12" w:space="0" w:color="auto"/>
              <w:bottom w:val="single" w:sz="4" w:space="0" w:color="auto"/>
            </w:tcBorders>
            <w:vAlign w:val="center"/>
          </w:tcPr>
          <w:p>
            <w:pPr>
              <w:pStyle w:val="a8"/>
              <w:jc w:val="center"/>
            </w:pPr>
            <m:oMath>
              <m:sSup>
                <m:e>
                  <m:r>
                    <m:t>q</m:t>
                  </m:r>
                </m:e>
                <m:sup>
                  <m:r>
                    <m:rPr>
                      <m:sty m:val="p"/>
                    </m:rPr>
                    <m:t>r</m:t>
                  </m:r>
                  <m:r>
                    <m:rPr>
                      <m:sty m:val="p"/>
                    </m:rPr>
                    <m:t>a</m:t>
                  </m:r>
                  <m:r>
                    <m:rPr>
                      <m:sty m:val="p"/>
                    </m:rPr>
                    <m:t>w</m:t>
                  </m:r>
                </m:sup>
              </m:sSup>
            </m:oMath>
          </w:p>
        </w:tc>
        <w:tc>
          <w:tcPr>
            <w:tcBorders>
              <w:top w:val="single" w:sz="12" w:space="0" w:color="auto"/>
              <w:bottom w:val="single" w:sz="4" w:space="0" w:color="auto"/>
            </w:tcBorders>
            <w:vAlign w:val="center"/>
          </w:tcPr>
          <w:p>
            <w:pPr>
              <w:pStyle w:val="a8"/>
              <w:jc w:val="center"/>
            </w:pPr>
            <m:oMath>
              <m:sSup>
                <m:e>
                  <m:r>
                    <m:t>q</m:t>
                  </m:r>
                </m:e>
                <m:sup>
                  <m:r>
                    <m:rPr>
                      <m:sty m:val="p"/>
                    </m:rPr>
                    <m:t>i</m:t>
                  </m:r>
                  <m:r>
                    <m:rPr>
                      <m:sty m:val="p"/>
                    </m:rPr>
                    <m:t>n</m:t>
                  </m:r>
                  <m:r>
                    <m:rPr>
                      <m:sty m:val="p"/>
                    </m:rPr>
                    <m:t>v</m:t>
                  </m:r>
                </m:sup>
              </m:sSup>
            </m:oMath>
          </w:p>
        </w:tc>
        <w:tc>
          <w:tcPr>
            <w:tcBorders>
              <w:top w:val="single" w:sz="12" w:space="0" w:color="auto"/>
              <w:bottom w:val="single" w:sz="4" w:space="0" w:color="auto"/>
            </w:tcBorders>
            <w:vAlign w:val="center"/>
          </w:tcPr>
          <w:p>
            <w:pPr>
              <w:pStyle w:val="a8"/>
              <w:jc w:val="center"/>
            </w:pPr>
            <m:oMath>
              <m:sSup>
                <m:e>
                  <m:r>
                    <m:t>q</m:t>
                  </m:r>
                </m:e>
                <m:sup>
                  <m:r>
                    <m:rPr>
                      <m:sty m:val="p"/>
                    </m:rPr>
                    <m:t>v</m:t>
                  </m:r>
                  <m:r>
                    <m:rPr>
                      <m:sty m:val="p"/>
                    </m:rPr>
                    <m:t>s</m:t>
                  </m:r>
                  <m:r>
                    <m:rPr>
                      <m:sty m:val="p"/>
                    </m:rPr>
                    <m:t>p</m:t>
                  </m:r>
                </m:sup>
              </m:sSup>
            </m:oMath>
          </w:p>
        </w:tc>
        <w:tc>
          <w:tcPr>
            <w:tcBorders>
              <w:top w:val="single" w:sz="12" w:space="0" w:color="auto"/>
              <w:bottom w:val="single" w:sz="4" w:space="0" w:color="auto"/>
            </w:tcBorders>
            <w:vAlign w:val="center"/>
          </w:tcPr>
          <w:p>
            <w:pPr>
              <w:pStyle w:val="a8"/>
              <w:jc w:val="center"/>
            </w:pPr>
            <m:oMath>
              <m:sSup>
                <m:e>
                  <m:r>
                    <m:t>q</m:t>
                  </m:r>
                </m:e>
                <m:sup>
                  <m:r>
                    <m:rPr>
                      <m:sty m:val="p"/>
                    </m:rPr>
                    <m:t>f</m:t>
                  </m:r>
                  <m:r>
                    <m:rPr>
                      <m:sty m:val="p"/>
                    </m:rPr>
                    <m:t>f</m:t>
                  </m:r>
                  <m:r>
                    <m:rPr>
                      <m:sty m:val="p"/>
                    </m:rPr>
                    <m:t>3</m:t>
                  </m:r>
                </m:sup>
              </m:sSup>
            </m:oMath>
          </w:p>
        </w:tc>
      </w:tr>
      <w:tr>
        <w:tc>
          <w:tcPr>
            <w:vAlign w:val="center"/>
          </w:tcPr>
          <w:p>
            <w:pPr>
              <w:pStyle w:val="a8"/>
              <w:jc w:val="left"/>
            </w:pPr>
            <m:oMath>
              <m:sSup>
                <m:e>
                  <m:r>
                    <m:rPr>
                      <m:sty m:val="b"/>
                    </m:rPr>
                    <m:t>p</m:t>
                  </m:r>
                </m:e>
                <m:sup>
                  <m:r>
                    <m:rPr>
                      <m:sty m:val="p"/>
                    </m:rPr>
                    <m:t>m</m:t>
                  </m:r>
                  <m:r>
                    <m:rPr>
                      <m:sty m:val="p"/>
                    </m:rPr>
                    <m:t>c</m:t>
                  </m:r>
                  <m:r>
                    <m:rPr>
                      <m:sty m:val="p"/>
                    </m:rPr>
                    <m:t>a</m:t>
                  </m:r>
                  <m:r>
                    <m:rPr>
                      <m:sty m:val="p"/>
                    </m:rPr>
                    <m:t>p</m:t>
                  </m:r>
                </m:sup>
              </m:sSup>
            </m:oMath>
          </w:p>
        </w:tc>
        <w:tc>
          <w:tcPr>
            <w:vAlign w:val="center"/>
          </w:tcPr>
          <w:p>
            <w:pPr>
              <w:pStyle w:val="a8"/>
              <w:jc w:val="center"/>
            </w:pPr>
            <m:oMath>
              <m:r>
                <m:t>+</m:t>
              </m:r>
              <m:r>
                <m:t>0.290</m:t>
              </m:r>
            </m:oMath>
          </w:p>
        </w:tc>
        <w:tc>
          <w:tcPr>
            <w:vAlign w:val="center"/>
          </w:tcPr>
          <w:p>
            <w:pPr>
              <w:pStyle w:val="a8"/>
              <w:jc w:val="center"/>
            </w:pPr>
            <m:oMath>
              <m:r>
                <m:t>+</m:t>
              </m:r>
              <m:r>
                <m:t>0.290</m:t>
              </m:r>
            </m:oMath>
          </w:p>
        </w:tc>
        <w:tc>
          <w:tcPr>
            <w:vAlign w:val="center"/>
          </w:tcPr>
          <w:p>
            <w:pPr>
              <w:pStyle w:val="a8"/>
              <w:jc w:val="center"/>
            </w:pPr>
            <m:oMath>
              <m:r>
                <m:t>+</m:t>
              </m:r>
              <m:r>
                <m:t>0.229</m:t>
              </m:r>
            </m:oMath>
          </w:p>
        </w:tc>
        <w:tc>
          <w:tcPr>
            <w:vAlign w:val="center"/>
          </w:tcPr>
          <w:p>
            <w:pPr>
              <w:pStyle w:val="a8"/>
              <w:jc w:val="center"/>
            </w:pPr>
            <m:oMath>
              <m:r>
                <m:t>+</m:t>
              </m:r>
              <m:r>
                <m:t>0.236</m:t>
              </m:r>
            </m:oMath>
          </w:p>
        </w:tc>
        <w:tc>
          <w:tcPr>
            <w:vAlign w:val="center"/>
          </w:tcPr>
          <w:p>
            <w:pPr>
              <w:pStyle w:val="a8"/>
              <w:jc w:val="center"/>
            </w:pPr>
            <m:oMath>
              <m:r>
                <m:rPr>
                  <m:sty m:val="b"/>
                </m:rPr>
                <m:t>−</m:t>
              </m:r>
              <m:r>
                <m:rPr>
                  <m:sty m:val="b"/>
                </m:rPr>
                <m:t>0.145</m:t>
              </m:r>
            </m:oMath>
          </w:p>
        </w:tc>
      </w:tr>
      <w:tr>
        <w:tc>
          <w:tcPr>
            <w:vAlign w:val="center"/>
          </w:tcPr>
          <w:p>
            <w:pPr>
              <w:pStyle w:val="a8"/>
              <w:jc w:val="left"/>
            </w:pPr>
            <m:oMath>
              <m:sSup>
                <m:e>
                  <m:r>
                    <m:rPr>
                      <m:sty m:val="b"/>
                    </m:rPr>
                    <m:t>p</m:t>
                  </m:r>
                </m:e>
                <m:sup>
                  <m:r>
                    <m:rPr>
                      <m:sty m:val="p"/>
                    </m:rPr>
                    <m:t>e</m:t>
                  </m:r>
                  <m:r>
                    <m:rPr>
                      <m:sty m:val="p"/>
                    </m:rPr>
                    <m:t>q</m:t>
                  </m:r>
                </m:sup>
              </m:sSup>
            </m:oMath>
          </w:p>
        </w:tc>
        <w:tc>
          <w:tcPr>
            <w:vAlign w:val="center"/>
          </w:tcPr>
          <w:p>
            <w:pPr>
              <w:pStyle w:val="a8"/>
              <w:jc w:val="center"/>
            </w:pPr>
            <m:oMath>
              <m:r>
                <m:t>+</m:t>
              </m:r>
              <m:r>
                <m:t>0.335</m:t>
              </m:r>
            </m:oMath>
          </w:p>
        </w:tc>
        <w:tc>
          <w:tcPr>
            <w:vAlign w:val="center"/>
          </w:tcPr>
          <w:p>
            <w:pPr>
              <w:pStyle w:val="a8"/>
              <w:jc w:val="center"/>
            </w:pPr>
            <m:oMath>
              <m:r>
                <m:t>+</m:t>
              </m:r>
              <m:r>
                <m:t>0.335</m:t>
              </m:r>
            </m:oMath>
          </w:p>
        </w:tc>
        <w:tc>
          <w:tcPr>
            <w:vAlign w:val="center"/>
          </w:tcPr>
          <w:p>
            <w:pPr>
              <w:pStyle w:val="a8"/>
              <w:jc w:val="center"/>
            </w:pPr>
            <m:oMath>
              <m:r>
                <m:t>+</m:t>
              </m:r>
              <m:r>
                <m:t>0.267</m:t>
              </m:r>
            </m:oMath>
          </w:p>
        </w:tc>
        <w:tc>
          <w:tcPr>
            <w:vAlign w:val="center"/>
          </w:tcPr>
          <w:p>
            <w:pPr>
              <w:pStyle w:val="a8"/>
              <w:jc w:val="center"/>
            </w:pPr>
            <m:oMath>
              <m:r>
                <m:t>+</m:t>
              </m:r>
              <m:r>
                <m:t>0.278</m:t>
              </m:r>
            </m:oMath>
          </w:p>
        </w:tc>
        <w:tc>
          <w:tcPr>
            <w:vAlign w:val="center"/>
          </w:tcPr>
          <w:p>
            <w:pPr>
              <w:pStyle w:val="a8"/>
              <w:jc w:val="center"/>
            </w:pPr>
            <m:oMath>
              <m:r>
                <m:t>+</m:t>
              </m:r>
              <m:r>
                <m:t>0.146</m:t>
              </m:r>
            </m:oMath>
          </w:p>
        </w:tc>
      </w:tr>
      <w:tr>
        <w:tc>
          <w:tcPr>
            <w:tcBorders>
              <w:bottom w:val="single" w:sz="12" w:space="0" w:color="auto"/>
            </w:tcBorders>
            <w:vAlign w:val="center"/>
          </w:tcPr>
          <w:p>
            <w:pPr>
              <w:pStyle w:val="a8"/>
              <w:jc w:val="left"/>
            </w:pPr>
            <m:oMath>
              <m:sSup>
                <m:e>
                  <m:r>
                    <m:rPr>
                      <m:sty m:val="b"/>
                    </m:rPr>
                    <m:t>p</m:t>
                  </m:r>
                </m:e>
                <m:sup>
                  <m:r>
                    <m:rPr>
                      <m:sty m:val="p"/>
                    </m:rPr>
                    <m:t>r</m:t>
                  </m:r>
                  <m:r>
                    <m:rPr>
                      <m:sty m:val="p"/>
                    </m:rPr>
                    <m:t>p</m:t>
                  </m:r>
                </m:sup>
              </m:sSup>
            </m:oMath>
          </w:p>
        </w:tc>
        <w:tc>
          <w:tcPr>
            <w:tcBorders>
              <w:bottom w:val="single" w:sz="12" w:space="0" w:color="auto"/>
            </w:tcBorders>
            <w:vAlign w:val="center"/>
          </w:tcPr>
          <w:p>
            <w:pPr>
              <w:pStyle w:val="a8"/>
              <w:jc w:val="center"/>
            </w:pPr>
            <m:oMath>
              <m:r>
                <m:t>+</m:t>
              </m:r>
              <m:r>
                <m:t>0.332</m:t>
              </m:r>
            </m:oMath>
          </w:p>
        </w:tc>
        <w:tc>
          <w:tcPr>
            <w:tcBorders>
              <w:bottom w:val="single" w:sz="12" w:space="0" w:color="auto"/>
            </w:tcBorders>
            <w:vAlign w:val="center"/>
          </w:tcPr>
          <w:p>
            <w:pPr>
              <w:pStyle w:val="a8"/>
              <w:jc w:val="center"/>
            </w:pPr>
            <m:oMath>
              <m:r>
                <m:t>+</m:t>
              </m:r>
              <m:r>
                <m:t>0.332</m:t>
              </m:r>
            </m:oMath>
          </w:p>
        </w:tc>
        <w:tc>
          <w:tcPr>
            <w:tcBorders>
              <w:bottom w:val="single" w:sz="12" w:space="0" w:color="auto"/>
            </w:tcBorders>
            <w:vAlign w:val="center"/>
          </w:tcPr>
          <w:p>
            <w:pPr>
              <w:pStyle w:val="a8"/>
              <w:jc w:val="center"/>
            </w:pPr>
            <m:oMath>
              <m:r>
                <m:t>+</m:t>
              </m:r>
              <m:r>
                <m:t>0.265</m:t>
              </m:r>
            </m:oMath>
          </w:p>
        </w:tc>
        <w:tc>
          <w:tcPr>
            <w:tcBorders>
              <w:bottom w:val="single" w:sz="12" w:space="0" w:color="auto"/>
            </w:tcBorders>
            <w:vAlign w:val="center"/>
          </w:tcPr>
          <w:p>
            <w:pPr>
              <w:pStyle w:val="a8"/>
              <w:jc w:val="center"/>
            </w:pPr>
            <m:oMath>
              <m:r>
                <m:t>+</m:t>
              </m:r>
              <m:r>
                <m:t>0.277</m:t>
              </m:r>
            </m:oMath>
          </w:p>
        </w:tc>
        <w:tc>
          <w:tcPr>
            <w:tcBorders>
              <w:bottom w:val="single" w:sz="12" w:space="0" w:color="auto"/>
            </w:tcBorders>
            <w:vAlign w:val="center"/>
          </w:tcPr>
          <w:p>
            <w:pPr>
              <w:pStyle w:val="a8"/>
              <w:jc w:val="center"/>
            </w:pPr>
            <m:oMath>
              <m:r>
                <m:t>+</m:t>
              </m:r>
              <m:r>
                <m:t>0.153</m:t>
              </m:r>
            </m:oMath>
          </w:p>
        </w:tc>
      </w:tr>
    </w:tbl>
    <w:bookmarkEnd w:id="96"/>
    <w:p>
      <w:pPr/>
      <w:r>
        <w:t xml:space="preserve">R4 국면에서 스프레드가 음수로 전환되는 조합은</w:t>
      </w:r>
      <w:r>
        <w:t xml:space="preserve"> </w:t>
      </w:r>
      <m:oMath>
        <m:r>
          <m:t>(</m:t>
        </m:r>
        <m:sSup>
          <m:e>
            <m:r>
              <m:rPr>
                <m:sty m:val="b"/>
              </m:rPr>
              <m:t>p</m:t>
            </m:r>
          </m:e>
          <m:sup>
            <m:r>
              <m:rPr>
                <m:sty m:val="p"/>
              </m:rPr>
              <m:t>m</m:t>
            </m:r>
            <m:r>
              <m:rPr>
                <m:sty m:val="p"/>
              </m:rPr>
              <m:t>c</m:t>
            </m:r>
            <m:r>
              <m:rPr>
                <m:sty m:val="p"/>
              </m:rPr>
              <m:t>a</m:t>
            </m:r>
            <m:r>
              <m:rPr>
                <m:sty m:val="p"/>
              </m:rPr>
              <m:t>p</m:t>
            </m:r>
          </m:sup>
        </m:sSup>
        <m:r>
          <m:t>,</m:t>
        </m:r>
        <m:sSup>
          <m:e>
            <m:r>
              <m:t>q</m:t>
            </m:r>
          </m:e>
          <m:sup>
            <m:r>
              <m:rPr>
                <m:sty m:val="p"/>
              </m:rPr>
              <m:t>f</m:t>
            </m:r>
            <m:r>
              <m:rPr>
                <m:sty m:val="p"/>
              </m:rPr>
              <m:t>f</m:t>
            </m:r>
            <m:r>
              <m:rPr>
                <m:sty m:val="p"/>
              </m:rPr>
              <m:t>3</m:t>
            </m:r>
          </m:sup>
        </m:sSup>
        <m:r>
          <m:t>)</m:t>
        </m:r>
      </m:oMath>
      <w:r>
        <w:t xml:space="preserve"> </w:t>
      </w:r>
      <w:r>
        <w:t xml:space="preserve">단 1개에 불과하며, 동일한</w:t>
      </w:r>
      <w:r>
        <w:t xml:space="preserve"> </w:t>
      </w:r>
      <m:oMath>
        <m:sSup>
          <m:e>
            <m:r>
              <m:t>q</m:t>
            </m:r>
          </m:e>
          <m:sup>
            <m:r>
              <m:rPr>
                <m:sty m:val="p"/>
              </m:rPr>
              <m:t>f</m:t>
            </m:r>
            <m:r>
              <m:rPr>
                <m:sty m:val="p"/>
              </m:rPr>
              <m:t>f</m:t>
            </m:r>
            <m:r>
              <m:rPr>
                <m:sty m:val="p"/>
              </m:rPr>
              <m:t>3</m:t>
            </m:r>
          </m:sup>
        </m:sSup>
      </m:oMath>
      <w:r>
        <w:t xml:space="preserve">을 사용하더라도</w:t>
      </w:r>
      <w:r>
        <w:t xml:space="preserve"> </w:t>
      </w:r>
      <m:oMath>
        <m:r>
          <m:rPr>
            <m:sty m:val="b"/>
          </m:rPr>
          <m:t>p</m:t>
        </m:r>
      </m:oMath>
      <w:r>
        <w:t xml:space="preserve">를</w:t>
      </w:r>
      <w:r>
        <w:t xml:space="preserve"> </w:t>
      </w:r>
      <m:oMath>
        <m:sSup>
          <m:e>
            <m:r>
              <m:rPr>
                <m:sty m:val="b"/>
              </m:rPr>
              <m:t>p</m:t>
            </m:r>
          </m:e>
          <m:sup>
            <m:r>
              <m:rPr>
                <m:sty m:val="p"/>
              </m:rPr>
              <m:t>e</m:t>
            </m:r>
            <m:r>
              <m:rPr>
                <m:sty m:val="p"/>
              </m:rPr>
              <m:t>q</m:t>
            </m:r>
          </m:sup>
        </m:sSup>
      </m:oMath>
      <w:r>
        <w:t xml:space="preserve"> </w:t>
      </w:r>
      <w:r>
        <w:t xml:space="preserve">또는</w:t>
      </w:r>
      <w:r>
        <w:t xml:space="preserve"> </w:t>
      </w:r>
      <m:oMath>
        <m:sSup>
          <m:e>
            <m:r>
              <m:rPr>
                <m:sty m:val="b"/>
              </m:rPr>
              <m:t>p</m:t>
            </m:r>
          </m:e>
          <m:sup>
            <m:r>
              <m:rPr>
                <m:sty m:val="p"/>
              </m:rPr>
              <m:t>r</m:t>
            </m:r>
            <m:r>
              <m:rPr>
                <m:sty m:val="p"/>
              </m:rPr>
              <m:t>p</m:t>
            </m:r>
          </m:sup>
        </m:sSup>
      </m:oMath>
      <w:r>
        <w:t xml:space="preserve">로 변경하면 스프레드가 양수(</w:t>
      </w:r>
      <m:oMath>
        <m:r>
          <m:t>+</m:t>
        </m:r>
        <m:r>
          <m:t>0.146</m:t>
        </m:r>
        <m:r>
          <m:t>,</m:t>
        </m:r>
        <m:r>
          <m:t>+</m:t>
        </m:r>
        <m:r>
          <m:t>0.153</m:t>
        </m:r>
      </m:oMath>
      <w:r>
        <w:t xml:space="preserve">)로 회복된다. ANN 기준에서도 같은 패턴이 관찰되며(</w:t>
      </w:r>
      <m:oMath>
        <m:sSup>
          <m:e>
            <m:r>
              <m:rPr>
                <m:sty m:val="b"/>
              </m:rPr>
              <m:t>p</m:t>
            </m:r>
          </m:e>
          <m:sup>
            <m:r>
              <m:rPr>
                <m:sty m:val="p"/>
              </m:rPr>
              <m:t>m</m:t>
            </m:r>
            <m:r>
              <m:rPr>
                <m:sty m:val="p"/>
              </m:rPr>
              <m:t>c</m:t>
            </m:r>
            <m:r>
              <m:rPr>
                <m:sty m:val="p"/>
              </m:rPr>
              <m:t>a</m:t>
            </m:r>
            <m:r>
              <m:rPr>
                <m:sty m:val="p"/>
              </m:rPr>
              <m:t>p</m:t>
            </m:r>
          </m:sup>
        </m:sSup>
        <m:r>
          <m:t>⋅</m:t>
        </m:r>
        <m:sSup>
          <m:e>
            <m:r>
              <m:t>q</m:t>
            </m:r>
          </m:e>
          <m:sup>
            <m:r>
              <m:rPr>
                <m:sty m:val="p"/>
              </m:rPr>
              <m:t>f</m:t>
            </m:r>
            <m:r>
              <m:rPr>
                <m:sty m:val="p"/>
              </m:rPr>
              <m:t>f</m:t>
            </m:r>
            <m:r>
              <m:rPr>
                <m:sty m:val="p"/>
              </m:rPr>
              <m:t>3</m:t>
            </m:r>
          </m:sup>
        </m:sSup>
      </m:oMath>
      <w:r>
        <w:t xml:space="preserve">:</w:t>
      </w:r>
      <w:r>
        <w:t xml:space="preserve"> </w:t>
      </w:r>
      <m:oMath>
        <m:r>
          <m:t>−</m:t>
        </m:r>
        <m:r>
          <m:t>0.103</m:t>
        </m:r>
      </m:oMath>
      <w:r>
        <w:t xml:space="preserve">,</w:t>
      </w:r>
      <w:r>
        <w:t xml:space="preserve"> </w:t>
      </w:r>
      <m:oMath>
        <m:sSup>
          <m:e>
            <m:r>
              <m:rPr>
                <m:sty m:val="b"/>
              </m:rPr>
              <m:t>p</m:t>
            </m:r>
          </m:e>
          <m:sup>
            <m:r>
              <m:rPr>
                <m:sty m:val="p"/>
              </m:rPr>
              <m:t>e</m:t>
            </m:r>
            <m:r>
              <m:rPr>
                <m:sty m:val="p"/>
              </m:rPr>
              <m:t>q</m:t>
            </m:r>
          </m:sup>
        </m:sSup>
        <m:r>
          <m:t>⋅</m:t>
        </m:r>
        <m:sSup>
          <m:e>
            <m:r>
              <m:t>q</m:t>
            </m:r>
          </m:e>
          <m:sup>
            <m:r>
              <m:rPr>
                <m:sty m:val="p"/>
              </m:rPr>
              <m:t>f</m:t>
            </m:r>
            <m:r>
              <m:rPr>
                <m:sty m:val="p"/>
              </m:rPr>
              <m:t>f</m:t>
            </m:r>
            <m:r>
              <m:rPr>
                <m:sty m:val="p"/>
              </m:rPr>
              <m:t>3</m:t>
            </m:r>
          </m:sup>
        </m:sSup>
      </m:oMath>
      <w:r>
        <w:t xml:space="preserve">:</w:t>
      </w:r>
      <w:r>
        <w:t xml:space="preserve"> </w:t>
      </w:r>
      <m:oMath>
        <m:r>
          <m:t>+</m:t>
        </m:r>
        <m:r>
          <m:t>0.165</m:t>
        </m:r>
      </m:oMath>
      <w:r>
        <w:t xml:space="preserve">,</w:t>
      </w:r>
      <w:r>
        <w:t xml:space="preserve"> </w:t>
      </w:r>
      <m:oMath>
        <m:sSup>
          <m:e>
            <m:r>
              <m:rPr>
                <m:sty m:val="b"/>
              </m:rPr>
              <m:t>p</m:t>
            </m:r>
          </m:e>
          <m:sup>
            <m:r>
              <m:rPr>
                <m:sty m:val="p"/>
              </m:rPr>
              <m:t>r</m:t>
            </m:r>
            <m:r>
              <m:rPr>
                <m:sty m:val="p"/>
              </m:rPr>
              <m:t>p</m:t>
            </m:r>
          </m:sup>
        </m:sSup>
        <m:r>
          <m:t>⋅</m:t>
        </m:r>
        <m:sSup>
          <m:e>
            <m:r>
              <m:t>q</m:t>
            </m:r>
          </m:e>
          <m:sup>
            <m:r>
              <m:rPr>
                <m:sty m:val="p"/>
              </m:rPr>
              <m:t>f</m:t>
            </m:r>
            <m:r>
              <m:rPr>
                <m:sty m:val="p"/>
              </m:rPr>
              <m:t>f</m:t>
            </m:r>
            <m:r>
              <m:rPr>
                <m:sty m:val="p"/>
              </m:rPr>
              <m:t>3</m:t>
            </m:r>
          </m:sup>
        </m:sSup>
      </m:oMath>
      <w:r>
        <w:t xml:space="preserve">:</w:t>
      </w:r>
      <w:r>
        <w:t xml:space="preserve"> </w:t>
      </w:r>
      <m:oMath>
        <m:r>
          <m:t>+</m:t>
        </m:r>
        <m:r>
          <m:t>0.179</m:t>
        </m:r>
      </m:oMath>
      <w:r>
        <w:t xml:space="preserve">), 양수 제약이 있는</w:t>
      </w:r>
      <w:r>
        <w:t xml:space="preserve"> </w:t>
      </w:r>
      <m:oMath>
        <m:r>
          <m:t>q</m:t>
        </m:r>
      </m:oMath>
      <w:r>
        <w:t xml:space="preserve">와 결합된</w:t>
      </w:r>
      <w:r>
        <w:t xml:space="preserve"> </w:t>
      </w:r>
      <m:oMath>
        <m:r>
          <m:rPr>
            <m:sty m:val="b"/>
          </m:rPr>
          <m:t>p</m:t>
        </m:r>
      </m:oMath>
      <w:r>
        <w:t xml:space="preserve">는 모든 조합에서 스프레드</w:t>
      </w:r>
      <w:r>
        <w:t xml:space="preserve"> </w:t>
      </w:r>
      <m:oMath>
        <m:r>
          <m:t>0.20</m:t>
        </m:r>
      </m:oMath>
      <m:oMath>
        <m:r>
          <m:t>0.34</m:t>
        </m:r>
      </m:oMath>
      <w:r>
        <w:t xml:space="preserve"> </w:t>
      </w:r>
      <w:r>
        <w:t xml:space="preserve">수준의 저변동 우위 뷰를 유지한다.</w:t>
      </w:r>
    </w:p>
    <w:p>
      <w:pPr/>
      <w:r>
        <w:t xml:space="preserve">즉, R4 국면에서 저변동 전략 본질의 반전은</w:t>
      </w:r>
      <w:r>
        <w:t xml:space="preserve"> </w:t>
      </w:r>
      <m:oMath>
        <m:sSup>
          <m:e>
            <m:r>
              <m:rPr>
                <m:sty m:val="b"/>
              </m:rPr>
              <m:t>p</m:t>
            </m:r>
          </m:e>
          <m:sup>
            <m:r>
              <m:rPr>
                <m:sty m:val="p"/>
              </m:rPr>
              <m:t>m</m:t>
            </m:r>
            <m:r>
              <m:rPr>
                <m:sty m:val="p"/>
              </m:rPr>
              <m:t>c</m:t>
            </m:r>
            <m:r>
              <m:rPr>
                <m:sty m:val="p"/>
              </m:rPr>
              <m:t>a</m:t>
            </m:r>
            <m:r>
              <m:rPr>
                <m:sty m:val="p"/>
              </m:rPr>
              <m:t>p</m:t>
            </m:r>
          </m:sup>
        </m:sSup>
      </m:oMath>
      <w:r>
        <w:t xml:space="preserve"> </w:t>
      </w:r>
      <w:r>
        <w:t xml:space="preserve">가중과</w:t>
      </w:r>
      <w:r>
        <w:t xml:space="preserve"> </w:t>
      </w:r>
      <m:oMath>
        <m:sSup>
          <m:e>
            <m:r>
              <m:t>q</m:t>
            </m:r>
          </m:e>
          <m:sup>
            <m:r>
              <m:rPr>
                <m:sty m:val="p"/>
              </m:rPr>
              <m:t>f</m:t>
            </m:r>
            <m:r>
              <m:rPr>
                <m:sty m:val="p"/>
              </m:rPr>
              <m:t>f</m:t>
            </m:r>
            <m:r>
              <m:rPr>
                <m:sty m:val="p"/>
              </m:rPr>
              <m:t>3</m:t>
            </m:r>
          </m:sup>
        </m:sSup>
      </m:oMath>
      <w:r>
        <w:t xml:space="preserve">의 결합 조건에서만 관찰되며, 두 요소 중 어느 한쪽이라도 변경되면 저변동 본질이 부분적 또는 완전 회복된다.</w:t>
      </w:r>
    </w:p>
    <w:p>
      <w:pPr>
        <w:pStyle w:val="1"/>
        <w:numPr>
          <w:ilvl w:val="0"/>
          <w:numId w:val="0"/>
        </w:numPr>
      </w:pPr>
      <w:bookmarkStart w:id="97" w:name="app:benchmark"/>
      <w:r>
        <w:t xml:space="preserve">부록 E. </w:t>
      </w:r>
      <w:r>
        <w:t xml:space="preserve">벤치마크 대비 보조 지표</w:t>
      </w:r>
      <w:bookmarkEnd w:id="97"/>
    </w:p>
    <w:p>
      <w:pPr/>
      <w:r>
        <w:t xml:space="preserve">4.4절(벤치마크 성능 비교)에서 보고한 샤프 비율 결과(표 6)에 대응하여, 동일한 슬롯과 5개 기간(All, R1 회복, R2 확장, R3 위기, R4 정상화)에 대한 보조 지표 3종을 첨부한다. 표 A.18는 Sortino 비율, 표 A.19 는 최대낙폭 (MDD), 표 A.20은 연환산 수익률을 보고하며, 각 표에서 4개 앙상블 슬롯 중 컬럼별 최우수 값을 굵게 표시한다. Sortino 비율과 연환산 수익률은 클수록, MDD는 0에 가까울수록 우위이다.</w:t>
      </w:r>
    </w:p>
    <w:p>
      <w:pPr>
        <w:keepNext/>
        <w:jc w:val="center"/>
        <w:spacing w:after="40"/>
      </w:pPr>
      <w:r>
        <w:rPr>
          <w:rFonts w:ascii="Times New Roman" w:hAnsi="Times New Roman" w:eastAsia="바탕"/>
          <w:sz w:val="20"/>
          <w:szCs w:val="20"/>
        </w:rPr>
        <w:t xml:space="preserve">&lt;표 A.18&gt; 벤치마크 성능 비교 — Sortino 비율 × 5기간. 4개 앙상블 슬롯 중 컬럼별 최대값 굵게 표시.</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blGrid>
        <w:gridCol w:w="1549"/>
        <w:gridCol w:w="1549"/>
        <w:gridCol w:w="1549"/>
        <w:gridCol w:w="1549"/>
        <w:gridCol w:w="1549"/>
        <w:gridCol w:w="1549"/>
      </w:tblGrid>
      <w:tr>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Strategy</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All</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R1</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R2</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R3</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SPY (market)</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1.38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1.66</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1.06</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2.36</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1/N (equal-weight)</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1.32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1.08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0.88</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Risk Parity (1/σ)</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1.72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1.50</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1.05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0.81</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ANN-anchor (Pyo &amp; Lee, 2018)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1.34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1.56</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1.36</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1.60</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0.88</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Ensemble-anchor (σ 모형 교체)</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1.32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1.19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1.17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1.51</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Ensemble-defensive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eq</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lam</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1.66</w:t>
            </w:r>
          </w:p>
        </w:tc>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1.78</w:t>
            </w:r>
          </w:p>
        </w:tc>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1.82</w:t>
            </w:r>
          </w:p>
        </w:tc>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1.80</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0.98</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Ensemble-defensive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rp</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lam</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1.75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1.79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1.10</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Ensemble-adaptive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eq</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ff3</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1.70</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1.77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1.72</w:t>
            </w:r>
          </w:p>
        </w:tc>
      </w:tr>
      <w:tr>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Ensemble-adaptive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rp</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ff3</w:t>
            </w:r>
            <w:r>
              <w:rPr>
                <w:rFonts w:ascii="Times New Roman" w:hAnsi="Times New Roman" w:eastAsia="바탕"/>
                <w:b/>
                <w:sz w:val="15"/>
                <w:szCs w:val="15"/>
              </w:rPr>
              <w:t xml:space="preserve">)</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1.59</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1.44</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1.64</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1.75</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1.78</w:t>
            </w:r>
          </w:p>
        </w:tc>
      </w:tr>
    </w:tbl>
    <w:p>
      <w:pPr>
        <w:keepNext/>
        <w:jc w:val="center"/>
        <w:spacing w:after="40"/>
      </w:pPr>
      <w:r>
        <w:rPr>
          <w:rFonts w:ascii="Times New Roman" w:hAnsi="Times New Roman" w:eastAsia="바탕"/>
          <w:sz w:val="20"/>
          <w:szCs w:val="20"/>
        </w:rPr>
        <w:t xml:space="preserve">&lt;표 A.19&gt; 벤치마크 성능 비교 — 최대낙폭 (MDD) × 5 기간 (0에 가까울수록 우위). 4개 앙상블 슬롯 중 컬럼별 최우수(절대값 최소) 굵게 표시.</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blGrid>
        <w:gridCol w:w="1549"/>
        <w:gridCol w:w="1549"/>
        <w:gridCol w:w="1549"/>
        <w:gridCol w:w="1549"/>
        <w:gridCol w:w="1549"/>
        <w:gridCol w:w="1549"/>
      </w:tblGrid>
      <w:tr>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Strategy</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All</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R1</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R2</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R3</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SPY (market)</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-23.9%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-13.5%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-23.9%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-7.6%</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1/N (equal-weight)</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-24.3%</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-21.4%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-17.3%</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-12.0%</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Risk Parity (1/σ)</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-22.0%</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-18.2%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-10.4%</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ANN-anchor (Pyo &amp; Lee, 2018)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-18.4%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-18.4%</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Ensemble-anchor (σ 모형 교체)</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-20.5%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-17.1%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-17.6%</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-14.0%</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Ensemble-defensive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eq</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lam</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-14.7%</w:t>
            </w:r>
          </w:p>
        </w:tc>
        <w:tc>
          <w:tcPr>
            <w:tcMar>
              <w:top w:w="15"/>
              <w:bottom w:w="15"/>
              <w:left w:w="36"/>
              <w:right w:w="36"/>
            </w:tcMar>
            <w:vAlign w:val="center"/>
          </w:tcPr>
          <w:p>
            <w:pPr>
              <w:pStyle w:val="a8"/>
              <w:jc w:val="center"/>
              <w:spacing w:after="0" w:line="240" w:lineRule="auto"/>
            </w:pPr>
            <w:r>
              <w:rPr>
                <w:b/>
                <w:rFonts w:ascii="Times New Roman" w:hAnsi="Times New Roman" w:eastAsia="바탕"/>
                <w:sz w:val="15"/>
                <w:szCs w:val="15"/>
              </w:rPr>
              <w:t xml:space="preserve">-12.8%</w:t>
            </w:r>
          </w:p>
        </w:tc>
        <w:tc>
          <w:tcPr>
            <w:tcMar>
              <w:top w:w="15"/>
              <w:bottom w:w="15"/>
              <w:left w:w="36"/>
              <w:right w:w="36"/>
            </w:tcMar>
            <w:vAlign w:val="center"/>
          </w:tcPr>
          <w:p>
            <w:pPr>
              <w:pStyle w:val="a8"/>
              <w:jc w:val="center"/>
              <w:spacing w:after="0" w:line="240" w:lineRule="auto"/>
            </w:pPr>
            <w:r>
              <w:rPr>
                <w:b/>
                <w:rFonts w:ascii="Times New Roman" w:hAnsi="Times New Roman" w:eastAsia="바탕"/>
                <w:sz w:val="15"/>
                <w:szCs w:val="15"/>
              </w:rPr>
              <w:t xml:space="preserve">-8.2%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-8.9%</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Ensemble-defensive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rp</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lam</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b/>
                <w:rFonts w:ascii="Times New Roman" w:hAnsi="Times New Roman" w:eastAsia="바탕"/>
                <w:sz w:val="15"/>
                <w:szCs w:val="15"/>
              </w:rPr>
              <w:t xml:space="preserve">-14.0%</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-14.0%</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-8.5%</w:t>
            </w:r>
          </w:p>
        </w:tc>
        <w:tc>
          <w:tcPr>
            <w:tcMar>
              <w:top w:w="15"/>
              <w:bottom w:w="15"/>
              <w:left w:w="36"/>
              <w:right w:w="36"/>
            </w:tcMar>
            <w:vAlign w:val="center"/>
          </w:tcPr>
          <w:p>
            <w:pPr>
              <w:pStyle w:val="a8"/>
              <w:jc w:val="center"/>
              <w:spacing w:after="0" w:line="240" w:lineRule="auto"/>
            </w:pPr>
            <w:r>
              <w:rPr>
                <w:b/>
                <w:rFonts w:ascii="Times New Roman" w:hAnsi="Times New Roman" w:eastAsia="바탕"/>
                <w:sz w:val="15"/>
                <w:szCs w:val="15"/>
              </w:rPr>
              <w:t xml:space="preserve">-13.4%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-8.7%</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Ensemble-adaptive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eq</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ff3</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-11.4%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-7.9%</w:t>
            </w:r>
          </w:p>
        </w:tc>
      </w:tr>
      <w:tr>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Ensemble-adaptive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rp</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ff3</w:t>
            </w:r>
            <w:r>
              <w:rPr>
                <w:rFonts w:ascii="Times New Roman" w:hAnsi="Times New Roman" w:eastAsia="바탕"/>
                <w:b/>
                <w:sz w:val="15"/>
                <w:szCs w:val="15"/>
              </w:rPr>
              <w:t xml:space="preserve">)</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-19.2%</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-19.2%</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-12.6%</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-15.0%</w:t>
            </w:r>
          </w:p>
        </w:tc>
        <w:tc>
          <w:tcPr>
            <w:tcBorders>
              <w:bottom w:val="single" w:sz="12" w:space="0" w:color="auto"/>
            </w:tcBorders>
            <w:tcMar>
              <w:top w:w="15"/>
              <w:bottom w:w="15"/>
              <w:left w:w="36"/>
              <w:right w:w="36"/>
            </w:tcMar>
            <w:vAlign w:val="center"/>
          </w:tcPr>
          <w:p>
            <w:pPr>
              <w:pStyle w:val="a8"/>
              <w:jc w:val="center"/>
              <w:spacing w:after="0" w:line="240" w:lineRule="auto"/>
            </w:pPr>
            <w:r>
              <w:rPr>
                <w:b/>
                <w:rFonts w:ascii="Times New Roman" w:hAnsi="Times New Roman" w:eastAsia="바탕"/>
                <w:sz w:val="15"/>
                <w:szCs w:val="15"/>
              </w:rPr>
              <w:t xml:space="preserve">-7.5%</w:t>
            </w:r>
          </w:p>
        </w:tc>
      </w:tr>
    </w:tbl>
    <w:p>
      <w:pPr>
        <w:keepNext/>
        <w:jc w:val="center"/>
        <w:spacing w:after="40"/>
      </w:pPr>
      <w:r>
        <w:rPr>
          <w:rFonts w:ascii="Times New Roman" w:hAnsi="Times New Roman" w:eastAsia="바탕"/>
          <w:sz w:val="20"/>
          <w:szCs w:val="20"/>
        </w:rPr>
        <w:t xml:space="preserve">&lt;표 A.20&gt; 벤치마크 성능 비교 — 연환산 수익률 × 5 기간. 4개 앙상블 슬롯 중 컬럼별 최대값 굵게 표시.</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blGrid>
        <w:gridCol w:w="1549"/>
        <w:gridCol w:w="1549"/>
        <w:gridCol w:w="1549"/>
        <w:gridCol w:w="1549"/>
        <w:gridCol w:w="1549"/>
        <w:gridCol w:w="1549"/>
      </w:tblGrid>
      <w:tr>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Strategy</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All</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R1</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R2</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R3</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SPY (market)</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+19.7%</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1/N (equal-weight)</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+14.3%</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+10.5%</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Risk Parity (1/σ)</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+15.6%</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+13.9%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+9.8%</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ANN-anchor (Pyo &amp; Lee, 2018)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+14.3%</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+16.6%</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+15.0%</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+15.2%</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Ensemble-anchor (σ 모형 교체)</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+11.4%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+17.9%</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Ensemble-defensive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eq</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lam</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+15.1%</w:t>
            </w:r>
          </w:p>
        </w:tc>
        <w:tc>
          <w:tcPr>
            <w:tcMar>
              <w:top w:w="15"/>
              <w:bottom w:w="15"/>
              <w:left w:w="36"/>
              <w:right w:w="36"/>
            </w:tcMar>
            <w:vAlign w:val="center"/>
          </w:tcPr>
          <w:p>
            <w:pPr>
              <w:pStyle w:val="a8"/>
              <w:jc w:val="center"/>
              <w:spacing w:after="0" w:line="240" w:lineRule="auto"/>
            </w:pPr>
            <w:r>
              <w:rPr>
                <w:b/>
                <w:rFonts w:ascii="Times New Roman" w:hAnsi="Times New Roman" w:eastAsia="바탕"/>
                <w:sz w:val="15"/>
                <w:szCs w:val="15"/>
              </w:rPr>
              <w:t xml:space="preserve">+17.2%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+15.1%</w:t>
            </w:r>
          </w:p>
        </w:tc>
        <w:tc>
          <w:tcPr>
            <w:tcMar>
              <w:top w:w="15"/>
              <w:bottom w:w="15"/>
              <w:left w:w="36"/>
              <w:right w:w="36"/>
            </w:tcMar>
            <w:vAlign w:val="center"/>
          </w:tcPr>
          <w:p>
            <w:pPr>
              <w:pStyle w:val="a8"/>
              <w:jc w:val="center"/>
              <w:spacing w:after="0" w:line="240" w:lineRule="auto"/>
            </w:pPr>
            <w:r>
              <w:rPr>
                <w:b/>
                <w:rFonts w:ascii="Times New Roman" w:hAnsi="Times New Roman" w:eastAsia="바탕"/>
                <w:sz w:val="15"/>
                <w:szCs w:val="15"/>
              </w:rPr>
              <w:t xml:space="preserve">+16.7%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+11.1%</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Ensemble-defensive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rp</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lam</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+11.9%</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Ensemble-adaptive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eq</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ff3</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b/>
                <w:rFonts w:ascii="Times New Roman" w:hAnsi="Times New Roman" w:eastAsia="바탕"/>
                <w:sz w:val="15"/>
                <w:szCs w:val="15"/>
              </w:rPr>
              <w:t xml:space="preserve">+15.9%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+14.0%</w:t>
            </w:r>
          </w:p>
        </w:tc>
        <w:tc>
          <w:tcPr>
            <w:tcMar>
              <w:top w:w="15"/>
              <w:bottom w:w="15"/>
              <w:left w:w="36"/>
              <w:right w:w="36"/>
            </w:tcMar>
            <w:vAlign w:val="center"/>
          </w:tcPr>
          <w:p>
            <w:pPr>
              <w:pStyle w:val="a8"/>
              <w:jc w:val="center"/>
              <w:spacing w:after="0" w:line="240" w:lineRule="auto"/>
            </w:pPr>
            <w:r>
              <w:rPr>
                <w:b/>
                <w:rFonts w:ascii="Times New Roman" w:hAnsi="Times New Roman" w:eastAsia="바탕"/>
                <w:sz w:val="15"/>
                <w:szCs w:val="15"/>
              </w:rPr>
              <w:t xml:space="preserve">+16.4%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+16.4%</w:t>
            </w:r>
          </w:p>
        </w:tc>
      </w:tr>
      <w:tr>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Ensemble-adaptive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rp</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ff3</w:t>
            </w:r>
            <w:r>
              <w:rPr>
                <w:rFonts w:ascii="Times New Roman" w:hAnsi="Times New Roman" w:eastAsia="바탕"/>
                <w:b/>
                <w:sz w:val="15"/>
                <w:szCs w:val="15"/>
              </w:rPr>
              <w:t xml:space="preserve">)</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+15.3%</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+13.1%</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+15.6%</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+15.3%</w:t>
            </w:r>
          </w:p>
        </w:tc>
        <w:tc>
          <w:tcPr>
            <w:tcBorders>
              <w:bottom w:val="single" w:sz="12" w:space="0" w:color="auto"/>
            </w:tcBorders>
            <w:tcMar>
              <w:top w:w="15"/>
              <w:bottom w:w="15"/>
              <w:left w:w="36"/>
              <w:right w:w="36"/>
            </w:tcMar>
            <w:vAlign w:val="center"/>
          </w:tcPr>
          <w:p>
            <w:pPr>
              <w:pStyle w:val="a8"/>
              <w:jc w:val="center"/>
              <w:spacing w:after="0" w:line="240" w:lineRule="auto"/>
            </w:pPr>
            <w:r>
              <w:rPr>
                <w:b/>
                <w:rFonts w:ascii="Times New Roman" w:hAnsi="Times New Roman" w:eastAsia="바탕"/>
                <w:sz w:val="15"/>
                <w:szCs w:val="15"/>
              </w:rPr>
              <w:t xml:space="preserve">+16.8%</w:t>
            </w:r>
          </w:p>
        </w:tc>
      </w:tr>
    </w:tbl>
    <w:sectPr w:rsidR="00800D86" w:rsidSect="00BB26B8">
      <w:pgSz w:w="11906" w:h="16838" w:code="9"/>
      <w:pgMar w:top="1701" w:right="1304" w:bottom="1701" w:left="1304" w:header="851" w:footer="992" w:gutter="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ED091" w14:textId="77777777" w:rsidR="00800D86" w:rsidRDefault="00800D86" w:rsidP="00800D86">
    <w:pPr>
      <w:pStyle w:val="a5"/>
      <w:jc w:val="center"/>
    </w:pPr>
    <w:r>
      <w:t xml:space="preserve">- </w:t>
    </w:r>
    <w:r>
      <w:fldChar w:fldCharType="begin"/>
    </w:r>
    <w:r>
      <w:instrText>PAGE   \* MERGEFORMAT</w:instrText>
    </w:r>
    <w:r>
      <w:fldChar w:fldCharType="separate"/>
    </w:r>
    <w:r w:rsidR="00AA738F" w:rsidRPr="00AA738F">
      <w:rPr>
        <w:noProof/>
        <w:lang w:val="ko-KR"/>
      </w:rP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9BDAD" w14:textId="77777777" w:rsidR="00800D86" w:rsidRDefault="00800D86">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B6EDA"/>
    <w:multiLevelType w:val="multilevel"/>
    <w:tmpl w:val="9182C18A"/>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6E5D37C6"/>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7E7941ED"/>
    <w:multiLevelType w:val="multilevel"/>
    <w:tmpl w:val="831E7DFA"/>
    <w:lvl w:ilvl="0">
      <w:start w:val="1"/>
      <w:numFmt w:val="decimal"/>
      <w:lvlText w:val="%1."/>
      <w:lvlJc w:val="left"/>
      <w:pPr>
        <w:ind w:left="800" w:hanging="400"/>
      </w:pPr>
      <w:rPr>
        <w:rFonts w:hint="eastAsia"/>
      </w:rPr>
    </w:lvl>
    <w:lvl w:ilvl="1">
      <w:start w:val="1"/>
      <w:numFmt w:val="decimal"/>
      <w:isLgl/>
      <w:lvlText w:val="%1.%2"/>
      <w:lvlJc w:val="left"/>
      <w:pPr>
        <w:ind w:left="805" w:hanging="405"/>
      </w:pPr>
      <w:rPr>
        <w:rFonts w:hint="default"/>
      </w:rPr>
    </w:lvl>
    <w:lvl w:ilvl="2">
      <w:start w:val="1"/>
      <w:numFmt w:val="decimal"/>
      <w:isLgl/>
      <w:lvlText w:val="%1.%2.%3"/>
      <w:lvlJc w:val="left"/>
      <w:pPr>
        <w:ind w:left="1120" w:hanging="720"/>
      </w:pPr>
      <w:rPr>
        <w:rFonts w:hint="default"/>
      </w:rPr>
    </w:lvl>
    <w:lvl w:ilvl="3">
      <w:start w:val="1"/>
      <w:numFmt w:val="decimal"/>
      <w:isLgl/>
      <w:lvlText w:val="%1.%2.%3.%4"/>
      <w:lvlJc w:val="left"/>
      <w:pPr>
        <w:ind w:left="1120" w:hanging="720"/>
      </w:pPr>
      <w:rPr>
        <w:rFonts w:hint="default"/>
      </w:rPr>
    </w:lvl>
    <w:lvl w:ilvl="4">
      <w:start w:val="1"/>
      <w:numFmt w:val="decimal"/>
      <w:isLgl/>
      <w:lvlText w:val="%1.%2.%3.%4.%5"/>
      <w:lvlJc w:val="left"/>
      <w:pPr>
        <w:ind w:left="1480" w:hanging="1080"/>
      </w:pPr>
      <w:rPr>
        <w:rFonts w:hint="default"/>
      </w:rPr>
    </w:lvl>
    <w:lvl w:ilvl="5">
      <w:start w:val="1"/>
      <w:numFmt w:val="decimal"/>
      <w:isLgl/>
      <w:lvlText w:val="%1.%2.%3.%4.%5.%6"/>
      <w:lvlJc w:val="left"/>
      <w:pPr>
        <w:ind w:left="1480" w:hanging="1080"/>
      </w:pPr>
      <w:rPr>
        <w:rFonts w:hint="default"/>
      </w:rPr>
    </w:lvl>
    <w:lvl w:ilvl="6">
      <w:start w:val="1"/>
      <w:numFmt w:val="decimal"/>
      <w:isLgl/>
      <w:lvlText w:val="%1.%2.%3.%4.%5.%6.%7"/>
      <w:lvlJc w:val="left"/>
      <w:pPr>
        <w:ind w:left="1840" w:hanging="1440"/>
      </w:pPr>
      <w:rPr>
        <w:rFonts w:hint="default"/>
      </w:rPr>
    </w:lvl>
    <w:lvl w:ilvl="7">
      <w:start w:val="1"/>
      <w:numFmt w:val="decimal"/>
      <w:isLgl/>
      <w:lvlText w:val="%1.%2.%3.%4.%5.%6.%7.%8"/>
      <w:lvlJc w:val="left"/>
      <w:pPr>
        <w:ind w:left="1840" w:hanging="1440"/>
      </w:pPr>
      <w:rPr>
        <w:rFonts w:hint="default"/>
      </w:rPr>
    </w:lvl>
    <w:lvl w:ilvl="8">
      <w:start w:val="1"/>
      <w:numFmt w:val="decimal"/>
      <w:isLgl/>
      <w:lvlText w:val="%1.%2.%3.%4.%5.%6.%7.%8.%9"/>
      <w:lvlJc w:val="left"/>
      <w:pPr>
        <w:ind w:left="2200" w:hanging="1800"/>
      </w:pPr>
      <w:rPr>
        <w:rFonts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0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 w16cid:durableId="928656786">
    <w:abstractNumId w:val="2"/>
  </w:num>
  <w:num w:numId="2" w16cid:durableId="1549486620">
    <w:abstractNumId w:val="0"/>
  </w:num>
  <w:num w:numId="3" w16cid:durableId="115730507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4111"/>
    <w:pPr>
      <w:widowControl w:val="0"/>
      <w:wordWrap w:val="0"/>
      <w:autoSpaceDE w:val="0"/>
      <w:autoSpaceDN w:val="0"/>
      <w:spacing w:after="120" w:line="360" w:lineRule="auto"/>
    </w:pPr>
    <w:rPr>
      <w:rFonts w:ascii="Times New Roman" w:eastAsia="바탕" w:hAnsi="Times New Roman" w:cs="Times New Roman"/>
      <w:sz w:val="22"/>
      <w:szCs w:val="24"/>
    </w:rPr>
  </w:style>
  <w:style w:type="paragraph" w:styleId="1">
    <w:name w:val="heading 1"/>
    <w:basedOn w:val="a"/>
    <w:next w:val="a"/>
    <w:link w:val="1Char"/>
    <w:uiPriority w:val="9"/>
    <w:qFormat/>
    <w:rsid w:val="00C86995"/>
    <w:pPr>
      <w:keepNext/>
      <w:numPr>
        <w:numId w:val="2"/>
      </w:numPr>
      <w:ind w:hangingChars="180" w:hanging="180"/>
      <w:outlineLvl w:val="0"/>
    </w:pPr>
    <w:rPr>
      <w:rFonts w:cstheme="majorBidi"/>
      <w:b/>
      <w:sz w:val="28"/>
      <w:szCs w:val="28"/>
    </w:rPr>
  </w:style>
  <w:style w:type="paragraph" w:styleId="2">
    <w:name w:val="heading 2"/>
    <w:basedOn w:val="a"/>
    <w:next w:val="a"/>
    <w:link w:val="2Char"/>
    <w:uiPriority w:val="9"/>
    <w:unhideWhenUsed/>
    <w:qFormat/>
    <w:rsid w:val="00C86995"/>
    <w:pPr>
      <w:keepNext/>
      <w:numPr>
        <w:ilvl w:val="1"/>
        <w:numId w:val="2"/>
      </w:numPr>
      <w:outlineLvl w:val="1"/>
    </w:pPr>
    <w:rPr>
      <w:rFonts w:cstheme="majorBidi"/>
      <w:sz w:val="24"/>
    </w:rPr>
  </w:style>
  <w:style w:type="paragraph" w:styleId="3">
    <w:name w:val="heading 3"/>
    <w:basedOn w:val="a"/>
    <w:next w:val="a"/>
    <w:link w:val="3Char"/>
    <w:uiPriority w:val="9"/>
    <w:unhideWhenUsed/>
    <w:qFormat/>
    <w:rsid w:val="00C86995"/>
    <w:pPr>
      <w:keepNext/>
      <w:numPr>
        <w:ilvl w:val="2"/>
        <w:numId w:val="2"/>
      </w:numPr>
      <w:ind w:left="0" w:hangingChars="200" w:hanging="200"/>
      <w:outlineLvl w:val="2"/>
    </w:pPr>
    <w:rPr>
      <w:rFonts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9707A"/>
    <w:rPr>
      <w:color w:val="0563C1" w:themeColor="hyperlink"/>
      <w:u w:val="single"/>
    </w:rPr>
  </w:style>
  <w:style w:type="paragraph" w:styleId="a4">
    <w:name w:val="header"/>
    <w:basedOn w:val="a"/>
    <w:link w:val="Char"/>
    <w:uiPriority w:val="99"/>
    <w:unhideWhenUsed/>
    <w:rsid w:val="00800D86"/>
    <w:pPr>
      <w:tabs>
        <w:tab w:val="center" w:pos="4513"/>
        <w:tab w:val="right" w:pos="9026"/>
      </w:tabs>
      <w:snapToGrid w:val="0"/>
    </w:pPr>
  </w:style>
  <w:style w:type="character" w:customStyle="1" w:styleId="Char">
    <w:name w:val="머리글 Char"/>
    <w:basedOn w:val="a0"/>
    <w:link w:val="a4"/>
    <w:uiPriority w:val="99"/>
    <w:rsid w:val="00800D86"/>
    <w:rPr>
      <w:rFonts w:ascii="Times New Roman" w:eastAsia="바탕" w:hAnsi="Times New Roman" w:cs="Times New Roman"/>
      <w:sz w:val="22"/>
      <w:szCs w:val="24"/>
    </w:rPr>
  </w:style>
  <w:style w:type="paragraph" w:styleId="a5">
    <w:name w:val="footer"/>
    <w:basedOn w:val="a"/>
    <w:link w:val="Char0"/>
    <w:uiPriority w:val="99"/>
    <w:unhideWhenUsed/>
    <w:rsid w:val="00800D86"/>
    <w:pPr>
      <w:tabs>
        <w:tab w:val="center" w:pos="4513"/>
        <w:tab w:val="right" w:pos="9026"/>
      </w:tabs>
      <w:snapToGrid w:val="0"/>
    </w:pPr>
  </w:style>
  <w:style w:type="character" w:customStyle="1" w:styleId="Char0">
    <w:name w:val="바닥글 Char"/>
    <w:basedOn w:val="a0"/>
    <w:link w:val="a5"/>
    <w:uiPriority w:val="99"/>
    <w:rsid w:val="00800D86"/>
    <w:rPr>
      <w:rFonts w:ascii="Times New Roman" w:eastAsia="바탕" w:hAnsi="Times New Roman" w:cs="Times New Roman"/>
      <w:sz w:val="22"/>
      <w:szCs w:val="24"/>
    </w:rPr>
  </w:style>
  <w:style w:type="paragraph" w:styleId="a6">
    <w:name w:val="List Paragraph"/>
    <w:basedOn w:val="a"/>
    <w:uiPriority w:val="34"/>
    <w:qFormat/>
    <w:rsid w:val="00800D86"/>
    <w:pPr>
      <w:ind w:leftChars="400" w:left="800"/>
    </w:pPr>
  </w:style>
  <w:style w:type="character" w:customStyle="1" w:styleId="1Char">
    <w:name w:val="제목 1 Char"/>
    <w:basedOn w:val="a0"/>
    <w:link w:val="1"/>
    <w:uiPriority w:val="9"/>
    <w:rsid w:val="00C86995"/>
    <w:rPr>
      <w:rFonts w:ascii="Times New Roman" w:eastAsia="바탕" w:hAnsi="Times New Roman" w:cstheme="majorBidi"/>
      <w:b/>
      <w:sz w:val="28"/>
      <w:szCs w:val="28"/>
    </w:rPr>
  </w:style>
  <w:style w:type="character" w:customStyle="1" w:styleId="2Char">
    <w:name w:val="제목 2 Char"/>
    <w:basedOn w:val="a0"/>
    <w:link w:val="2"/>
    <w:uiPriority w:val="9"/>
    <w:rsid w:val="00C86995"/>
    <w:rPr>
      <w:rFonts w:ascii="Times New Roman" w:eastAsia="바탕" w:hAnsi="Times New Roman" w:cstheme="majorBidi"/>
      <w:sz w:val="24"/>
      <w:szCs w:val="24"/>
    </w:rPr>
  </w:style>
  <w:style w:type="character" w:customStyle="1" w:styleId="3Char">
    <w:name w:val="제목 3 Char"/>
    <w:basedOn w:val="a0"/>
    <w:link w:val="3"/>
    <w:uiPriority w:val="9"/>
    <w:rsid w:val="00C86995"/>
    <w:rPr>
      <w:rFonts w:ascii="Times New Roman" w:eastAsia="바탕" w:hAnsi="Times New Roman" w:cstheme="majorBidi"/>
      <w:sz w:val="22"/>
      <w:szCs w:val="24"/>
    </w:rPr>
  </w:style>
  <w:style w:type="table" w:styleId="a7">
    <w:name w:val="Table Grid"/>
    <w:basedOn w:val="a1"/>
    <w:uiPriority w:val="39"/>
    <w:rsid w:val="00AF13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표본문"/>
    <w:basedOn w:val="a"/>
    <w:link w:val="Char1"/>
    <w:qFormat/>
    <w:rsid w:val="00AF13F1"/>
    <w:pPr>
      <w:spacing w:after="0" w:line="240" w:lineRule="auto"/>
      <w:jc w:val="center"/>
    </w:pPr>
  </w:style>
  <w:style w:type="paragraph" w:customStyle="1" w:styleId="a9">
    <w:name w:val="바탕글"/>
    <w:basedOn w:val="a"/>
    <w:rsid w:val="00AF13F1"/>
    <w:pPr>
      <w:shd w:val="clear" w:color="auto" w:fill="FFFFFF"/>
      <w:snapToGrid w:val="0"/>
      <w:spacing w:after="0" w:line="384" w:lineRule="auto"/>
      <w:ind w:firstLine="200"/>
      <w:textAlignment w:val="baseline"/>
    </w:pPr>
    <w:rPr>
      <w:rFonts w:ascii="굴림" w:eastAsia="굴림" w:hAnsi="굴림" w:cs="굴림"/>
      <w:color w:val="000000"/>
      <w:spacing w:val="-10"/>
      <w:w w:val="95"/>
      <w:kern w:val="0"/>
      <w:sz w:val="20"/>
      <w:szCs w:val="20"/>
    </w:rPr>
  </w:style>
  <w:style w:type="character" w:customStyle="1" w:styleId="Char1">
    <w:name w:val="표본문 Char"/>
    <w:basedOn w:val="a0"/>
    <w:link w:val="a8"/>
    <w:rsid w:val="00AF13F1"/>
    <w:rPr>
      <w:rFonts w:ascii="Times New Roman" w:eastAsia="바탕" w:hAnsi="Times New Roman" w:cs="Times New Roman"/>
      <w:sz w:val="22"/>
      <w:szCs w:val="24"/>
    </w:rPr>
  </w:style>
  <w:style w:type="paragraph" w:styleId="aa">
    <w:name w:val="footnote text"/>
    <w:basedOn w:val="a"/>
    <w:link w:val="Char2"/>
    <w:uiPriority w:val="99"/>
    <w:semiHidden/>
    <w:unhideWhenUsed/>
    <w:rsid w:val="00604111"/>
    <w:pPr>
      <w:snapToGrid w:val="0"/>
      <w:jc w:val="left"/>
    </w:pPr>
  </w:style>
  <w:style w:type="character" w:customStyle="1" w:styleId="Char2">
    <w:name w:val="각주 텍스트 Char"/>
    <w:basedOn w:val="a0"/>
    <w:link w:val="aa"/>
    <w:uiPriority w:val="99"/>
    <w:semiHidden/>
    <w:rsid w:val="00604111"/>
    <w:rPr>
      <w:rFonts w:ascii="Times New Roman" w:eastAsia="바탕" w:hAnsi="Times New Roman" w:cs="Times New Roman"/>
      <w:sz w:val="22"/>
      <w:szCs w:val="24"/>
    </w:rPr>
  </w:style>
  <w:style w:type="character" w:styleId="ab">
    <w:name w:val="footnote reference"/>
    <w:basedOn w:val="a0"/>
    <w:uiPriority w:val="99"/>
    <w:semiHidden/>
    <w:unhideWhenUsed/>
    <w:rsid w:val="00604111"/>
    <w:rPr>
      <w:vertAlign w:val="superscript"/>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470585">
      <w:bodyDiv w:val="1"/>
      <w:marLeft w:val="0"/>
      <w:marRight w:val="0"/>
      <w:marTop w:val="0"/>
      <w:marBottom w:val="0"/>
      <w:divBdr>
        <w:top w:val="none" w:sz="0" w:space="0" w:color="auto"/>
        <w:left w:val="none" w:sz="0" w:space="0" w:color="auto"/>
        <w:bottom w:val="none" w:sz="0" w:space="0" w:color="auto"/>
        <w:right w:val="none" w:sz="0" w:space="0" w:color="auto"/>
      </w:divBdr>
    </w:div>
    <w:div w:id="1925215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header" Target="header1.xml"/><Relationship Id="rId10" Type="http://schemas.openxmlformats.org/officeDocument/2006/relationships/footer" Target="footer1.xml"/><Relationship Type="http://schemas.openxmlformats.org/officeDocument/2006/relationships/image" Id="rId42" Target="media/rId42.png"/><Relationship Type="http://schemas.openxmlformats.org/officeDocument/2006/relationships/image" Id="rId64" Target="media/rId64.png"/><Relationship Type="http://schemas.openxmlformats.org/officeDocument/2006/relationships/image" Id="rId33" Target="media/rId33.png"/><Relationship Type="http://schemas.openxmlformats.org/officeDocument/2006/relationships/image" Id="rId26" Target="media/rId26.png"/><Relationship Type="http://schemas.openxmlformats.org/officeDocument/2006/relationships/image" Id="rId61" Target="media/rId61.png"/><Relationship Type="http://schemas.openxmlformats.org/officeDocument/2006/relationships/image" Id="rId93" Target="media/rId93.png"/><Relationship Type="http://schemas.openxmlformats.org/officeDocument/2006/relationships/image" Id="rId45" Target="media/rId45.png"/></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10</Pages>
  <Words>968</Words>
  <Characters>5524</Characters>
  <Application>Microsoft Office Word</Application>
  <DocSecurity>0</DocSecurity>
  <Lines>46</Lines>
  <Paragraphs>12</Paragraphs>
  <ScaleCrop>false</ScaleCrop>
  <HeadingPairs>
    <vt:vector size="2" baseType="variant">
      <vt:variant>
        <vt:lpstr>제목</vt:lpstr>
      </vt:variant>
      <vt:variant>
        <vt:i4>1</vt:i4>
      </vt:variant>
    </vt:vector>
  </HeadingPairs>
  <TitlesOfParts>
    <vt:vector size="1" baseType="lpstr">
      <vt:lpstr>지능정보연구 논문작성포맷</vt:lpstr>
    </vt:vector>
  </TitlesOfParts>
  <Company>국민대학교 경영대학</Company>
  <LinksUpToDate>false</LinksUpToDate>
  <CharactersWithSpaces>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변동성 예측을 결합한 블랙-리터만 저변동성 포트폴리오 전략</dc:title>
  <dc:creator>서윤범, 김하연, 김재천, 김윤서, 서정욱</dc:creator>
  <cp:keywords/>
  <dcterms:created xsi:type="dcterms:W3CDTF">2026-06-03T16:58:13Z</dcterms:created>
  <dcterms:modified xsi:type="dcterms:W3CDTF">2026-06-03T16:58:13Z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블랙-리터만(Black-Litterman, BL) 모형은 시장 균형에 투자자 뷰를 결합하여 평균-분산 최적화의 추정 오차 민감성을 완화하지만, 뷰가 전문가의 주관에 의존한다는 한계를 갖는다. 이를 보완하기 위한 머신러닝 기반 BL 응용 연구가 활발하나 대부분 수익률 예측에 집중되어 있고, 변동성 예측을 직접 뷰로 활용하는 연구는 제한적이다. 본 연구는 인공신경망(ANN) 기반 변동성 예측을 BL 뷰로 결합한 Pyo and Lee (2018)의 프레임워크를 출발점으로, 두 축으로 확장한다: (1) 단순 ANN을 LSTM과 HAR의 앙상블로 대체하여 시계열 의존 구조를 반영하고, (2) BL의 네 입력 슬롯 (\mathbf{p}, q, \omega, \mathbf{w}_{mkt}) 을 각각 복수의 후보로 정의해 곱집합으로 결합한 90개 슬롯 조합을 체계적으로 탐색한다. 2010–2025년 S&amp;P 500 617 종목, 192개월 실증 분석에서 LSTM-HAR 앙상블은 ANN 대비 변동성 예측 정확도에서 일관된 우위를 보였으며 특히 COVID-19가 포함된 위기 구간(R3)에서 격차가 가장 크게 확대되었다. 이 예측 우위가 포트폴리오 성과로 전이되기 위해서는 뷰 포트폴리오의 대형주 비중 집중 완화(\mathbf{p}^{\mathrm{eq}}, \mathbf{p}^{\mathrm{rp}}) 가 결정적임을 확인하였다. 본 연구가 제안하는 두 슬롯 옵션 — 모든 시장 국면에서 저변동 뷰를 일관되게 유지하는 Ensemble-defensive (Sharpe 1.04–1.07) 와 강세장 적응을 허용하는 Ensemble-adaptive (Sharpe 1.05–1.10) — 는 편측 20bp 거래비용 차감 후에도 SPY (0.93), 1/N (0.86), Risk Parity (0.89), ANN-anchor (0.95) 를 모두 상회한다. 본 연구는 90 슬롯의 차원별 주변 분포와 국면별 결과 분석을 통해 변동성 기반 BL 저변동 전략의 운용 목표별 슬롯 선택 근거를 제시한다.</vt:lpwstr>
  </property>
  <property fmtid="{D5CDD505-2E9C-101B-9397-08002B2CF9AE}" pid="3" name="date">
    <vt:lpwstr>June 2026</vt:lpwstr>
  </property>
</Properties>
</file>