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94AC" w14:textId="33000E97" w:rsidR="00136A7A" w:rsidRDefault="004E6313">
      <w:r>
        <w:t>"Continuing FNA versioning migration. Schema confirmed: fnadata table, ClientID (text, PK), Data (text), LastSaved (text), SavedBy (text). RLS policy: single 'anon_all' policy, ALL commands, public role — migration-safe. Approach agreed: snapshot-on-demand versioning (Option 1), FNA data only, ROA stays in compliance.html. Current fna.html and backup confirmation screenshot attached. Ready to migrate."</w:t>
      </w:r>
    </w:p>
    <w:sectPr w:rsidR="0013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4E"/>
    <w:rsid w:val="00036C4E"/>
    <w:rsid w:val="00136A7A"/>
    <w:rsid w:val="001841D1"/>
    <w:rsid w:val="004E6313"/>
    <w:rsid w:val="00955B87"/>
    <w:rsid w:val="00F51DB4"/>
    <w:rsid w:val="00FE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27956FA-EBBF-49B0-B54B-126B4EBF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 Hayes</dc:creator>
  <cp:keywords/>
  <dc:description/>
  <cp:lastModifiedBy>Clinton Hayes</cp:lastModifiedBy>
  <cp:revision>2</cp:revision>
  <dcterms:created xsi:type="dcterms:W3CDTF">2026-04-18T16:43:00Z</dcterms:created>
  <dcterms:modified xsi:type="dcterms:W3CDTF">2026-04-18T16:43:00Z</dcterms:modified>
</cp:coreProperties>
</file>