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D66B78" w14:textId="78F66CF6" w:rsidR="00755693" w:rsidRPr="00A86BA1" w:rsidRDefault="00755693" w:rsidP="00A86BA1">
      <w:pPr>
        <w:pStyle w:val="Heading4"/>
        <w:spacing w:line="480" w:lineRule="auto"/>
        <w:jc w:val="center"/>
        <w:rPr>
          <w:rFonts w:ascii="Times New Roman" w:hAnsi="Times New Roman" w:cs="Times New Roman"/>
          <w:b/>
          <w:bCs/>
          <w:i w:val="0"/>
          <w:iCs w:val="0"/>
          <w:color w:val="000000" w:themeColor="text1"/>
        </w:rPr>
      </w:pPr>
      <w:r w:rsidRPr="00A86BA1">
        <w:rPr>
          <w:rFonts w:ascii="Times New Roman" w:hAnsi="Times New Roman" w:cs="Times New Roman"/>
          <w:b/>
          <w:bCs/>
          <w:i w:val="0"/>
          <w:iCs w:val="0"/>
          <w:color w:val="000000" w:themeColor="text1"/>
        </w:rPr>
        <w:t>Supplemental material</w:t>
      </w:r>
      <w:r w:rsidR="00AF34EA">
        <w:rPr>
          <w:rFonts w:ascii="Times New Roman" w:hAnsi="Times New Roman" w:cs="Times New Roman"/>
          <w:b/>
          <w:bCs/>
          <w:i w:val="0"/>
          <w:iCs w:val="0"/>
          <w:color w:val="000000" w:themeColor="text1"/>
        </w:rPr>
        <w:t xml:space="preserve"> </w:t>
      </w:r>
      <w:r w:rsidRPr="00A86BA1">
        <w:rPr>
          <w:rFonts w:ascii="Times New Roman" w:hAnsi="Times New Roman" w:cs="Times New Roman"/>
          <w:b/>
          <w:bCs/>
          <w:i w:val="0"/>
          <w:iCs w:val="0"/>
          <w:color w:val="000000" w:themeColor="text1"/>
        </w:rPr>
        <w:t>1 Data and Sampling</w:t>
      </w:r>
    </w:p>
    <w:p w14:paraId="52E58F31" w14:textId="77777777" w:rsidR="00755693" w:rsidRDefault="00755693" w:rsidP="00A86BA1">
      <w:pPr>
        <w:pStyle w:val="FirstParagraph"/>
      </w:pPr>
      <w:r>
        <w:rPr>
          <w:b/>
          <w:bCs/>
        </w:rPr>
        <w:t>Firms and Reviews.</w:t>
      </w:r>
      <w:r>
        <w:t xml:space="preserve"> After in-</w:t>
      </w:r>
      <w:proofErr w:type="gramStart"/>
      <w:r>
        <w:t>principle</w:t>
      </w:r>
      <w:proofErr w:type="gramEnd"/>
      <w:r>
        <w:t xml:space="preserve"> acceptance and an IRB determination, I draw a stratified random sample of firms with at least 50 reviews per year, within industry groups built from the sector label shown on each firm’s Glassdoor profile at the time of collection (one label per firm, not varying by year), mapped to groups by a written crosswalk posted with the materials before collection. A sector forms its own group only if, in each of 2012, 2013, 2021, and 2022, the sampled firms in that sector have at least 20,000 public reviews and number at least 30; sparser sectors are pooled into one ‘other’ group. The same groups are used for sampling, post-stratification, and H3. I collect the sampled firms’ reviews posted 2012–2022 from at least 500 firms, allocated across industry groups in proportion to public review counts, or until the sampled firms’ reviews are exhausted. I record the pros and cons text, the overall rating and five sub-ratings, date, job title, employment status, location, and industry.</w:t>
      </w:r>
    </w:p>
    <w:p w14:paraId="4BB33845" w14:textId="77777777" w:rsidR="00755693" w:rsidRDefault="00755693" w:rsidP="00755693">
      <w:pPr>
        <w:pStyle w:val="BodyText"/>
      </w:pPr>
      <w:r>
        <w:rPr>
          <w:b/>
          <w:bCs/>
        </w:rPr>
        <w:t>Exclusions.</w:t>
      </w:r>
      <w:r>
        <w:t xml:space="preserve"> Duplicates, non-English reviews, reviews with fewer than 10 words in both fields, and any review I collected before in-</w:t>
      </w:r>
      <w:proofErr w:type="gramStart"/>
      <w:r>
        <w:t>principle</w:t>
      </w:r>
      <w:proofErr w:type="gramEnd"/>
      <w:r>
        <w:t xml:space="preserve"> acceptance (matched by identifier).</w:t>
      </w:r>
    </w:p>
    <w:p w14:paraId="3582975E" w14:textId="77777777" w:rsidR="00755693" w:rsidRDefault="00755693" w:rsidP="00755693">
      <w:pPr>
        <w:pStyle w:val="BodyText"/>
      </w:pPr>
      <w:r>
        <w:rPr>
          <w:b/>
          <w:bCs/>
        </w:rPr>
        <w:t>Usages.</w:t>
      </w:r>
      <w:r>
        <w:t xml:space="preserve"> A usage is a sentence from the pros or cons field that contains the term, plus the adjacent sentence (or the whole field if there is none). For H1, I sample up to </w:t>
      </w:r>
      <w:r w:rsidRPr="006E158E">
        <w:rPr>
          <w:rStyle w:val="Strong"/>
          <w:b w:val="0"/>
          <w:bCs w:val="0"/>
        </w:rPr>
        <w:t>100</w:t>
      </w:r>
      <w:r w:rsidRPr="006E158E">
        <w:t xml:space="preserve"> usages per term × year × industry group, applying the same cap to </w:t>
      </w:r>
      <w:r w:rsidRPr="006E158E">
        <w:rPr>
          <w:rStyle w:val="Emphasis"/>
        </w:rPr>
        <w:t>burnout</w:t>
      </w:r>
      <w:r w:rsidRPr="006E158E">
        <w:t xml:space="preserve"> so that focal and control drift are estimated with comparable precision; all </w:t>
      </w:r>
      <w:r w:rsidRPr="006E158E">
        <w:rPr>
          <w:rStyle w:val="Emphasis"/>
        </w:rPr>
        <w:t>burnout</w:t>
      </w:r>
      <w:r w:rsidRPr="006E158E">
        <w:t xml:space="preserve"> usages are used for H2 and H3. A cell with fewer than </w:t>
      </w:r>
      <w:r w:rsidRPr="006E158E">
        <w:rPr>
          <w:rStyle w:val="Strong"/>
          <w:b w:val="0"/>
          <w:bCs w:val="0"/>
        </w:rPr>
        <w:t>20</w:t>
      </w:r>
      <w:r w:rsidRPr="006E158E">
        <w:t xml:space="preserve"> usages is merged into a 2-year bin (the minimum-frequency rule); a 2-year bin that still has fewer than 20 is dropped for that term. A control term enters the pool only if it has at least </w:t>
      </w:r>
      <w:r w:rsidRPr="006E158E">
        <w:rPr>
          <w:rStyle w:val="Strong"/>
          <w:b w:val="0"/>
          <w:bCs w:val="0"/>
        </w:rPr>
        <w:t>200</w:t>
      </w:r>
      <w:r w:rsidRPr="006E158E">
        <w:t xml:space="preserve"> usages in each compared period</w:t>
      </w:r>
      <w:r>
        <w:t>. Field is always a covariate. Dates, firm names, and other metadata are stripped before any model sees the text.</w:t>
      </w:r>
    </w:p>
    <w:p w14:paraId="6DF5C4FE" w14:textId="4A5D50ED" w:rsidR="00755693" w:rsidRPr="00C541E3" w:rsidRDefault="00755693" w:rsidP="00C541E3">
      <w:pPr>
        <w:pStyle w:val="Heading4"/>
        <w:spacing w:line="480" w:lineRule="auto"/>
        <w:jc w:val="center"/>
        <w:rPr>
          <w:rFonts w:ascii="Times New Roman" w:hAnsi="Times New Roman" w:cs="Times New Roman"/>
          <w:b/>
          <w:bCs/>
          <w:i w:val="0"/>
          <w:iCs w:val="0"/>
          <w:color w:val="000000" w:themeColor="text1"/>
        </w:rPr>
      </w:pPr>
      <w:r w:rsidRPr="00C541E3">
        <w:rPr>
          <w:rFonts w:ascii="Times New Roman" w:hAnsi="Times New Roman" w:cs="Times New Roman"/>
          <w:b/>
          <w:bCs/>
          <w:i w:val="0"/>
          <w:iCs w:val="0"/>
          <w:color w:val="000000" w:themeColor="text1"/>
        </w:rPr>
        <w:lastRenderedPageBreak/>
        <w:t>Supplemental material</w:t>
      </w:r>
      <w:r w:rsidR="00AF34EA">
        <w:rPr>
          <w:rFonts w:ascii="Times New Roman" w:hAnsi="Times New Roman" w:cs="Times New Roman"/>
          <w:b/>
          <w:bCs/>
          <w:i w:val="0"/>
          <w:iCs w:val="0"/>
          <w:color w:val="000000" w:themeColor="text1"/>
        </w:rPr>
        <w:t xml:space="preserve"> </w:t>
      </w:r>
      <w:r w:rsidRPr="00C541E3">
        <w:rPr>
          <w:rFonts w:ascii="Times New Roman" w:hAnsi="Times New Roman" w:cs="Times New Roman"/>
          <w:b/>
          <w:bCs/>
          <w:i w:val="0"/>
          <w:iCs w:val="0"/>
          <w:color w:val="000000" w:themeColor="text1"/>
        </w:rPr>
        <w:t>2 Terms</w:t>
      </w:r>
    </w:p>
    <w:p w14:paraId="089327EF" w14:textId="77777777" w:rsidR="00755693" w:rsidRDefault="00755693" w:rsidP="00C541E3">
      <w:pPr>
        <w:pStyle w:val="FirstParagraph"/>
      </w:pPr>
      <w:r>
        <w:rPr>
          <w:b/>
          <w:bCs/>
        </w:rPr>
        <w:t>Focal Term.</w:t>
      </w:r>
      <w:r>
        <w:t xml:space="preserve"> </w:t>
      </w:r>
      <w:r>
        <w:rPr>
          <w:i/>
          <w:iCs/>
        </w:rPr>
        <w:t>burnout</w:t>
      </w:r>
      <w:r>
        <w:t xml:space="preserve">, with </w:t>
      </w:r>
      <w:r>
        <w:rPr>
          <w:i/>
          <w:iCs/>
        </w:rPr>
        <w:t>burn-out</w:t>
      </w:r>
      <w:r>
        <w:t xml:space="preserve">, </w:t>
      </w:r>
      <w:r>
        <w:rPr>
          <w:i/>
          <w:iCs/>
        </w:rPr>
        <w:t>burned out</w:t>
      </w:r>
      <w:r>
        <w:t xml:space="preserve">, and </w:t>
      </w:r>
      <w:r>
        <w:rPr>
          <w:i/>
          <w:iCs/>
        </w:rPr>
        <w:t>burnt out</w:t>
      </w:r>
      <w:r>
        <w:t xml:space="preserve"> normalized to it.</w:t>
      </w:r>
    </w:p>
    <w:p w14:paraId="106F9F45" w14:textId="77777777" w:rsidR="00755693" w:rsidRDefault="00755693" w:rsidP="00755693">
      <w:pPr>
        <w:pStyle w:val="BodyText"/>
      </w:pPr>
      <w:r>
        <w:rPr>
          <w:b/>
          <w:bCs/>
        </w:rPr>
        <w:t>Control Terms.</w:t>
      </w:r>
      <w:r>
        <w:t xml:space="preserve"> The 96 candidate terms were fixed before any </w:t>
      </w:r>
      <w:proofErr w:type="gramStart"/>
      <w:r>
        <w:t>pilot</w:t>
      </w:r>
      <w:proofErr w:type="gramEnd"/>
      <w:r>
        <w:t xml:space="preserve"> or Glassdoor data were examined. Candidates name a recurring topic of employee reviews, have concreteness within ±0.75 of </w:t>
      </w:r>
      <w:r>
        <w:rPr>
          <w:i/>
          <w:iCs/>
        </w:rPr>
        <w:t>burnout</w:t>
      </w:r>
      <w:r>
        <w:t xml:space="preserve">’s (1.69–3.19; Brysbaert et al., 2014) and at most six WordNet noun senses (Fellbaum, 1998), and had no identifiable shift in use in 2020–2022. Terms with an expected 2020 shift (e.g., </w:t>
      </w:r>
      <w:r>
        <w:rPr>
          <w:i/>
          <w:iCs/>
        </w:rPr>
        <w:t>flexibility</w:t>
      </w:r>
      <w:r>
        <w:t xml:space="preserve">, </w:t>
      </w:r>
      <w:r>
        <w:rPr>
          <w:i/>
          <w:iCs/>
        </w:rPr>
        <w:t>office</w:t>
      </w:r>
      <w:r>
        <w:t xml:space="preserve">, </w:t>
      </w:r>
      <w:r>
        <w:rPr>
          <w:i/>
          <w:iCs/>
        </w:rPr>
        <w:t>commute</w:t>
      </w:r>
      <w:r>
        <w:t xml:space="preserve">, </w:t>
      </w:r>
      <w:r>
        <w:rPr>
          <w:i/>
          <w:iCs/>
        </w:rPr>
        <w:t>hybrid</w:t>
      </w:r>
      <w:r>
        <w:t xml:space="preserve">, </w:t>
      </w:r>
      <w:r>
        <w:rPr>
          <w:i/>
          <w:iCs/>
        </w:rPr>
        <w:t>meeting</w:t>
      </w:r>
      <w:r>
        <w:t xml:space="preserve">, </w:t>
      </w:r>
      <w:r>
        <w:rPr>
          <w:i/>
          <w:iCs/>
        </w:rPr>
        <w:t>collaboration</w:t>
      </w:r>
      <w:r>
        <w:t xml:space="preserve">) were excluded a priori. The final set is every candidate that, in the independent pilot corpus (never in Glassdoor), (a) has at least 100 usages per year, (b) has a log10 frequency within ±1 of </w:t>
      </w:r>
      <w:r>
        <w:rPr>
          <w:i/>
          <w:iCs/>
        </w:rPr>
        <w:t>burnout</w:t>
      </w:r>
      <w:r>
        <w:t>’s, and (c) passes the remote-work screen: a term is excluded if the share of its usages whose context contains a remote-work word (</w:t>
      </w:r>
      <w:r>
        <w:rPr>
          <w:i/>
          <w:iCs/>
        </w:rPr>
        <w:t>remote</w:t>
      </w:r>
      <w:r>
        <w:t xml:space="preserve">, </w:t>
      </w:r>
      <w:r>
        <w:rPr>
          <w:i/>
          <w:iCs/>
        </w:rPr>
        <w:t>WFH</w:t>
      </w:r>
      <w:r>
        <w:t xml:space="preserve">, </w:t>
      </w:r>
      <w:r>
        <w:rPr>
          <w:i/>
          <w:iCs/>
        </w:rPr>
        <w:t>Zoom</w:t>
      </w:r>
      <w:r>
        <w:t xml:space="preserve">, </w:t>
      </w:r>
      <w:r>
        <w:rPr>
          <w:i/>
          <w:iCs/>
        </w:rPr>
        <w:t>virtual</w:t>
      </w:r>
      <w:r>
        <w:t xml:space="preserve">, </w:t>
      </w:r>
      <w:r>
        <w:rPr>
          <w:i/>
          <w:iCs/>
        </w:rPr>
        <w:t>pandemic</w:t>
      </w:r>
      <w:r>
        <w:t xml:space="preserve">, </w:t>
      </w:r>
      <w:r>
        <w:rPr>
          <w:i/>
          <w:iCs/>
        </w:rPr>
        <w:t>COVID</w:t>
      </w:r>
      <w:r>
        <w:t xml:space="preserve">, </w:t>
      </w:r>
      <w:r>
        <w:rPr>
          <w:i/>
          <w:iCs/>
        </w:rPr>
        <w:t>hybrid</w:t>
      </w:r>
      <w:r>
        <w:t xml:space="preserve">, </w:t>
      </w:r>
      <w:r>
        <w:rPr>
          <w:i/>
          <w:iCs/>
        </w:rPr>
        <w:t>home</w:t>
      </w:r>
      <w:r>
        <w:t xml:space="preserve">) at least doubles and rises by at least 1 percentage point from 2019 to 2021. If fewer than </w:t>
      </w:r>
      <w:r w:rsidRPr="00E82A7D">
        <w:rPr>
          <w:rStyle w:val="Strong"/>
          <w:b w:val="0"/>
          <w:bCs w:val="0"/>
        </w:rPr>
        <w:t>40</w:t>
      </w:r>
      <w:r>
        <w:t xml:space="preserve"> terms remain, criterion (b) is widened to ±1.5 and (c) is reapplied; if fewer than </w:t>
      </w:r>
      <w:r w:rsidRPr="00E82A7D">
        <w:rPr>
          <w:rStyle w:val="Strong"/>
          <w:b w:val="0"/>
          <w:bCs w:val="0"/>
        </w:rPr>
        <w:t>20</w:t>
      </w:r>
      <w:r>
        <w:t xml:space="preserve"> remain after widening, H1 is reported descriptively. The number of terms removed at each step is reported.</w:t>
      </w:r>
    </w:p>
    <w:p w14:paraId="253DCA52" w14:textId="77777777" w:rsidR="00755693" w:rsidRDefault="00755693" w:rsidP="00755693">
      <w:pPr>
        <w:pStyle w:val="BodyText"/>
      </w:pPr>
      <w:r>
        <w:rPr>
          <w:b/>
          <w:bCs/>
        </w:rPr>
        <w:t>Positive Controls.</w:t>
      </w:r>
      <w:r>
        <w:t xml:space="preserve"> </w:t>
      </w:r>
      <w:r>
        <w:rPr>
          <w:i/>
          <w:iCs/>
        </w:rPr>
        <w:t>remote</w:t>
      </w:r>
      <w:r>
        <w:t xml:space="preserve"> and </w:t>
      </w:r>
      <w:r>
        <w:rPr>
          <w:i/>
          <w:iCs/>
        </w:rPr>
        <w:t>essential</w:t>
      </w:r>
      <w:r>
        <w:t>, which changed for known reasons in 2020.</w:t>
      </w:r>
    </w:p>
    <w:p w14:paraId="4E8784BA" w14:textId="77777777" w:rsidR="00755693" w:rsidRDefault="00755693" w:rsidP="00755693">
      <w:pPr>
        <w:pStyle w:val="BodyText"/>
      </w:pPr>
      <w:r>
        <w:rPr>
          <w:b/>
          <w:bCs/>
        </w:rPr>
        <w:t>Out of Scope.</w:t>
      </w:r>
      <w:r>
        <w:t xml:space="preserve"> </w:t>
      </w:r>
      <w:r>
        <w:rPr>
          <w:i/>
          <w:iCs/>
        </w:rPr>
        <w:t>Work–life balance</w:t>
      </w:r>
      <w:r>
        <w:t xml:space="preserve">, </w:t>
      </w:r>
      <w:r>
        <w:rPr>
          <w:i/>
          <w:iCs/>
        </w:rPr>
        <w:t>toxic</w:t>
      </w:r>
      <w:r>
        <w:t xml:space="preserve">, and </w:t>
      </w:r>
      <w:r>
        <w:rPr>
          <w:i/>
          <w:iCs/>
        </w:rPr>
        <w:t>stress</w:t>
      </w:r>
      <w:r>
        <w:t>.</w:t>
      </w:r>
    </w:p>
    <w:p w14:paraId="7F2B7027" w14:textId="77777777" w:rsidR="00C541E3" w:rsidRDefault="00C541E3">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3FFBC4B6" w14:textId="3AE04FAC" w:rsidR="00755693" w:rsidRPr="00C541E3" w:rsidRDefault="00755693" w:rsidP="00C541E3">
      <w:pPr>
        <w:pStyle w:val="Heading4"/>
        <w:spacing w:line="480" w:lineRule="auto"/>
        <w:jc w:val="center"/>
        <w:rPr>
          <w:rFonts w:ascii="Times New Roman" w:hAnsi="Times New Roman" w:cs="Times New Roman"/>
          <w:b/>
          <w:bCs/>
          <w:i w:val="0"/>
          <w:iCs w:val="0"/>
          <w:color w:val="000000" w:themeColor="text1"/>
        </w:rPr>
      </w:pPr>
      <w:r w:rsidRPr="00C541E3">
        <w:rPr>
          <w:rFonts w:ascii="Times New Roman" w:hAnsi="Times New Roman" w:cs="Times New Roman"/>
          <w:b/>
          <w:bCs/>
          <w:i w:val="0"/>
          <w:iCs w:val="0"/>
          <w:color w:val="000000" w:themeColor="text1"/>
        </w:rPr>
        <w:lastRenderedPageBreak/>
        <w:t>Supplemental material</w:t>
      </w:r>
      <w:r w:rsidR="00AF34EA">
        <w:rPr>
          <w:rFonts w:ascii="Times New Roman" w:hAnsi="Times New Roman" w:cs="Times New Roman"/>
          <w:b/>
          <w:bCs/>
          <w:i w:val="0"/>
          <w:iCs w:val="0"/>
          <w:color w:val="000000" w:themeColor="text1"/>
        </w:rPr>
        <w:t xml:space="preserve"> </w:t>
      </w:r>
      <w:r w:rsidRPr="00C541E3">
        <w:rPr>
          <w:rFonts w:ascii="Times New Roman" w:hAnsi="Times New Roman" w:cs="Times New Roman"/>
          <w:b/>
          <w:bCs/>
          <w:i w:val="0"/>
          <w:iCs w:val="0"/>
          <w:color w:val="000000" w:themeColor="text1"/>
        </w:rPr>
        <w:t>3 Language Model and Usage Drift (H1)</w:t>
      </w:r>
    </w:p>
    <w:p w14:paraId="38B65E99" w14:textId="77777777" w:rsidR="00755693" w:rsidRDefault="00755693" w:rsidP="00C541E3">
      <w:pPr>
        <w:pStyle w:val="FirstParagraph"/>
      </w:pPr>
      <w:r>
        <w:rPr>
          <w:b/>
          <w:bCs/>
        </w:rPr>
        <w:t>Candidate Models and Selection.</w:t>
      </w:r>
      <w:r>
        <w:t xml:space="preserve"> Three open-weight models, pinned by commit hash: bert-base-uncased, roberta-large, and Qwen3-Embedding-0.6B. Pilot drift validation requires a Spearman correlation of APD with SemEval-2020 English graded change of ρ ≥ .40 (as amended; Supplemental material7). Pilot classifier validation requires cross-fitted classification of 400 human-coded </w:t>
      </w:r>
      <w:r>
        <w:rPr>
          <w:i/>
          <w:iCs/>
        </w:rPr>
        <w:t>burnout</w:t>
      </w:r>
      <w:r>
        <w:t xml:space="preserve"> usages from public Hacker News comments with macro-F1 ≥ .70 and expected calibration error ≤ .05. Among model–layer combinations passing both validation steps, the one with the highest pilot drift-validation correlation is selected; if none passes both, H2 is not tested.</w:t>
      </w:r>
    </w:p>
    <w:p w14:paraId="4757DD50" w14:textId="77777777" w:rsidR="00755693" w:rsidRDefault="00755693" w:rsidP="00755693">
      <w:pPr>
        <w:pStyle w:val="BodyText"/>
      </w:pPr>
      <w:r>
        <w:rPr>
          <w:b/>
          <w:bCs/>
        </w:rPr>
        <w:t>Vectors and Drift.</w:t>
      </w:r>
      <w:r>
        <w:t xml:space="preserve"> Term vectors are mean-pooled over subword tokens, L2-normalized, and centered by subtracting the mean vector of a 100,000-token random sample. Drift is APD relative to 2012–2013, compared with control drift in the same period and industry, post-stratified to a fixed industry × employment-status mix, with covariates for log frequency and field. Within-period spread (excluding pairs from the same review) is reported for every term and enters only the spread-corrected robustness alternative.</w:t>
      </w:r>
    </w:p>
    <w:p w14:paraId="10D215B7" w14:textId="77777777" w:rsidR="00755693" w:rsidRDefault="00755693" w:rsidP="00755693">
      <w:pPr>
        <w:pStyle w:val="BodyText"/>
      </w:pPr>
      <w:r>
        <w:rPr>
          <w:b/>
          <w:bCs/>
        </w:rPr>
        <w:t>Static Check (C7).</w:t>
      </w:r>
      <w:r>
        <w:t xml:space="preserve"> A skip-gram model with temporal referencing is trained on the full Glassdoor corpus, with focal, control, and positive-control terms tagged by period and all other words untagged, using five seeds. Static drift is 1 minus the cosine between period-tagged vectors.</w:t>
      </w:r>
    </w:p>
    <w:p w14:paraId="38EC2264" w14:textId="77777777" w:rsidR="00C541E3" w:rsidRDefault="00C541E3">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6697C42D" w14:textId="11139FF5" w:rsidR="00755693" w:rsidRPr="00C541E3" w:rsidRDefault="00755693" w:rsidP="00C541E3">
      <w:pPr>
        <w:pStyle w:val="Heading4"/>
        <w:spacing w:line="480" w:lineRule="auto"/>
        <w:jc w:val="center"/>
        <w:rPr>
          <w:rFonts w:ascii="Times New Roman" w:hAnsi="Times New Roman" w:cs="Times New Roman"/>
          <w:b/>
          <w:bCs/>
          <w:i w:val="0"/>
          <w:iCs w:val="0"/>
          <w:color w:val="000000" w:themeColor="text1"/>
        </w:rPr>
      </w:pPr>
      <w:r w:rsidRPr="00C541E3">
        <w:rPr>
          <w:rFonts w:ascii="Times New Roman" w:hAnsi="Times New Roman" w:cs="Times New Roman"/>
          <w:b/>
          <w:bCs/>
          <w:i w:val="0"/>
          <w:iCs w:val="0"/>
          <w:color w:val="000000" w:themeColor="text1"/>
        </w:rPr>
        <w:lastRenderedPageBreak/>
        <w:t>Supplemental material4 Component Proportions (H2)</w:t>
      </w:r>
    </w:p>
    <w:p w14:paraId="674DE31D" w14:textId="77777777" w:rsidR="00755693" w:rsidRDefault="00755693" w:rsidP="00C541E3">
      <w:pPr>
        <w:pStyle w:val="FirstParagraph"/>
      </w:pPr>
      <w:r>
        <w:rPr>
          <w:b/>
          <w:bCs/>
        </w:rPr>
        <w:t>Classifier.</w:t>
      </w:r>
      <w:r>
        <w:t xml:space="preserve"> A multinomial logistic classifier maps each usage’s cosine similarities to the six category centroids (10–20 anchor sentences each, fixed before the pilot) onto human labels. K-fold cross-fitting estimates macro-F1, calibration, and Brier score.</w:t>
      </w:r>
    </w:p>
    <w:p w14:paraId="320EB789" w14:textId="77777777" w:rsidR="00755693" w:rsidRDefault="00755693" w:rsidP="00755693">
      <w:pPr>
        <w:pStyle w:val="BodyText"/>
      </w:pPr>
      <w:r>
        <w:rPr>
          <w:b/>
          <w:bCs/>
        </w:rPr>
        <w:t>Estimator.</w:t>
      </w:r>
      <w:r>
        <w:t xml:space="preserve"> For each compared period, a proportion is the mean human label over the coded usages plus λ times the difference between the mean predicted probability over all usages and over the coded usages. Coded usages are predicted by the fold model that did not see them; other usages by the average of the fold models. A single λ in [0, 1], shared across categories so that proportions sum to 1, is estimated from the data (λ = 0 gives the human-coded estimate alone); estimates are not truncated. Proportions are post-stratified to a fixed industry × employment-status × field mix, and the full vector of component changes is reported with simultaneous bootstrap intervals.</w:t>
      </w:r>
    </w:p>
    <w:p w14:paraId="79A3E11A" w14:textId="77777777" w:rsidR="00755693" w:rsidRDefault="00755693" w:rsidP="00755693">
      <w:pPr>
        <w:pStyle w:val="BodyText"/>
      </w:pPr>
      <w:r>
        <w:rPr>
          <w:b/>
          <w:bCs/>
        </w:rPr>
        <w:t>Minimum Denominator.</w:t>
      </w:r>
      <w:r>
        <w:t xml:space="preserve"> E</w:t>
      </w:r>
      <w:proofErr w:type="gramStart"/>
      <w:r>
        <w:t>/(</w:t>
      </w:r>
      <w:proofErr w:type="gramEnd"/>
      <w:r>
        <w:t>E + C + R) is interpreted only if, in both periods, at least 200 usages are estimated as canonical and its 90% interval has a half-width of 5 points or less. The canonical mass E + C + R is always reported.</w:t>
      </w:r>
    </w:p>
    <w:p w14:paraId="1EFF9696" w14:textId="77777777" w:rsidR="00755693" w:rsidRDefault="00755693" w:rsidP="00755693">
      <w:pPr>
        <w:pStyle w:val="BodyText"/>
      </w:pPr>
      <w:r>
        <w:rPr>
          <w:b/>
          <w:bCs/>
        </w:rPr>
        <w:t>Temporal Stability (C4).</w:t>
      </w:r>
      <w:r>
        <w:t xml:space="preserve"> For each H2 contrast, the error correction (mean coded minus mean predicted, on the coded usages) is compared between periods; a difference above 2.5 points is reported as classifier instability.</w:t>
      </w:r>
    </w:p>
    <w:p w14:paraId="4A231FF5" w14:textId="77777777" w:rsidR="00EC4767" w:rsidRDefault="00EC4767">
      <w:pPr>
        <w:spacing w:after="160" w:line="278" w:lineRule="auto"/>
        <w:rPr>
          <w:rFonts w:asciiTheme="minorHAnsi" w:eastAsiaTheme="majorEastAsia" w:hAnsiTheme="minorHAnsi" w:cstheme="majorBidi"/>
          <w:i/>
          <w:iCs/>
          <w:color w:val="0F4761" w:themeColor="accent1" w:themeShade="BF"/>
          <w:kern w:val="2"/>
          <w:lang w:eastAsia="zh-CN"/>
          <w14:ligatures w14:val="standardContextual"/>
        </w:rPr>
      </w:pPr>
      <w:r>
        <w:br w:type="page"/>
      </w:r>
    </w:p>
    <w:p w14:paraId="4E40C0CC" w14:textId="2EB3FDFA" w:rsidR="00755693" w:rsidRPr="00EC4767" w:rsidRDefault="00755693" w:rsidP="00EC4767">
      <w:pPr>
        <w:pStyle w:val="Heading4"/>
        <w:spacing w:line="480" w:lineRule="auto"/>
        <w:jc w:val="center"/>
        <w:rPr>
          <w:rFonts w:ascii="Times New Roman" w:hAnsi="Times New Roman" w:cs="Times New Roman"/>
          <w:b/>
          <w:bCs/>
          <w:i w:val="0"/>
          <w:iCs w:val="0"/>
          <w:color w:val="000000" w:themeColor="text1"/>
        </w:rPr>
      </w:pPr>
      <w:r w:rsidRPr="00EC4767">
        <w:rPr>
          <w:rFonts w:ascii="Times New Roman" w:hAnsi="Times New Roman" w:cs="Times New Roman"/>
          <w:b/>
          <w:bCs/>
          <w:i w:val="0"/>
          <w:iCs w:val="0"/>
          <w:color w:val="000000" w:themeColor="text1"/>
        </w:rPr>
        <w:lastRenderedPageBreak/>
        <w:t>Supplemental material5 Labeling Decomposition</w:t>
      </w:r>
    </w:p>
    <w:p w14:paraId="253136D1" w14:textId="77777777" w:rsidR="00755693" w:rsidRDefault="00755693" w:rsidP="00EC4767">
      <w:pPr>
        <w:pStyle w:val="FirstParagraph"/>
      </w:pPr>
      <w:r>
        <w:rPr>
          <w:b/>
          <w:bCs/>
        </w:rPr>
        <w:t>State Classifier.</w:t>
      </w:r>
      <w:r>
        <w:t xml:space="preserve"> It assigns sentences to the same six categories using the selected model’s mean-pooled sentence representation and a multinomial logistic layer, trained and cross-fitted on human-coded sentences. Every variant of </w:t>
      </w:r>
      <w:r>
        <w:rPr>
          <w:i/>
          <w:iCs/>
        </w:rPr>
        <w:t>burnout</w:t>
      </w:r>
      <w:r>
        <w:t xml:space="preserve"> is first replaced by a fixed placeholder. Proportions are estimated and post-stratified as in Supplemental material4, with the error correction computed separately for masked and unmasked sentences. Masked sentences that describe no state are classed as other/none and excluded from the contrasts.</w:t>
      </w:r>
    </w:p>
    <w:p w14:paraId="6C10A832" w14:textId="77777777" w:rsidR="00755693" w:rsidRDefault="00755693" w:rsidP="00755693">
      <w:pPr>
        <w:pStyle w:val="BodyText"/>
      </w:pPr>
      <w:r>
        <w:rPr>
          <w:b/>
          <w:bCs/>
        </w:rPr>
        <w:t>Rates and Contrasts.</w:t>
      </w:r>
      <w:r>
        <w:t xml:space="preserve"> πₖ,ₜ is the share of all sentences describing state </w:t>
      </w:r>
      <w:r>
        <w:rPr>
          <w:i/>
          <w:iCs/>
        </w:rPr>
        <w:t>k</w:t>
      </w:r>
      <w:r>
        <w:t xml:space="preserve"> (the base rate), and λₖ,ₜ = </w:t>
      </w:r>
      <w:proofErr w:type="gramStart"/>
      <w:r>
        <w:t>P(</w:t>
      </w:r>
      <w:proofErr w:type="gramEnd"/>
      <w:r>
        <w:rPr>
          <w:i/>
          <w:iCs/>
        </w:rPr>
        <w:t>k</w:t>
      </w:r>
      <w:r>
        <w:t xml:space="preserve"> | </w:t>
      </w:r>
      <w:r>
        <w:rPr>
          <w:i/>
          <w:iCs/>
        </w:rPr>
        <w:t>burnout</w:t>
      </w:r>
      <w:r>
        <w:t xml:space="preserve">, </w:t>
      </w:r>
      <w:r>
        <w:rPr>
          <w:i/>
          <w:iCs/>
        </w:rPr>
        <w:t>t</w:t>
      </w:r>
      <w:r>
        <w:t xml:space="preserve">) × </w:t>
      </w:r>
      <w:proofErr w:type="gramStart"/>
      <w:r>
        <w:t>P(</w:t>
      </w:r>
      <w:proofErr w:type="gramEnd"/>
      <w:r>
        <w:rPr>
          <w:i/>
          <w:iCs/>
        </w:rPr>
        <w:t>burnout</w:t>
      </w:r>
      <w:r>
        <w:t xml:space="preserve">, </w:t>
      </w:r>
      <w:r>
        <w:rPr>
          <w:i/>
          <w:iCs/>
        </w:rPr>
        <w:t>t</w:t>
      </w:r>
      <w:r>
        <w:t>) / πₖ,ₜ is the labeling rate. Narrowing compares exhaustion with cynicism plus reduced efficacy; broadening compares ordinary tiredness with the three scientific components pooled; clinical convergence compares depressive symptoms with the same pool.</w:t>
      </w:r>
    </w:p>
    <w:p w14:paraId="56116FD0" w14:textId="77777777" w:rsidR="00755693" w:rsidRDefault="00755693" w:rsidP="00755693">
      <w:pPr>
        <w:pStyle w:val="BodyText"/>
      </w:pPr>
      <w:r>
        <w:rPr>
          <w:b/>
          <w:bCs/>
        </w:rPr>
        <w:t>Description Rule.</w:t>
      </w:r>
      <w:r>
        <w:t xml:space="preserve"> A supported H2 direction is called </w:t>
      </w:r>
      <w:r>
        <w:rPr>
          <w:i/>
          <w:iCs/>
        </w:rPr>
        <w:t>semantic change</w:t>
      </w:r>
      <w:r>
        <w:t xml:space="preserve"> if the one-sided 95% lower bound of its labeling part exceeds zero and that of its experience part does not; </w:t>
      </w:r>
      <w:r>
        <w:rPr>
          <w:i/>
          <w:iCs/>
        </w:rPr>
        <w:t>described experience</w:t>
      </w:r>
      <w:r>
        <w:t xml:space="preserve"> if the experience part’s lower bound exceeds zero and the labeling part’s 90% interval includes zero; </w:t>
      </w:r>
      <w:r>
        <w:rPr>
          <w:i/>
          <w:iCs/>
        </w:rPr>
        <w:t>both</w:t>
      </w:r>
      <w:r>
        <w:t xml:space="preserve"> if both lower bounds exceed zero; and </w:t>
      </w:r>
      <w:r>
        <w:rPr>
          <w:i/>
          <w:iCs/>
        </w:rPr>
        <w:t>unresolved</w:t>
      </w:r>
      <w:r>
        <w:t xml:space="preserve"> otherwise. Both parts are always reported. Nothing is called semantic change if C5 fails. The descriptor terms for C6 (e.g., </w:t>
      </w:r>
      <w:r>
        <w:rPr>
          <w:i/>
          <w:iCs/>
        </w:rPr>
        <w:t>exhausted</w:t>
      </w:r>
      <w:r>
        <w:t xml:space="preserve">, </w:t>
      </w:r>
      <w:r>
        <w:rPr>
          <w:i/>
          <w:iCs/>
        </w:rPr>
        <w:t>tired</w:t>
      </w:r>
      <w:r>
        <w:t xml:space="preserve">, </w:t>
      </w:r>
      <w:r>
        <w:rPr>
          <w:i/>
          <w:iCs/>
        </w:rPr>
        <w:t>drained</w:t>
      </w:r>
      <w:r>
        <w:t xml:space="preserve">, </w:t>
      </w:r>
      <w:r>
        <w:rPr>
          <w:i/>
          <w:iCs/>
        </w:rPr>
        <w:t>depressed</w:t>
      </w:r>
      <w:r>
        <w:t xml:space="preserve">, </w:t>
      </w:r>
      <w:r>
        <w:rPr>
          <w:i/>
          <w:iCs/>
        </w:rPr>
        <w:t>hopeless</w:t>
      </w:r>
      <w:r>
        <w:t>) are listed in the preregistration materials.</w:t>
      </w:r>
    </w:p>
    <w:p w14:paraId="6079E291" w14:textId="77777777" w:rsidR="00EC4767" w:rsidRDefault="00EC4767">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75FB5CBF" w14:textId="3EF5C0A6" w:rsidR="00755693" w:rsidRPr="00EC4767" w:rsidRDefault="00755693" w:rsidP="00EC4767">
      <w:pPr>
        <w:pStyle w:val="Heading4"/>
        <w:spacing w:line="480" w:lineRule="auto"/>
        <w:jc w:val="center"/>
        <w:rPr>
          <w:rFonts w:ascii="Times New Roman" w:hAnsi="Times New Roman" w:cs="Times New Roman"/>
          <w:b/>
          <w:bCs/>
          <w:i w:val="0"/>
          <w:iCs w:val="0"/>
          <w:color w:val="000000" w:themeColor="text1"/>
        </w:rPr>
      </w:pPr>
      <w:r w:rsidRPr="00EC4767">
        <w:rPr>
          <w:rFonts w:ascii="Times New Roman" w:hAnsi="Times New Roman" w:cs="Times New Roman"/>
          <w:b/>
          <w:bCs/>
          <w:i w:val="0"/>
          <w:iCs w:val="0"/>
          <w:color w:val="000000" w:themeColor="text1"/>
        </w:rPr>
        <w:lastRenderedPageBreak/>
        <w:t>Supplemental material</w:t>
      </w:r>
      <w:r w:rsidR="00EC4767">
        <w:rPr>
          <w:rFonts w:ascii="Times New Roman" w:hAnsi="Times New Roman" w:cs="Times New Roman"/>
          <w:b/>
          <w:bCs/>
          <w:i w:val="0"/>
          <w:iCs w:val="0"/>
          <w:color w:val="000000" w:themeColor="text1"/>
        </w:rPr>
        <w:t xml:space="preserve"> </w:t>
      </w:r>
      <w:r w:rsidRPr="00EC4767">
        <w:rPr>
          <w:rFonts w:ascii="Times New Roman" w:hAnsi="Times New Roman" w:cs="Times New Roman"/>
          <w:b/>
          <w:bCs/>
          <w:i w:val="0"/>
          <w:iCs w:val="0"/>
          <w:color w:val="000000" w:themeColor="text1"/>
        </w:rPr>
        <w:t>6 Burnout Signal (H3)</w:t>
      </w:r>
    </w:p>
    <w:p w14:paraId="4721F197" w14:textId="77777777" w:rsidR="00755693" w:rsidRDefault="00755693" w:rsidP="00EC4767">
      <w:pPr>
        <w:pStyle w:val="FirstParagraph"/>
      </w:pPr>
      <w:r>
        <w:rPr>
          <w:b/>
          <w:bCs/>
        </w:rPr>
        <w:t>Signal.</w:t>
      </w:r>
      <w:r>
        <w:t xml:space="preserve"> A </w:t>
      </w:r>
      <w:r>
        <w:rPr>
          <w:i/>
          <w:iCs/>
        </w:rPr>
        <w:t>burnout review</w:t>
      </w:r>
      <w:r>
        <w:t xml:space="preserve"> has at least one </w:t>
      </w:r>
      <w:r>
        <w:rPr>
          <w:i/>
          <w:iCs/>
        </w:rPr>
        <w:t>burnout</w:t>
      </w:r>
      <w:r>
        <w:t xml:space="preserve"> usage in either field. For each firm-year with at least one burnout review and at least 10 other reviews, among reviews with a completed work/life balance rating, the signal is the mean rating of burnout reviews minus that of the other reviews. The period signal </w:t>
      </w:r>
      <w:r>
        <w:rPr>
          <w:i/>
          <w:iCs/>
        </w:rPr>
        <w:t>G</w:t>
      </w:r>
      <w:r>
        <w:t xml:space="preserve"> averages the firm-year signals, weighted by the number of burnout reviews and by the inverse probability of completing the subrating (C11).</w:t>
      </w:r>
    </w:p>
    <w:p w14:paraId="7C3DFE66" w14:textId="77777777" w:rsidR="00755693" w:rsidRDefault="00755693" w:rsidP="00755693">
      <w:pPr>
        <w:pStyle w:val="BodyText"/>
      </w:pPr>
      <w:r>
        <w:rPr>
          <w:b/>
          <w:bCs/>
        </w:rPr>
        <w:t>Rating Gaps and Estimand.</w:t>
      </w:r>
      <w:r>
        <w:t xml:space="preserve"> In 2012–2015, each burnout review’s gap is regressed, without an intercept, on its component probabilities averaged across its usages; the resulting </w:t>
      </w:r>
      <w:r>
        <w:rPr>
          <w:i/>
          <w:iCs/>
        </w:rPr>
        <w:t>g</w:t>
      </w:r>
      <w:r>
        <w:t xml:space="preserve">ₖ are frozen. </w:t>
      </w:r>
      <w:r>
        <w:rPr>
          <w:i/>
          <w:iCs/>
        </w:rPr>
        <w:t>C</w:t>
      </w:r>
      <w:r>
        <w:t xml:space="preserve"> uses the corrected proportions from Supplemental material4. A negligible verdict also requires that </w:t>
      </w:r>
      <w:r>
        <w:rPr>
          <w:i/>
          <w:iCs/>
        </w:rPr>
        <w:t>g</w:t>
      </w:r>
      <w:r>
        <w:t>ₖ estimated from human-coded usages alone reach the same decision. The placebo (C9) applies the same procedure to the career-opportunities subrating.</w:t>
      </w:r>
    </w:p>
    <w:p w14:paraId="597B94F7" w14:textId="77777777" w:rsidR="00AF34EA" w:rsidRDefault="00AF34EA">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7155995F" w14:textId="070B59AA" w:rsidR="00755693" w:rsidRPr="00AF34EA" w:rsidRDefault="00755693" w:rsidP="00AF34EA">
      <w:pPr>
        <w:pStyle w:val="Heading4"/>
        <w:spacing w:line="480" w:lineRule="auto"/>
        <w:jc w:val="center"/>
        <w:rPr>
          <w:rFonts w:ascii="Times New Roman" w:hAnsi="Times New Roman" w:cs="Times New Roman"/>
          <w:b/>
          <w:bCs/>
          <w:i w:val="0"/>
          <w:iCs w:val="0"/>
          <w:color w:val="000000" w:themeColor="text1"/>
        </w:rPr>
      </w:pPr>
      <w:r w:rsidRPr="00AF34EA">
        <w:rPr>
          <w:rFonts w:ascii="Times New Roman" w:hAnsi="Times New Roman" w:cs="Times New Roman"/>
          <w:b/>
          <w:bCs/>
          <w:i w:val="0"/>
          <w:iCs w:val="0"/>
          <w:color w:val="000000" w:themeColor="text1"/>
        </w:rPr>
        <w:lastRenderedPageBreak/>
        <w:t>Supplemental material</w:t>
      </w:r>
      <w:r w:rsidR="00AF34EA">
        <w:rPr>
          <w:rFonts w:ascii="Times New Roman" w:hAnsi="Times New Roman" w:cs="Times New Roman"/>
          <w:b/>
          <w:bCs/>
          <w:i w:val="0"/>
          <w:iCs w:val="0"/>
          <w:color w:val="000000" w:themeColor="text1"/>
        </w:rPr>
        <w:t xml:space="preserve"> </w:t>
      </w:r>
      <w:r w:rsidRPr="00AF34EA">
        <w:rPr>
          <w:rFonts w:ascii="Times New Roman" w:hAnsi="Times New Roman" w:cs="Times New Roman"/>
          <w:b/>
          <w:bCs/>
          <w:i w:val="0"/>
          <w:iCs w:val="0"/>
          <w:color w:val="000000" w:themeColor="text1"/>
        </w:rPr>
        <w:t>7 Human Coding and Pilot</w:t>
      </w:r>
    </w:p>
    <w:p w14:paraId="7BE9B730" w14:textId="77777777" w:rsidR="00755693" w:rsidRDefault="00755693" w:rsidP="00AF34EA">
      <w:pPr>
        <w:pStyle w:val="FirstParagraph"/>
      </w:pPr>
      <w:r>
        <w:rPr>
          <w:b/>
          <w:bCs/>
        </w:rPr>
        <w:t>Coding.</w:t>
      </w:r>
      <w:r>
        <w:t xml:space="preserve"> Coders blind to period label (a) a year-stratified sample of </w:t>
      </w:r>
      <w:r>
        <w:rPr>
          <w:i/>
          <w:iCs/>
        </w:rPr>
        <w:t>burnout</w:t>
      </w:r>
      <w:r>
        <w:t xml:space="preserve"> usages, with each compared period’s coded set a simple random sample of its usages, and (b) a year-stratified sample of masked </w:t>
      </w:r>
      <w:r>
        <w:rPr>
          <w:i/>
          <w:iCs/>
        </w:rPr>
        <w:t>burnout</w:t>
      </w:r>
      <w:r>
        <w:t xml:space="preserve"> sentences and other sentences, by the state each describes. Krippendorff’s α ≥ .667 is required before classifiers are evaluated; </w:t>
      </w:r>
      <w:proofErr w:type="gramStart"/>
      <w:r>
        <w:t>otherwise</w:t>
      </w:r>
      <w:proofErr w:type="gramEnd"/>
      <w:r>
        <w:t xml:space="preserve"> coders are retrained and a new sample is coded. The coding guide separates exhaustion from ordinary tiredness by chronicity, attribution to work, and impaired functioning; if α for this distinction (computed on usages either coder placed in one of the two) falls below .667, the two are merged and narrowing and broadening are reported jointly.</w:t>
      </w:r>
    </w:p>
    <w:p w14:paraId="50259902" w14:textId="77777777" w:rsidR="00755693" w:rsidRDefault="00755693" w:rsidP="00755693">
      <w:pPr>
        <w:pStyle w:val="BodyText"/>
      </w:pPr>
      <w:r>
        <w:rPr>
          <w:b/>
          <w:bCs/>
        </w:rPr>
        <w:t>Pilot Lock and Anchor Check.</w:t>
      </w:r>
      <w:r>
        <w:t xml:space="preserve"> The taxonomy, anchors, coding guide, candidate models, validation thresholds, and selection rule were registered on October 14, 2026 [GitHub release; Zenodo DOI], before any pilot data were seen. Two experts sorted all 60 anchors: 118 of 120 placements (98.3%) matched the intended component (α = .96). Two exhaustion anchors (“a recipe for burnout,” “expect burnout”) fell below the 80% rule and were rewritten as described states.</w:t>
      </w:r>
    </w:p>
    <w:p w14:paraId="4D6BC335" w14:textId="77777777" w:rsidR="00755693" w:rsidRDefault="00755693" w:rsidP="00755693">
      <w:pPr>
        <w:pStyle w:val="BodyText"/>
      </w:pPr>
      <w:r>
        <w:rPr>
          <w:b/>
          <w:bCs/>
        </w:rPr>
        <w:t>Pilot Drift Validation (Completed).</w:t>
      </w:r>
      <w:r>
        <w:t xml:space="preserve"> For the 37 SemEval-2020 English targets (up to 200 usages per period), Spearman correlations with gold graded change were computed for every layer of each candidate. On the registered spread-corrected measure, no model–layer combination reached ρ = .40 (best layers: bert-base-uncased .27, layer 9; roberta-large .28, layer 24; Qwen3-Embedding-0.6B .27, layer 21). APD reached .40 in 56 of 64 layers (best layers: bert-base-uncased .64, layer 9; roberta-large .68, layer 21; Qwen3-Embedding-0.6B .60, layer 11). </w:t>
      </w:r>
    </w:p>
    <w:p w14:paraId="3A2CAE28" w14:textId="77777777" w:rsidR="00755693" w:rsidRDefault="00755693" w:rsidP="00755693">
      <w:pPr>
        <w:pStyle w:val="BodyText"/>
      </w:pPr>
      <w:r>
        <w:rPr>
          <w:b/>
          <w:bCs/>
        </w:rPr>
        <w:lastRenderedPageBreak/>
        <w:t>Pilot Classifier Validation (Before Collection).</w:t>
      </w:r>
      <w:r>
        <w:t xml:space="preserve"> A total of 400 year-stratified </w:t>
      </w:r>
      <w:r>
        <w:rPr>
          <w:i/>
          <w:iCs/>
        </w:rPr>
        <w:t>burnout</w:t>
      </w:r>
      <w:r>
        <w:t xml:space="preserve"> usages from public Hacker News comments (2012–2022) are coded independently by two coders. Pilot classifier validation and model selection are completed, and the results, coder agreement, and selected model reported to the handling editor, before any Glassdoor data are collected. A component that proves unmeasurable is reported, not dropped or redefined.</w:t>
      </w:r>
    </w:p>
    <w:p w14:paraId="7FC8A149" w14:textId="77777777" w:rsidR="00AF34EA" w:rsidRDefault="00AF34EA">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5F220F91" w14:textId="6A8D9DD1" w:rsidR="00755693" w:rsidRPr="00AF34EA" w:rsidRDefault="00755693" w:rsidP="00AF34EA">
      <w:pPr>
        <w:pStyle w:val="Heading4"/>
        <w:spacing w:line="480" w:lineRule="auto"/>
        <w:jc w:val="center"/>
        <w:rPr>
          <w:rFonts w:ascii="Times New Roman" w:hAnsi="Times New Roman" w:cs="Times New Roman"/>
          <w:b/>
          <w:bCs/>
          <w:i w:val="0"/>
          <w:iCs w:val="0"/>
          <w:color w:val="000000" w:themeColor="text1"/>
        </w:rPr>
      </w:pPr>
      <w:r w:rsidRPr="00AF34EA">
        <w:rPr>
          <w:rFonts w:ascii="Times New Roman" w:hAnsi="Times New Roman" w:cs="Times New Roman"/>
          <w:b/>
          <w:bCs/>
          <w:i w:val="0"/>
          <w:iCs w:val="0"/>
          <w:color w:val="000000" w:themeColor="text1"/>
        </w:rPr>
        <w:lastRenderedPageBreak/>
        <w:t>Supplemental material</w:t>
      </w:r>
      <w:r w:rsidR="00AF34EA">
        <w:rPr>
          <w:rFonts w:ascii="Times New Roman" w:hAnsi="Times New Roman" w:cs="Times New Roman"/>
          <w:b/>
          <w:bCs/>
          <w:i w:val="0"/>
          <w:iCs w:val="0"/>
          <w:color w:val="000000" w:themeColor="text1"/>
        </w:rPr>
        <w:t xml:space="preserve"> </w:t>
      </w:r>
      <w:r w:rsidRPr="00AF34EA">
        <w:rPr>
          <w:rFonts w:ascii="Times New Roman" w:hAnsi="Times New Roman" w:cs="Times New Roman"/>
          <w:b/>
          <w:bCs/>
          <w:i w:val="0"/>
          <w:iCs w:val="0"/>
          <w:color w:val="000000" w:themeColor="text1"/>
        </w:rPr>
        <w:t>8 Sample Size Planning</w:t>
      </w:r>
    </w:p>
    <w:p w14:paraId="38BC221D" w14:textId="1094920F" w:rsidR="00755693" w:rsidRDefault="00755693" w:rsidP="00AF34EA">
      <w:pPr>
        <w:pStyle w:val="FirstParagraph"/>
      </w:pPr>
      <w:r>
        <w:t>The simulation reproduces the H2 analysis: firm-clustered usages, classifier predictions, a human-coded simple random sample per period, cross-prediction-powered estimation (Supplemental material4), and the Supplemental material</w:t>
      </w:r>
      <w:r w:rsidR="00EC4767">
        <w:t xml:space="preserve"> </w:t>
      </w:r>
      <w:r>
        <w:t>9 bootstrap. It assumes 2012–2013 shares of .35 exhaustion, .10 cynicism, .05 reduced efficacy, .05 depressive symptoms, .20 ordinary tiredness, and .25 other/none; true changes of 10 points for directional tests and 0 for stability; a classifier with recall .755 in every category (macro-F1 = .70, the pilot classifier-validation minimum), using hard predictions; firm-level ICCs of .05 and .20 with 10 usages per firm per period; and one-sided tests at Holm’s first-step α (.05/3), with 200 replicates and 300 bootstrap draws (Table S1).</w:t>
      </w:r>
    </w:p>
    <w:p w14:paraId="247596B7" w14:textId="77777777" w:rsidR="00755693" w:rsidRDefault="00755693" w:rsidP="00755693">
      <w:pPr>
        <w:pStyle w:val="BodyText"/>
      </w:pPr>
      <w:r>
        <w:rPr>
          <w:b/>
          <w:bCs/>
        </w:rPr>
        <w:t>Targets.</w:t>
      </w:r>
      <w:r>
        <w:t xml:space="preserve"> 10,000 </w:t>
      </w:r>
      <w:r>
        <w:rPr>
          <w:i/>
          <w:iCs/>
        </w:rPr>
        <w:t>burnout</w:t>
      </w:r>
      <w:r>
        <w:t xml:space="preserve"> usages per compared period from at least 500 firms; 2,000 human-coded usages per compared period; 200 usages per control term per period.</w:t>
      </w:r>
    </w:p>
    <w:p w14:paraId="4E23BEB3" w14:textId="77777777" w:rsidR="00755693" w:rsidRDefault="00755693" w:rsidP="00755693">
      <w:pPr>
        <w:pStyle w:val="BodyText"/>
      </w:pPr>
      <w:r>
        <w:rPr>
          <w:b/>
          <w:bCs/>
        </w:rPr>
        <w:t>Pre-Collection Update.</w:t>
      </w:r>
      <w:r>
        <w:t xml:space="preserve"> The simulation is rerun with the selected model’s pilot confusion matrix and pilot category shares. The coded sample is then set, in steps of 500 between 1,000 and 3,000 per period, at the smallest size giving power ≥ .90 for broadening and convergence and ≥ .80 for stability at ICC = .20; corpus targets are not reduced. The same run checks H1, the decomposition (target: an 80% probability that the labeling part’s lower bound exceeds zero when a 10-point change comes entirely from labeling), and H3 (secondary if power at a true effect of 2δ is below 80%). C2 uses 1,000 permutations per term.</w:t>
      </w:r>
    </w:p>
    <w:p w14:paraId="4C57B929" w14:textId="77777777" w:rsidR="00755693" w:rsidRDefault="00755693" w:rsidP="00755693">
      <w:pPr>
        <w:pStyle w:val="BodyText"/>
        <w:keepNext/>
        <w:ind w:firstLine="0"/>
      </w:pPr>
      <w:r>
        <w:rPr>
          <w:b/>
          <w:bCs/>
        </w:rPr>
        <w:lastRenderedPageBreak/>
        <w:t>Table S1</w:t>
      </w:r>
      <w:r>
        <w:rPr>
          <w:b/>
          <w:bCs/>
        </w:rPr>
        <w:br/>
      </w:r>
      <w:r>
        <w:rPr>
          <w:i/>
          <w:iCs/>
        </w:rPr>
        <w:t>Simulated Power for H2 With 10,000 Usages per Compared Period and a Classifier at the Pilot Classifier-Validation Minimum</w:t>
      </w:r>
    </w:p>
    <w:tbl>
      <w:tblPr>
        <w:tblStyle w:val="Table"/>
        <w:tblW w:w="5000" w:type="pct"/>
        <w:tblLook w:val="0020" w:firstRow="1" w:lastRow="0" w:firstColumn="0" w:lastColumn="0" w:noHBand="0" w:noVBand="0"/>
      </w:tblPr>
      <w:tblGrid>
        <w:gridCol w:w="1880"/>
        <w:gridCol w:w="1870"/>
        <w:gridCol w:w="1870"/>
        <w:gridCol w:w="1870"/>
        <w:gridCol w:w="1870"/>
      </w:tblGrid>
      <w:tr w:rsidR="00755693" w14:paraId="19DCECE7" w14:textId="77777777" w:rsidTr="00204D8F">
        <w:trPr>
          <w:cnfStyle w:val="100000000000" w:firstRow="1" w:lastRow="0" w:firstColumn="0" w:lastColumn="0" w:oddVBand="0" w:evenVBand="0" w:oddHBand="0" w:evenHBand="0" w:firstRowFirstColumn="0" w:firstRowLastColumn="0" w:lastRowFirstColumn="0" w:lastRowLastColumn="0"/>
          <w:tblHeader/>
        </w:trPr>
        <w:tc>
          <w:tcPr>
            <w:tcW w:w="0" w:type="auto"/>
          </w:tcPr>
          <w:p w14:paraId="5C673575" w14:textId="77777777" w:rsidR="00755693" w:rsidRDefault="00755693" w:rsidP="00204D8F">
            <w:pPr>
              <w:pStyle w:val="Compact"/>
            </w:pPr>
            <w:r>
              <w:t>Test</w:t>
            </w:r>
          </w:p>
        </w:tc>
        <w:tc>
          <w:tcPr>
            <w:tcW w:w="0" w:type="auto"/>
          </w:tcPr>
          <w:p w14:paraId="7E7AA1FE" w14:textId="77777777" w:rsidR="00755693" w:rsidRDefault="00755693" w:rsidP="00204D8F">
            <w:pPr>
              <w:pStyle w:val="Compact"/>
            </w:pPr>
            <w:r>
              <w:t>ICC .05, 1,000 coded</w:t>
            </w:r>
          </w:p>
        </w:tc>
        <w:tc>
          <w:tcPr>
            <w:tcW w:w="0" w:type="auto"/>
          </w:tcPr>
          <w:p w14:paraId="41A57AF8" w14:textId="77777777" w:rsidR="00755693" w:rsidRDefault="00755693" w:rsidP="00204D8F">
            <w:pPr>
              <w:pStyle w:val="Compact"/>
            </w:pPr>
            <w:r>
              <w:t>ICC .05, 2,000 coded</w:t>
            </w:r>
          </w:p>
        </w:tc>
        <w:tc>
          <w:tcPr>
            <w:tcW w:w="0" w:type="auto"/>
          </w:tcPr>
          <w:p w14:paraId="046B52F1" w14:textId="77777777" w:rsidR="00755693" w:rsidRDefault="00755693" w:rsidP="00204D8F">
            <w:pPr>
              <w:pStyle w:val="Compact"/>
            </w:pPr>
            <w:r>
              <w:t>ICC .20, 1,000 coded</w:t>
            </w:r>
          </w:p>
        </w:tc>
        <w:tc>
          <w:tcPr>
            <w:tcW w:w="0" w:type="auto"/>
          </w:tcPr>
          <w:p w14:paraId="245988AC" w14:textId="77777777" w:rsidR="00755693" w:rsidRDefault="00755693" w:rsidP="00204D8F">
            <w:pPr>
              <w:pStyle w:val="Compact"/>
            </w:pPr>
            <w:r>
              <w:t>ICC .20, 2,000 coded</w:t>
            </w:r>
          </w:p>
        </w:tc>
      </w:tr>
      <w:tr w:rsidR="00755693" w14:paraId="48A08FD2" w14:textId="77777777" w:rsidTr="00204D8F">
        <w:tc>
          <w:tcPr>
            <w:tcW w:w="0" w:type="auto"/>
          </w:tcPr>
          <w:p w14:paraId="4B791928" w14:textId="77777777" w:rsidR="00755693" w:rsidRDefault="00755693" w:rsidP="00204D8F">
            <w:pPr>
              <w:pStyle w:val="Compact"/>
            </w:pPr>
            <w:r>
              <w:t>Broadening</w:t>
            </w:r>
          </w:p>
        </w:tc>
        <w:tc>
          <w:tcPr>
            <w:tcW w:w="0" w:type="auto"/>
          </w:tcPr>
          <w:p w14:paraId="7FC6F90E" w14:textId="77777777" w:rsidR="00755693" w:rsidRDefault="00755693" w:rsidP="00204D8F">
            <w:pPr>
              <w:pStyle w:val="Compact"/>
            </w:pPr>
            <w:r>
              <w:t>.93</w:t>
            </w:r>
          </w:p>
        </w:tc>
        <w:tc>
          <w:tcPr>
            <w:tcW w:w="0" w:type="auto"/>
          </w:tcPr>
          <w:p w14:paraId="0F4D9303" w14:textId="77777777" w:rsidR="00755693" w:rsidRDefault="00755693" w:rsidP="00204D8F">
            <w:pPr>
              <w:pStyle w:val="Compact"/>
            </w:pPr>
            <w:r>
              <w:t>.99</w:t>
            </w:r>
          </w:p>
        </w:tc>
        <w:tc>
          <w:tcPr>
            <w:tcW w:w="0" w:type="auto"/>
          </w:tcPr>
          <w:p w14:paraId="2E0D9669" w14:textId="77777777" w:rsidR="00755693" w:rsidRDefault="00755693" w:rsidP="00204D8F">
            <w:pPr>
              <w:pStyle w:val="Compact"/>
            </w:pPr>
            <w:r>
              <w:t>.81</w:t>
            </w:r>
          </w:p>
        </w:tc>
        <w:tc>
          <w:tcPr>
            <w:tcW w:w="0" w:type="auto"/>
          </w:tcPr>
          <w:p w14:paraId="5A4FF616" w14:textId="77777777" w:rsidR="00755693" w:rsidRDefault="00755693" w:rsidP="00204D8F">
            <w:pPr>
              <w:pStyle w:val="Compact"/>
            </w:pPr>
            <w:r>
              <w:t>.94</w:t>
            </w:r>
          </w:p>
        </w:tc>
      </w:tr>
      <w:tr w:rsidR="00755693" w14:paraId="553E10C3" w14:textId="77777777" w:rsidTr="00204D8F">
        <w:tc>
          <w:tcPr>
            <w:tcW w:w="0" w:type="auto"/>
          </w:tcPr>
          <w:p w14:paraId="52BA3F5C" w14:textId="77777777" w:rsidR="00755693" w:rsidRDefault="00755693" w:rsidP="00204D8F">
            <w:pPr>
              <w:pStyle w:val="Compact"/>
            </w:pPr>
            <w:r>
              <w:t>Clinical convergence</w:t>
            </w:r>
          </w:p>
        </w:tc>
        <w:tc>
          <w:tcPr>
            <w:tcW w:w="0" w:type="auto"/>
          </w:tcPr>
          <w:p w14:paraId="4E1D7E9E" w14:textId="77777777" w:rsidR="00755693" w:rsidRDefault="00755693" w:rsidP="00204D8F">
            <w:pPr>
              <w:pStyle w:val="Compact"/>
            </w:pPr>
            <w:r>
              <w:t>.99</w:t>
            </w:r>
          </w:p>
        </w:tc>
        <w:tc>
          <w:tcPr>
            <w:tcW w:w="0" w:type="auto"/>
          </w:tcPr>
          <w:p w14:paraId="5C8F5734" w14:textId="77777777" w:rsidR="00755693" w:rsidRDefault="00755693" w:rsidP="00204D8F">
            <w:pPr>
              <w:pStyle w:val="Compact"/>
            </w:pPr>
            <w:r>
              <w:t>1.00</w:t>
            </w:r>
          </w:p>
        </w:tc>
        <w:tc>
          <w:tcPr>
            <w:tcW w:w="0" w:type="auto"/>
          </w:tcPr>
          <w:p w14:paraId="02113DA3" w14:textId="77777777" w:rsidR="00755693" w:rsidRDefault="00755693" w:rsidP="00204D8F">
            <w:pPr>
              <w:pStyle w:val="Compact"/>
            </w:pPr>
            <w:r>
              <w:t>.98</w:t>
            </w:r>
          </w:p>
        </w:tc>
        <w:tc>
          <w:tcPr>
            <w:tcW w:w="0" w:type="auto"/>
          </w:tcPr>
          <w:p w14:paraId="6A763E39" w14:textId="77777777" w:rsidR="00755693" w:rsidRDefault="00755693" w:rsidP="00204D8F">
            <w:pPr>
              <w:pStyle w:val="Compact"/>
            </w:pPr>
            <w:r>
              <w:t>1.00</w:t>
            </w:r>
          </w:p>
        </w:tc>
      </w:tr>
      <w:tr w:rsidR="00755693" w14:paraId="3E25BAF8" w14:textId="77777777" w:rsidTr="00204D8F">
        <w:tc>
          <w:tcPr>
            <w:tcW w:w="0" w:type="auto"/>
          </w:tcPr>
          <w:p w14:paraId="4915E394" w14:textId="77777777" w:rsidR="00755693" w:rsidRDefault="00755693" w:rsidP="00204D8F">
            <w:pPr>
              <w:pStyle w:val="Compact"/>
            </w:pPr>
            <w:r>
              <w:t>Narrowing</w:t>
            </w:r>
          </w:p>
        </w:tc>
        <w:tc>
          <w:tcPr>
            <w:tcW w:w="0" w:type="auto"/>
          </w:tcPr>
          <w:p w14:paraId="67C87D54" w14:textId="77777777" w:rsidR="00755693" w:rsidRDefault="00755693" w:rsidP="00204D8F">
            <w:pPr>
              <w:pStyle w:val="Compact"/>
            </w:pPr>
            <w:r>
              <w:t>.56</w:t>
            </w:r>
          </w:p>
        </w:tc>
        <w:tc>
          <w:tcPr>
            <w:tcW w:w="0" w:type="auto"/>
          </w:tcPr>
          <w:p w14:paraId="117CF42F" w14:textId="77777777" w:rsidR="00755693" w:rsidRDefault="00755693" w:rsidP="00204D8F">
            <w:pPr>
              <w:pStyle w:val="Compact"/>
            </w:pPr>
            <w:r>
              <w:t>.82</w:t>
            </w:r>
          </w:p>
        </w:tc>
        <w:tc>
          <w:tcPr>
            <w:tcW w:w="0" w:type="auto"/>
          </w:tcPr>
          <w:p w14:paraId="01B05B70" w14:textId="77777777" w:rsidR="00755693" w:rsidRDefault="00755693" w:rsidP="00204D8F">
            <w:pPr>
              <w:pStyle w:val="Compact"/>
            </w:pPr>
            <w:r>
              <w:t>.51</w:t>
            </w:r>
          </w:p>
        </w:tc>
        <w:tc>
          <w:tcPr>
            <w:tcW w:w="0" w:type="auto"/>
          </w:tcPr>
          <w:p w14:paraId="65B0792E" w14:textId="77777777" w:rsidR="00755693" w:rsidRDefault="00755693" w:rsidP="00204D8F">
            <w:pPr>
              <w:pStyle w:val="Compact"/>
            </w:pPr>
            <w:r>
              <w:t>.63</w:t>
            </w:r>
          </w:p>
        </w:tc>
      </w:tr>
      <w:tr w:rsidR="00755693" w14:paraId="6F4DAC95" w14:textId="77777777" w:rsidTr="00204D8F">
        <w:tc>
          <w:tcPr>
            <w:tcW w:w="0" w:type="auto"/>
          </w:tcPr>
          <w:p w14:paraId="4882A418" w14:textId="77777777" w:rsidR="00755693" w:rsidRDefault="00755693" w:rsidP="00204D8F">
            <w:pPr>
              <w:pStyle w:val="Compact"/>
            </w:pPr>
            <w:r>
              <w:t>Stability (TOST)</w:t>
            </w:r>
          </w:p>
        </w:tc>
        <w:tc>
          <w:tcPr>
            <w:tcW w:w="0" w:type="auto"/>
          </w:tcPr>
          <w:p w14:paraId="56DE0B0D" w14:textId="77777777" w:rsidR="00755693" w:rsidRDefault="00755693" w:rsidP="00204D8F">
            <w:pPr>
              <w:pStyle w:val="Compact"/>
            </w:pPr>
            <w:r>
              <w:t>.78</w:t>
            </w:r>
          </w:p>
        </w:tc>
        <w:tc>
          <w:tcPr>
            <w:tcW w:w="0" w:type="auto"/>
          </w:tcPr>
          <w:p w14:paraId="1F5AE5DD" w14:textId="77777777" w:rsidR="00755693" w:rsidRDefault="00755693" w:rsidP="00204D8F">
            <w:pPr>
              <w:pStyle w:val="Compact"/>
            </w:pPr>
            <w:r>
              <w:t>.98</w:t>
            </w:r>
          </w:p>
        </w:tc>
        <w:tc>
          <w:tcPr>
            <w:tcW w:w="0" w:type="auto"/>
          </w:tcPr>
          <w:p w14:paraId="7D311796" w14:textId="77777777" w:rsidR="00755693" w:rsidRDefault="00755693" w:rsidP="00204D8F">
            <w:pPr>
              <w:pStyle w:val="Compact"/>
            </w:pPr>
            <w:r>
              <w:t>.64</w:t>
            </w:r>
          </w:p>
        </w:tc>
        <w:tc>
          <w:tcPr>
            <w:tcW w:w="0" w:type="auto"/>
          </w:tcPr>
          <w:p w14:paraId="5F62E08F" w14:textId="77777777" w:rsidR="00755693" w:rsidRDefault="00755693" w:rsidP="00204D8F">
            <w:pPr>
              <w:pStyle w:val="Compact"/>
            </w:pPr>
            <w:r>
              <w:t>.90</w:t>
            </w:r>
          </w:p>
        </w:tc>
      </w:tr>
    </w:tbl>
    <w:p w14:paraId="11E2B9C8" w14:textId="77777777" w:rsidR="00755693" w:rsidRDefault="00755693" w:rsidP="00755693">
      <w:pPr>
        <w:pStyle w:val="BodyText"/>
        <w:spacing w:before="240"/>
        <w:ind w:firstLine="0"/>
      </w:pPr>
      <w:r>
        <w:rPr>
          <w:i/>
          <w:iCs/>
        </w:rPr>
        <w:t>Note.</w:t>
      </w:r>
      <w:r>
        <w:t xml:space="preserve"> Directional tests assume a true change of 10 percentage points (twice the SESOI); stability assumes no change. Each cell is based on 200 replicates (Monte Carlo </w:t>
      </w:r>
      <w:r>
        <w:rPr>
          <w:i/>
          <w:iCs/>
        </w:rPr>
        <w:t>SE</w:t>
      </w:r>
      <w:r>
        <w:t xml:space="preserve"> ≤ .035). Results for 3,000 usages per period are in the materials.</w:t>
      </w:r>
    </w:p>
    <w:p w14:paraId="1E8D59F4" w14:textId="77777777" w:rsidR="00AF34EA" w:rsidRDefault="00AF34EA">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41FDE57A" w14:textId="77E4C603" w:rsidR="00755693" w:rsidRPr="00AF34EA" w:rsidRDefault="00755693" w:rsidP="00AF34EA">
      <w:pPr>
        <w:pStyle w:val="Heading4"/>
        <w:spacing w:line="480" w:lineRule="auto"/>
        <w:jc w:val="center"/>
        <w:rPr>
          <w:rFonts w:ascii="Times New Roman" w:hAnsi="Times New Roman" w:cs="Times New Roman"/>
          <w:b/>
          <w:bCs/>
          <w:i w:val="0"/>
          <w:iCs w:val="0"/>
          <w:color w:val="000000" w:themeColor="text1"/>
        </w:rPr>
      </w:pPr>
      <w:r w:rsidRPr="00AF34EA">
        <w:rPr>
          <w:rFonts w:ascii="Times New Roman" w:hAnsi="Times New Roman" w:cs="Times New Roman"/>
          <w:b/>
          <w:bCs/>
          <w:i w:val="0"/>
          <w:iCs w:val="0"/>
          <w:color w:val="000000" w:themeColor="text1"/>
        </w:rPr>
        <w:lastRenderedPageBreak/>
        <w:t>Supplemental material9 Inference and Reporting</w:t>
      </w:r>
    </w:p>
    <w:p w14:paraId="44595F86" w14:textId="77777777" w:rsidR="00755693" w:rsidRDefault="00755693" w:rsidP="00AF34EA">
      <w:pPr>
        <w:pStyle w:val="FirstParagraph"/>
      </w:pPr>
      <w:r>
        <w:rPr>
          <w:b/>
          <w:bCs/>
        </w:rPr>
        <w:t>Families and Tests.</w:t>
      </w:r>
      <w:r>
        <w:t xml:space="preserve"> H1 is a single test. H2 comprises three directional tests with Holm correction plus an intersection–union stability test that needs no adjustment (Berger, 1982). H3 comprises one minimum-effect test without a predicted sign and one equivalence test. Directional tests are one-sided at α = .05; equivalence uses TOST (a 90% CI within the bounds). The H3 bound δ = 0.05 is a substantive benchmark that does not shrink with sample size; the worst-case Type I error of the H3 rule is .05 + </w:t>
      </w:r>
      <w:proofErr w:type="gramStart"/>
      <w:r>
        <w:t>Φ(</w:t>
      </w:r>
      <w:proofErr w:type="gramEnd"/>
      <w:r>
        <w:t>−2δ/</w:t>
      </w:r>
      <w:r>
        <w:rPr>
          <w:i/>
          <w:iCs/>
        </w:rPr>
        <w:t>SE</w:t>
      </w:r>
      <w:r>
        <w:t xml:space="preserve"> − 1.645).</w:t>
      </w:r>
    </w:p>
    <w:p w14:paraId="33B2683B" w14:textId="77777777" w:rsidR="00755693" w:rsidRDefault="00755693" w:rsidP="00755693">
      <w:pPr>
        <w:pStyle w:val="BodyText"/>
      </w:pPr>
      <w:r>
        <w:rPr>
          <w:b/>
          <w:bCs/>
        </w:rPr>
        <w:t>Bootstrap.</w:t>
      </w:r>
      <w:r>
        <w:t xml:space="preserve"> All intervals and tests except C2 come from a stratified cluster bootstrap with 2,000 replicates and percentile intervals. Each replicate resamples firms within industry groups, keeping each firm’s reviews from both periods and its coded usages together; refits the cross-fitted classifiers and λ; and recomputes every estimate, including </w:t>
      </w:r>
      <w:r>
        <w:rPr>
          <w:i/>
          <w:iCs/>
        </w:rPr>
        <w:t>g</w:t>
      </w:r>
      <w:r>
        <w:t xml:space="preserve">ₖ and </w:t>
      </w:r>
      <w:r>
        <w:rPr>
          <w:i/>
          <w:iCs/>
        </w:rPr>
        <w:t>C</w:t>
      </w:r>
      <w:r>
        <w:t>. For H1, control terms are also resampled, independently of firms (Owen, 2007).</w:t>
      </w:r>
    </w:p>
    <w:p w14:paraId="5E555D06" w14:textId="77777777" w:rsidR="00755693" w:rsidRDefault="00755693" w:rsidP="00755693">
      <w:pPr>
        <w:pStyle w:val="BodyText"/>
      </w:pPr>
      <w:r>
        <w:rPr>
          <w:b/>
          <w:bCs/>
        </w:rPr>
        <w:t>Weighting.</w:t>
      </w:r>
      <w:r>
        <w:t xml:space="preserve"> Each usage is weighted by the inverse of the number of usages of that term in its review, so that each review counts once.</w:t>
      </w:r>
    </w:p>
    <w:p w14:paraId="0BDE94DC" w14:textId="77777777" w:rsidR="00755693" w:rsidRDefault="00755693" w:rsidP="00755693">
      <w:pPr>
        <w:pStyle w:val="BodyText"/>
      </w:pPr>
      <w:r>
        <w:rPr>
          <w:b/>
          <w:bCs/>
        </w:rPr>
        <w:t>Robustness, Secondary, and Exploratory Analyses.</w:t>
      </w:r>
      <w:r>
        <w:t xml:space="preserve"> Every primary estimate is re-run under each alternative in Table S2; a conclusion is robust only if every alternative reaches the same </w:t>
      </w:r>
      <w:proofErr w:type="gramStart"/>
      <w:r>
        <w:t>decision, and</w:t>
      </w:r>
      <w:proofErr w:type="gramEnd"/>
      <w:r>
        <w:t xml:space="preserve"> is otherwise reported as sensitive to that choice. The secondary analysis reports, with CIs, the change in a single-item prevalence trend implied by the estimated labeling rates at constant state prevalence. Any unplanned analysis is labeled exploratory.</w:t>
      </w:r>
    </w:p>
    <w:p w14:paraId="7501820D" w14:textId="77777777" w:rsidR="00755693" w:rsidRDefault="00755693" w:rsidP="00755693">
      <w:pPr>
        <w:pStyle w:val="BodyText"/>
        <w:keepNext/>
        <w:ind w:firstLine="0"/>
      </w:pPr>
      <w:r>
        <w:rPr>
          <w:b/>
          <w:bCs/>
        </w:rPr>
        <w:t>Table S2</w:t>
      </w:r>
      <w:r>
        <w:rPr>
          <w:b/>
          <w:bCs/>
        </w:rPr>
        <w:br/>
      </w:r>
      <w:r>
        <w:rPr>
          <w:i/>
          <w:iCs/>
        </w:rPr>
        <w:t>Preregistered Pipeline Settings and Robustness Alternatives</w:t>
      </w:r>
    </w:p>
    <w:tbl>
      <w:tblPr>
        <w:tblStyle w:val="Table"/>
        <w:tblW w:w="5000" w:type="pct"/>
        <w:tblLook w:val="0020" w:firstRow="1" w:lastRow="0" w:firstColumn="0" w:lastColumn="0" w:noHBand="0" w:noVBand="0"/>
      </w:tblPr>
      <w:tblGrid>
        <w:gridCol w:w="1522"/>
        <w:gridCol w:w="4718"/>
        <w:gridCol w:w="3120"/>
      </w:tblGrid>
      <w:tr w:rsidR="00755693" w14:paraId="4ACA2FBE" w14:textId="77777777" w:rsidTr="00204D8F">
        <w:trPr>
          <w:cnfStyle w:val="100000000000" w:firstRow="1" w:lastRow="0" w:firstColumn="0" w:lastColumn="0" w:oddVBand="0" w:evenVBand="0" w:oddHBand="0" w:evenHBand="0" w:firstRowFirstColumn="0" w:firstRowLastColumn="0" w:lastRowFirstColumn="0" w:lastRowLastColumn="0"/>
          <w:tblHeader/>
        </w:trPr>
        <w:tc>
          <w:tcPr>
            <w:tcW w:w="0" w:type="auto"/>
          </w:tcPr>
          <w:p w14:paraId="55E72D86" w14:textId="77777777" w:rsidR="00755693" w:rsidRDefault="00755693" w:rsidP="00204D8F">
            <w:pPr>
              <w:pStyle w:val="Compact"/>
            </w:pPr>
            <w:r>
              <w:t>Choice point</w:t>
            </w:r>
          </w:p>
        </w:tc>
        <w:tc>
          <w:tcPr>
            <w:tcW w:w="0" w:type="auto"/>
          </w:tcPr>
          <w:p w14:paraId="20CA50D0" w14:textId="77777777" w:rsidR="00755693" w:rsidRDefault="00755693" w:rsidP="00204D8F">
            <w:pPr>
              <w:pStyle w:val="Compact"/>
            </w:pPr>
            <w:r>
              <w:t>Preregistered value</w:t>
            </w:r>
          </w:p>
        </w:tc>
        <w:tc>
          <w:tcPr>
            <w:tcW w:w="0" w:type="auto"/>
          </w:tcPr>
          <w:p w14:paraId="0C8AFAF5" w14:textId="77777777" w:rsidR="00755693" w:rsidRDefault="00755693" w:rsidP="00204D8F">
            <w:pPr>
              <w:pStyle w:val="Compact"/>
            </w:pPr>
            <w:r>
              <w:t>Robustness alternative</w:t>
            </w:r>
          </w:p>
        </w:tc>
      </w:tr>
      <w:tr w:rsidR="00755693" w14:paraId="7BD62762" w14:textId="77777777" w:rsidTr="00204D8F">
        <w:tc>
          <w:tcPr>
            <w:tcW w:w="0" w:type="auto"/>
          </w:tcPr>
          <w:p w14:paraId="49966257" w14:textId="77777777" w:rsidR="00755693" w:rsidRDefault="00755693" w:rsidP="00204D8F">
            <w:pPr>
              <w:pStyle w:val="Compact"/>
            </w:pPr>
            <w:r>
              <w:t>Model</w:t>
            </w:r>
          </w:p>
        </w:tc>
        <w:tc>
          <w:tcPr>
            <w:tcW w:w="0" w:type="auto"/>
          </w:tcPr>
          <w:p w14:paraId="29478709" w14:textId="77777777" w:rsidR="00755693" w:rsidRDefault="00755693" w:rsidP="00204D8F">
            <w:pPr>
              <w:pStyle w:val="Compact"/>
            </w:pPr>
            <w:r>
              <w:t>Highest pilot drift-validation correlation among model–layer combinations passing both validation steps</w:t>
            </w:r>
          </w:p>
        </w:tc>
        <w:tc>
          <w:tcPr>
            <w:tcW w:w="0" w:type="auto"/>
          </w:tcPr>
          <w:p w14:paraId="38143F88" w14:textId="77777777" w:rsidR="00755693" w:rsidRDefault="00755693" w:rsidP="00204D8F">
            <w:pPr>
              <w:pStyle w:val="Compact"/>
            </w:pPr>
            <w:r>
              <w:t>Runner-up candidate</w:t>
            </w:r>
          </w:p>
        </w:tc>
      </w:tr>
      <w:tr w:rsidR="00755693" w14:paraId="5854FC26" w14:textId="77777777" w:rsidTr="00204D8F">
        <w:tc>
          <w:tcPr>
            <w:tcW w:w="0" w:type="auto"/>
          </w:tcPr>
          <w:p w14:paraId="61B1D8C7" w14:textId="77777777" w:rsidR="00755693" w:rsidRDefault="00755693" w:rsidP="00204D8F">
            <w:pPr>
              <w:pStyle w:val="Compact"/>
            </w:pPr>
            <w:r>
              <w:t>Layer</w:t>
            </w:r>
          </w:p>
        </w:tc>
        <w:tc>
          <w:tcPr>
            <w:tcW w:w="0" w:type="auto"/>
          </w:tcPr>
          <w:p w14:paraId="7ED645FF" w14:textId="77777777" w:rsidR="00755693" w:rsidRDefault="00755693" w:rsidP="00204D8F">
            <w:pPr>
              <w:pStyle w:val="Compact"/>
            </w:pPr>
            <w:r>
              <w:t>Best pilot layer for the chosen model</w:t>
            </w:r>
          </w:p>
        </w:tc>
        <w:tc>
          <w:tcPr>
            <w:tcW w:w="0" w:type="auto"/>
          </w:tcPr>
          <w:p w14:paraId="7D484391" w14:textId="77777777" w:rsidR="00755693" w:rsidRDefault="00755693" w:rsidP="00204D8F">
            <w:pPr>
              <w:pStyle w:val="Compact"/>
            </w:pPr>
            <w:r>
              <w:t>Mean of the last four layers</w:t>
            </w:r>
          </w:p>
        </w:tc>
      </w:tr>
      <w:tr w:rsidR="00755693" w14:paraId="3DB1C595" w14:textId="77777777" w:rsidTr="00204D8F">
        <w:tc>
          <w:tcPr>
            <w:tcW w:w="0" w:type="auto"/>
          </w:tcPr>
          <w:p w14:paraId="4F5A1BFD" w14:textId="77777777" w:rsidR="00755693" w:rsidRDefault="00755693" w:rsidP="00204D8F">
            <w:pPr>
              <w:pStyle w:val="Compact"/>
            </w:pPr>
            <w:r>
              <w:lastRenderedPageBreak/>
              <w:t>Drift measure (H1)</w:t>
            </w:r>
          </w:p>
        </w:tc>
        <w:tc>
          <w:tcPr>
            <w:tcW w:w="0" w:type="auto"/>
          </w:tcPr>
          <w:p w14:paraId="4EF09F1D" w14:textId="77777777" w:rsidR="00755693" w:rsidRDefault="00755693" w:rsidP="00204D8F">
            <w:pPr>
              <w:pStyle w:val="Compact"/>
            </w:pPr>
            <w:r>
              <w:t>APD</w:t>
            </w:r>
          </w:p>
        </w:tc>
        <w:tc>
          <w:tcPr>
            <w:tcW w:w="0" w:type="auto"/>
          </w:tcPr>
          <w:p w14:paraId="0014EC16" w14:textId="77777777" w:rsidR="00755693" w:rsidRDefault="00755693" w:rsidP="00204D8F">
            <w:pPr>
              <w:pStyle w:val="Compact"/>
            </w:pPr>
            <w:r>
              <w:t>Spread-corrected drift (APD minus mean within-period spread)</w:t>
            </w:r>
          </w:p>
        </w:tc>
      </w:tr>
      <w:tr w:rsidR="00755693" w14:paraId="50BC7E95" w14:textId="77777777" w:rsidTr="00204D8F">
        <w:tc>
          <w:tcPr>
            <w:tcW w:w="0" w:type="auto"/>
          </w:tcPr>
          <w:p w14:paraId="67F5CACE" w14:textId="77777777" w:rsidR="00755693" w:rsidRDefault="00755693" w:rsidP="00204D8F">
            <w:pPr>
              <w:pStyle w:val="Compact"/>
            </w:pPr>
            <w:r>
              <w:t>Anisotropy correction</w:t>
            </w:r>
          </w:p>
        </w:tc>
        <w:tc>
          <w:tcPr>
            <w:tcW w:w="0" w:type="auto"/>
          </w:tcPr>
          <w:p w14:paraId="5B723AF8" w14:textId="77777777" w:rsidR="00755693" w:rsidRDefault="00755693" w:rsidP="00204D8F">
            <w:pPr>
              <w:pStyle w:val="Compact"/>
            </w:pPr>
            <w:r>
              <w:t>Subtract the mean vector of a 100,000-token sample</w:t>
            </w:r>
          </w:p>
        </w:tc>
        <w:tc>
          <w:tcPr>
            <w:tcW w:w="0" w:type="auto"/>
          </w:tcPr>
          <w:p w14:paraId="484D18C8" w14:textId="77777777" w:rsidR="00755693" w:rsidRDefault="00755693" w:rsidP="00204D8F">
            <w:pPr>
              <w:pStyle w:val="Compact"/>
            </w:pPr>
            <w:r>
              <w:t>No correction</w:t>
            </w:r>
          </w:p>
        </w:tc>
      </w:tr>
      <w:tr w:rsidR="00755693" w14:paraId="3F74B5B6" w14:textId="77777777" w:rsidTr="00204D8F">
        <w:tc>
          <w:tcPr>
            <w:tcW w:w="0" w:type="auto"/>
          </w:tcPr>
          <w:p w14:paraId="6A50F05E" w14:textId="77777777" w:rsidR="00755693" w:rsidRDefault="00755693" w:rsidP="00204D8F">
            <w:pPr>
              <w:pStyle w:val="Compact"/>
            </w:pPr>
            <w:r>
              <w:t>Time bins</w:t>
            </w:r>
          </w:p>
        </w:tc>
        <w:tc>
          <w:tcPr>
            <w:tcW w:w="0" w:type="auto"/>
          </w:tcPr>
          <w:p w14:paraId="3E2248F9" w14:textId="77777777" w:rsidR="00755693" w:rsidRDefault="00755693" w:rsidP="00204D8F">
            <w:pPr>
              <w:pStyle w:val="Compact"/>
            </w:pPr>
            <w:r>
              <w:t>1 year; 2-year fallback under the minimum-frequency rule</w:t>
            </w:r>
          </w:p>
        </w:tc>
        <w:tc>
          <w:tcPr>
            <w:tcW w:w="0" w:type="auto"/>
          </w:tcPr>
          <w:p w14:paraId="445657D7" w14:textId="77777777" w:rsidR="00755693" w:rsidRDefault="00755693" w:rsidP="00204D8F">
            <w:pPr>
              <w:pStyle w:val="Compact"/>
            </w:pPr>
            <w:r>
              <w:t>2-year bins for all terms</w:t>
            </w:r>
          </w:p>
        </w:tc>
      </w:tr>
      <w:tr w:rsidR="00755693" w14:paraId="2EED4C84" w14:textId="77777777" w:rsidTr="00204D8F">
        <w:tc>
          <w:tcPr>
            <w:tcW w:w="0" w:type="auto"/>
          </w:tcPr>
          <w:p w14:paraId="7B6BE274" w14:textId="77777777" w:rsidR="00755693" w:rsidRDefault="00755693" w:rsidP="00204D8F">
            <w:pPr>
              <w:pStyle w:val="Compact"/>
            </w:pPr>
            <w:r>
              <w:t>Control pool (H1)</w:t>
            </w:r>
          </w:p>
        </w:tc>
        <w:tc>
          <w:tcPr>
            <w:tcW w:w="0" w:type="auto"/>
          </w:tcPr>
          <w:p w14:paraId="74DB6616" w14:textId="77777777" w:rsidR="00755693" w:rsidRDefault="00755693" w:rsidP="00204D8F">
            <w:pPr>
              <w:pStyle w:val="Compact"/>
            </w:pPr>
            <w:r>
              <w:t>Screened for remote-work exposure</w:t>
            </w:r>
          </w:p>
        </w:tc>
        <w:tc>
          <w:tcPr>
            <w:tcW w:w="0" w:type="auto"/>
          </w:tcPr>
          <w:p w14:paraId="1FE8540D" w14:textId="77777777" w:rsidR="00755693" w:rsidRDefault="00755693" w:rsidP="00204D8F">
            <w:pPr>
              <w:pStyle w:val="Compact"/>
            </w:pPr>
            <w:r>
              <w:t>Unscreened pool</w:t>
            </w:r>
          </w:p>
        </w:tc>
      </w:tr>
      <w:tr w:rsidR="00755693" w14:paraId="5F8F9655" w14:textId="77777777" w:rsidTr="00204D8F">
        <w:tc>
          <w:tcPr>
            <w:tcW w:w="0" w:type="auto"/>
          </w:tcPr>
          <w:p w14:paraId="609D3CF7" w14:textId="77777777" w:rsidR="00755693" w:rsidRDefault="00755693" w:rsidP="00204D8F">
            <w:pPr>
              <w:pStyle w:val="Compact"/>
            </w:pPr>
            <w:r>
              <w:t>Proportion estimator</w:t>
            </w:r>
          </w:p>
        </w:tc>
        <w:tc>
          <w:tcPr>
            <w:tcW w:w="0" w:type="auto"/>
          </w:tcPr>
          <w:p w14:paraId="0B38C7D8" w14:textId="77777777" w:rsidR="00755693" w:rsidRDefault="00755693" w:rsidP="00204D8F">
            <w:pPr>
              <w:pStyle w:val="Compact"/>
            </w:pPr>
            <w:r>
              <w:t>Cross-prediction-powered inference with power tuning</w:t>
            </w:r>
          </w:p>
        </w:tc>
        <w:tc>
          <w:tcPr>
            <w:tcW w:w="0" w:type="auto"/>
          </w:tcPr>
          <w:p w14:paraId="1C576377" w14:textId="77777777" w:rsidR="00755693" w:rsidRDefault="00755693" w:rsidP="00204D8F">
            <w:pPr>
              <w:pStyle w:val="Compact"/>
            </w:pPr>
            <w:r>
              <w:t>Constrained adjusted classify-and-count</w:t>
            </w:r>
          </w:p>
        </w:tc>
      </w:tr>
      <w:tr w:rsidR="00755693" w14:paraId="7BBB75E7" w14:textId="77777777" w:rsidTr="00204D8F">
        <w:tc>
          <w:tcPr>
            <w:tcW w:w="0" w:type="auto"/>
          </w:tcPr>
          <w:p w14:paraId="22872D5F" w14:textId="77777777" w:rsidR="00755693" w:rsidRDefault="00755693" w:rsidP="00204D8F">
            <w:pPr>
              <w:pStyle w:val="Compact"/>
            </w:pPr>
            <w:r>
              <w:t>H3 rating gaps</w:t>
            </w:r>
          </w:p>
        </w:tc>
        <w:tc>
          <w:tcPr>
            <w:tcW w:w="0" w:type="auto"/>
          </w:tcPr>
          <w:p w14:paraId="36E45DF8" w14:textId="77777777" w:rsidR="00755693" w:rsidRDefault="00755693" w:rsidP="00204D8F">
            <w:pPr>
              <w:pStyle w:val="Compact"/>
            </w:pPr>
            <w:r>
              <w:t>Classifier probabilities, reference period</w:t>
            </w:r>
          </w:p>
        </w:tc>
        <w:tc>
          <w:tcPr>
            <w:tcW w:w="0" w:type="auto"/>
          </w:tcPr>
          <w:p w14:paraId="71F5BF5E" w14:textId="77777777" w:rsidR="00755693" w:rsidRDefault="00755693" w:rsidP="00204D8F">
            <w:pPr>
              <w:pStyle w:val="Compact"/>
            </w:pPr>
            <w:r>
              <w:t>Human-coded usages only</w:t>
            </w:r>
          </w:p>
        </w:tc>
      </w:tr>
    </w:tbl>
    <w:p w14:paraId="5D02F42D" w14:textId="77777777" w:rsidR="00755693" w:rsidRDefault="00755693" w:rsidP="00755693">
      <w:pPr>
        <w:pStyle w:val="Heading4"/>
        <w:spacing w:before="240"/>
        <w:jc w:val="center"/>
        <w:rPr>
          <w:rFonts w:ascii="Times New Roman" w:hAnsi="Times New Roman" w:cs="Times New Roman"/>
          <w:b/>
          <w:bCs/>
          <w:i w:val="0"/>
          <w:iCs w:val="0"/>
          <w:color w:val="000000" w:themeColor="text1"/>
        </w:rPr>
      </w:pPr>
    </w:p>
    <w:p w14:paraId="1F092324" w14:textId="77777777" w:rsidR="00755693" w:rsidRDefault="00755693">
      <w:pPr>
        <w:spacing w:after="160" w:line="278" w:lineRule="auto"/>
        <w:rPr>
          <w:rFonts w:eastAsiaTheme="majorEastAsia"/>
          <w:b/>
          <w:bCs/>
          <w:color w:val="000000" w:themeColor="text1"/>
          <w:kern w:val="2"/>
          <w:lang w:eastAsia="zh-CN"/>
          <w14:ligatures w14:val="standardContextual"/>
        </w:rPr>
      </w:pPr>
      <w:r>
        <w:rPr>
          <w:b/>
          <w:bCs/>
          <w:i/>
          <w:iCs/>
          <w:color w:val="000000" w:themeColor="text1"/>
        </w:rPr>
        <w:br w:type="page"/>
      </w:r>
    </w:p>
    <w:p w14:paraId="61A70964" w14:textId="555E55A9" w:rsidR="00755693" w:rsidRPr="00755693" w:rsidRDefault="00755693" w:rsidP="00755693">
      <w:pPr>
        <w:pStyle w:val="Heading4"/>
        <w:spacing w:before="240"/>
        <w:jc w:val="center"/>
        <w:rPr>
          <w:rFonts w:ascii="Times New Roman" w:hAnsi="Times New Roman" w:cs="Times New Roman"/>
          <w:b/>
          <w:bCs/>
          <w:i w:val="0"/>
          <w:iCs w:val="0"/>
          <w:color w:val="000000" w:themeColor="text1"/>
        </w:rPr>
      </w:pPr>
      <w:r w:rsidRPr="00755693">
        <w:rPr>
          <w:rFonts w:ascii="Times New Roman" w:hAnsi="Times New Roman" w:cs="Times New Roman"/>
          <w:b/>
          <w:bCs/>
          <w:i w:val="0"/>
          <w:iCs w:val="0"/>
          <w:color w:val="000000" w:themeColor="text1"/>
        </w:rPr>
        <w:lastRenderedPageBreak/>
        <w:t>Supplemental material10 Outcome-Neutral Controls</w:t>
      </w:r>
    </w:p>
    <w:p w14:paraId="60201F83" w14:textId="77777777" w:rsidR="00755693" w:rsidRDefault="00755693" w:rsidP="00755693">
      <w:pPr>
        <w:pStyle w:val="FirstParagraph"/>
      </w:pPr>
      <w:r>
        <w:t xml:space="preserve">Pass criteria and consequences of failure are in Table 2. C1 is tested exactly as H1. C2 permutes period labels within each term across reviews within firm (1,000 permutations), so usages from one review share a label and each firm’s mix of periods is preserved. C4 is defined in Supplemental material4. C5 is evaluated overall and separately for masked </w:t>
      </w:r>
      <w:r>
        <w:rPr>
          <w:i/>
          <w:iCs/>
        </w:rPr>
        <w:t>burnout</w:t>
      </w:r>
      <w:r>
        <w:t xml:space="preserve"> sentences and other sentences, in each period. C6 applies the H1 drift analysis to the descriptor terms; failing descriptors are also masked in a re-run, and a semantic-change description stands only if both runs reach it. C7 correlates contextual and temporal-referencing drift across all focal, control, and positive-control terms. C8 re-runs the analyses excluding windows around platform changes [dates TBD] and within industry strata. C9 uses the career-opportunities subrating rather than compensation because of 2021–2022 inflation. C10 excludes firm-years with suspicious review bursts (e.g., a large share of a year’s reviews in one week). C11 tracks the share of reviews completing the work/life balance rating, by year and industry.</w:t>
      </w:r>
    </w:p>
    <w:p w14:paraId="74BCA44D" w14:textId="77777777" w:rsidR="00755693" w:rsidRDefault="00755693"/>
    <w:sectPr w:rsidR="00755693" w:rsidSect="00755693">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131B21" w14:textId="77777777" w:rsidR="00610C8E" w:rsidRDefault="00610C8E">
      <w:pPr>
        <w:spacing w:line="240" w:lineRule="auto"/>
      </w:pPr>
      <w:r>
        <w:separator/>
      </w:r>
    </w:p>
  </w:endnote>
  <w:endnote w:type="continuationSeparator" w:id="0">
    <w:p w14:paraId="20580A4C" w14:textId="77777777" w:rsidR="00610C8E" w:rsidRDefault="00610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52A7A8" w14:textId="77777777" w:rsidR="00610C8E" w:rsidRDefault="00610C8E">
      <w:pPr>
        <w:spacing w:line="240" w:lineRule="auto"/>
      </w:pPr>
      <w:r>
        <w:separator/>
      </w:r>
    </w:p>
  </w:footnote>
  <w:footnote w:type="continuationSeparator" w:id="0">
    <w:p w14:paraId="5DF8AAD9" w14:textId="77777777" w:rsidR="00610C8E" w:rsidRDefault="00610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65CACB" w14:textId="77777777" w:rsidR="00755693" w:rsidRDefault="00755693">
    <w:pPr>
      <w:tabs>
        <w:tab w:val="right" w:pos="9360"/>
      </w:tabs>
      <w:spacing w:line="240" w:lineRule="auto"/>
    </w:pPr>
    <w:r>
      <w:t>SEMANTIC CHANGE IN BURNOUT</w:t>
    </w:r>
    <w:r>
      <w:tab/>
    </w:r>
    <w:r>
      <w:fldChar w:fldCharType="begin"/>
    </w:r>
    <w:r>
      <w:instrText xml:space="preserve"> PAGE </w:instrText>
    </w:r>
    <w:r>
      <w:fldChar w:fldCharType="separate"/>
    </w:r>
    <w:r>
      <w:t>1</w:t>
    </w:r>
    <w: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693"/>
    <w:rsid w:val="00610C8E"/>
    <w:rsid w:val="00755693"/>
    <w:rsid w:val="008349C8"/>
    <w:rsid w:val="00873D38"/>
    <w:rsid w:val="00A86BA1"/>
    <w:rsid w:val="00AB332A"/>
    <w:rsid w:val="00AF34EA"/>
    <w:rsid w:val="00B74DFD"/>
    <w:rsid w:val="00C541E3"/>
    <w:rsid w:val="00EC4767"/>
    <w:rsid w:val="00F0150C"/>
    <w:rsid w:val="00FA7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928B6D"/>
  <w15:chartTrackingRefBased/>
  <w15:docId w15:val="{61B562C1-9C92-0B49-A2E0-3B0DC8F9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693"/>
    <w:pPr>
      <w:spacing w:after="0" w:line="48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556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556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5569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unhideWhenUsed/>
    <w:qFormat/>
    <w:rsid w:val="0075569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75569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755693"/>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755693"/>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755693"/>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755693"/>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693"/>
    <w:rPr>
      <w:rFonts w:eastAsiaTheme="majorEastAsia" w:cstheme="majorBidi"/>
      <w:color w:val="272727" w:themeColor="text1" w:themeTint="D8"/>
    </w:rPr>
  </w:style>
  <w:style w:type="paragraph" w:styleId="Title">
    <w:name w:val="Title"/>
    <w:basedOn w:val="Normal"/>
    <w:next w:val="Normal"/>
    <w:link w:val="TitleChar"/>
    <w:uiPriority w:val="10"/>
    <w:qFormat/>
    <w:rsid w:val="00755693"/>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55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69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55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693"/>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755693"/>
    <w:rPr>
      <w:i/>
      <w:iCs/>
      <w:color w:val="404040" w:themeColor="text1" w:themeTint="BF"/>
    </w:rPr>
  </w:style>
  <w:style w:type="paragraph" w:styleId="ListParagraph">
    <w:name w:val="List Paragraph"/>
    <w:basedOn w:val="Normal"/>
    <w:uiPriority w:val="34"/>
    <w:qFormat/>
    <w:rsid w:val="00755693"/>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755693"/>
    <w:rPr>
      <w:i/>
      <w:iCs/>
      <w:color w:val="0F4761" w:themeColor="accent1" w:themeShade="BF"/>
    </w:rPr>
  </w:style>
  <w:style w:type="paragraph" w:styleId="IntenseQuote">
    <w:name w:val="Intense Quote"/>
    <w:basedOn w:val="Normal"/>
    <w:next w:val="Normal"/>
    <w:link w:val="IntenseQuoteChar"/>
    <w:uiPriority w:val="30"/>
    <w:qFormat/>
    <w:rsid w:val="007556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755693"/>
    <w:rPr>
      <w:i/>
      <w:iCs/>
      <w:color w:val="0F4761" w:themeColor="accent1" w:themeShade="BF"/>
    </w:rPr>
  </w:style>
  <w:style w:type="character" w:styleId="IntenseReference">
    <w:name w:val="Intense Reference"/>
    <w:basedOn w:val="DefaultParagraphFont"/>
    <w:uiPriority w:val="32"/>
    <w:qFormat/>
    <w:rsid w:val="00755693"/>
    <w:rPr>
      <w:b/>
      <w:bCs/>
      <w:smallCaps/>
      <w:color w:val="0F4761" w:themeColor="accent1" w:themeShade="BF"/>
      <w:spacing w:val="5"/>
    </w:rPr>
  </w:style>
  <w:style w:type="paragraph" w:styleId="BodyText">
    <w:name w:val="Body Text"/>
    <w:basedOn w:val="Normal"/>
    <w:link w:val="BodyTextChar"/>
    <w:qFormat/>
    <w:rsid w:val="00755693"/>
    <w:pPr>
      <w:ind w:firstLine="720"/>
    </w:pPr>
  </w:style>
  <w:style w:type="character" w:customStyle="1" w:styleId="BodyTextChar">
    <w:name w:val="Body Text Char"/>
    <w:basedOn w:val="DefaultParagraphFont"/>
    <w:link w:val="BodyText"/>
    <w:rsid w:val="00755693"/>
    <w:rPr>
      <w:rFonts w:ascii="Times New Roman" w:eastAsia="Times New Roman" w:hAnsi="Times New Roman" w:cs="Times New Roman"/>
      <w:kern w:val="0"/>
      <w:lang w:eastAsia="en-US"/>
      <w14:ligatures w14:val="none"/>
    </w:rPr>
  </w:style>
  <w:style w:type="paragraph" w:customStyle="1" w:styleId="FirstParagraph">
    <w:name w:val="First Paragraph"/>
    <w:basedOn w:val="BodyText"/>
    <w:next w:val="BodyText"/>
    <w:qFormat/>
    <w:rsid w:val="00755693"/>
  </w:style>
  <w:style w:type="paragraph" w:customStyle="1" w:styleId="Compact">
    <w:name w:val="Compact"/>
    <w:basedOn w:val="BodyText"/>
    <w:qFormat/>
    <w:rsid w:val="00755693"/>
    <w:pPr>
      <w:spacing w:before="36" w:after="36" w:line="240" w:lineRule="auto"/>
      <w:ind w:firstLine="0"/>
    </w:pPr>
  </w:style>
  <w:style w:type="table" w:customStyle="1" w:styleId="Table">
    <w:name w:val="Table"/>
    <w:semiHidden/>
    <w:unhideWhenUsed/>
    <w:qFormat/>
    <w:rsid w:val="00755693"/>
    <w:pPr>
      <w:spacing w:after="0" w:line="480" w:lineRule="auto"/>
    </w:pPr>
    <w:rPr>
      <w:rFonts w:ascii="Times New Roman" w:eastAsia="Times New Roman" w:hAnsi="Times New Roman" w:cs="Times New Roman"/>
      <w:kern w:val="0"/>
      <w:sz w:val="20"/>
      <w:szCs w:val="20"/>
      <w:lang w:eastAsia="en-US"/>
      <w14:ligatures w14:val="none"/>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jc w:val="left"/>
      </w:tblPr>
      <w:trPr>
        <w:jc w:val="left"/>
      </w:trPr>
      <w:tcPr>
        <w:tcBorders>
          <w:bottom w:val="single" w:sz="8" w:space="0" w:color="000000"/>
        </w:tcBorders>
        <w:vAlign w:val="bottom"/>
      </w:tcPr>
    </w:tblStylePr>
  </w:style>
  <w:style w:type="character" w:styleId="Strong">
    <w:name w:val="Strong"/>
    <w:basedOn w:val="DefaultParagraphFont"/>
    <w:uiPriority w:val="22"/>
    <w:qFormat/>
    <w:rsid w:val="00755693"/>
    <w:rPr>
      <w:b/>
      <w:bCs/>
    </w:rPr>
  </w:style>
  <w:style w:type="character" w:styleId="Emphasis">
    <w:name w:val="Emphasis"/>
    <w:basedOn w:val="DefaultParagraphFont"/>
    <w:uiPriority w:val="20"/>
    <w:qFormat/>
    <w:rsid w:val="007556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2585</Words>
  <Characters>14185</Characters>
  <Application>Microsoft Office Word</Application>
  <DocSecurity>0</DocSecurity>
  <Lines>266</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Min, Haylee</cp:lastModifiedBy>
  <cp:revision>9</cp:revision>
  <dcterms:created xsi:type="dcterms:W3CDTF">2026-10-15T15:50:00Z</dcterms:created>
  <dcterms:modified xsi:type="dcterms:W3CDTF">2026-10-15T21:33:00Z</dcterms:modified>
  <cp:category/>
</cp:coreProperties>
</file>