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Deliverable 1: 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Helping Hands: Feasibility Analysis 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University of Maryland, Baltimore County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Professor: Shiva Sharma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IS436:1645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02/20/2019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Timnit Tesfatsion</w:t>
      </w:r>
    </w:p>
    <w:p w:rsidR="00000000" w:rsidDel="00000000" w:rsidP="00000000" w:rsidRDefault="00000000" w:rsidRPr="00000000" w14:paraId="00000013">
      <w:pPr>
        <w:shd w:fill="ffffff" w:val="clear"/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Bae</w:t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Briana Jenkins</w:t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Wonjin(James) Choi</w:t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Anusha Malla</w:t>
      </w:r>
    </w:p>
    <w:p w:rsidR="00000000" w:rsidDel="00000000" w:rsidP="00000000" w:rsidRDefault="00000000" w:rsidRPr="00000000" w14:paraId="00000017">
      <w:pPr>
        <w:shd w:fill="ffffff" w:val="clear"/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Haythem Abdelkhalek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Helping Hands Executive Summary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group have made this feasibility analysis for Helping Hands.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aa84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Feasibility: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kind of Risks (low,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high)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Familiarity 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 to high risk since only one member of the team worked on apps before.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have a member that have worked on GUI development at a university course, in order to implement an app.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risk for familiarity since the current system is being used.</w:t>
            </w:r>
          </w:p>
          <w:p w:rsidR="00000000" w:rsidDel="00000000" w:rsidP="00000000" w:rsidRDefault="00000000" w:rsidRPr="00000000" w14:paraId="00000021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size 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take 3-5 months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risk because it’ll be slowly implemented. Not a massive project.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 to high risk with how the UMBC system will integrate with the tutoring as well as managing the system.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Compatibility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 to High Risk : Have to rely on data by manual implementations… StudyTree may not provide existing data, but the data is somewhat public. Once data is inserted the system will work fine.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Risk since system can run by itself when data is implemented.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Economic Feasibility: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Based on cost-benefit analysis calculations (see Cost-benefit Tables below). The estimations shows that Helping Hands App will increase UMBC’s performance in its tutoring system.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ROI over 12 months: 70%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NPV over 12 months: $6991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Break-even occurs after 1.26 years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economical benefits of our app?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Elevated customer satisfaction which would increase application purchase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cost maintaining local app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in the number of students who may not know about this service, potentially increasing revenue.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Chance for competition and expansion of app to other universities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jobs for students and other staff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Organizational Feasibility: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kind of risk does this app pose to umbc?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can pose a low risk if the supervisor is liking the idea and thinks it can be beneficial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can pose as high risk if they think they already have an alternative option and thinks it will be a little use to them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Servers going down or not working properly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Another low risk is having the issue that if a student does not show up the tutor still get paid so in that case on the economic part of it, it will cause money loss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supervisor of our project have interest? What kind? Expectations?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 needs faster support for schedule changes.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need instant ability to add new tutors to the system.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kind of reaction/feedback are we expecting from the feature user of our app? What about the concerns they might have? Challenges/competitions?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 it would be easier for the students to operate when wanting to schedule or reschedule for tutoring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would become easier for the students to be able to cancel, update or stay in contact with tutors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Having the ability to use the app easily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it easier for them so that they can talk to friends about the app and then we can get many more students to use it more often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Additional Comments: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do we (group members) see this project?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project has a profitable app because all students will have access to it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Opportunity for students to create a service that enables other students to do better in specific courses that are difficult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our expectations of doing this app?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student awareness on a potential service that could potentially increase a students grade.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and unique learning experience.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Easier scheduling process for all participating parties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we think our app will be well accepted?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will be accepted because all students need a helping hand and the app helps to get to that point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 helps with finding a tutor faster and easily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app will help in time flexibility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challenges we might face whether technical or anything else?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coding might be a little tricky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Getting all of the universities to buy the app might take some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Cost-Benefit Analysis - Simple Cash Flow Method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1080"/>
        <w:gridCol w:w="1305"/>
        <w:gridCol w:w="1882.5"/>
        <w:gridCol w:w="1882.5"/>
        <w:tblGridChange w:id="0">
          <w:tblGrid>
            <w:gridCol w:w="3210"/>
            <w:gridCol w:w="1080"/>
            <w:gridCol w:w="1305"/>
            <w:gridCol w:w="1882.5"/>
            <w:gridCol w:w="1882.5"/>
          </w:tblGrid>
        </w:tblGridChange>
      </w:tblGrid>
      <w:tr>
        <w:trPr>
          <w:trHeight w:val="560" w:hRule="atLeast"/>
        </w:trPr>
        <w:tc>
          <w:tcPr>
            <w:tcBorders>
              <w:bottom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tcBorders>
              <w:bottom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months</w:t>
            </w:r>
          </w:p>
        </w:tc>
        <w:tc>
          <w:tcPr>
            <w:tcBorders>
              <w:bottom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 months</w:t>
            </w:r>
          </w:p>
        </w:tc>
        <w:tc>
          <w:tcPr>
            <w:tcBorders>
              <w:bottom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6aa84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Benefits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Increase in the number of users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Reduction in number of phone-calls for support from supervisors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Reduced number of emails between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Supervisor and developers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Tutors and supervisor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and supervisor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6aa84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6aa84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5800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6aa84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6960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1776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6aa84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12760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3256</w:t>
            </w:r>
          </w:p>
        </w:tc>
      </w:tr>
      <w:tr>
        <w:tc>
          <w:tcPr>
            <w:tcBorders>
              <w:top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Benefits</w:t>
            </w:r>
          </w:p>
        </w:tc>
        <w:tc>
          <w:tcPr>
            <w:tcBorders>
              <w:top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tcBorders>
              <w:top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9096</w:t>
            </w:r>
          </w:p>
        </w:tc>
        <w:tc>
          <w:tcPr>
            <w:tcBorders>
              <w:top w:color="6aa84f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16676</w:t>
            </w:r>
          </w:p>
        </w:tc>
      </w:tr>
      <w:tr>
        <w:trPr>
          <w:trHeight w:val="1280" w:hRule="atLeast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licences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 software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Development Cost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Cost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update/maintenance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charges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Operational charges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8500</w:t>
            </w:r>
          </w:p>
        </w:tc>
      </w:tr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Operational Costs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4250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4980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9230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4980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9530</w:t>
            </w:r>
          </w:p>
        </w:tc>
      </w:tr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Benefits - Total Costs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(300)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4116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7146</w:t>
            </w:r>
          </w:p>
        </w:tc>
      </w:tr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Net Cash Flow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(300)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color w:val="231f20"/>
                <w:rtl w:val="0"/>
              </w:rPr>
              <w:t xml:space="preserve">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7146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on Investment (ROI)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color w:val="231f20"/>
                <w:rtl w:val="0"/>
              </w:rPr>
              <w:t xml:space="preserve">(7146/ 9530)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Break-even Point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1.26 years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Cost-Benefit Analysis - Discount Cash Flow Method: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1275"/>
        <w:gridCol w:w="1305"/>
        <w:gridCol w:w="1882.5"/>
        <w:gridCol w:w="1882.5"/>
        <w:tblGridChange w:id="0">
          <w:tblGrid>
            <w:gridCol w:w="3015"/>
            <w:gridCol w:w="1275"/>
            <w:gridCol w:w="1305"/>
            <w:gridCol w:w="1882.5"/>
            <w:gridCol w:w="1882.5"/>
          </w:tblGrid>
        </w:tblGridChange>
      </w:tblGrid>
      <w:t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months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 months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tcBorders>
              <w:top w:color="38761d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Benefits 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Increase in the number of users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Reduction in number of phone-calls for support from supervisors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Reduced number of emails between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Supervisor and developers 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Tutors and supervisor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Students and supervisor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5800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1480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6960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1776</w:t>
            </w:r>
          </w:p>
        </w:tc>
        <w:tc>
          <w:tcPr>
            <w:tcBorders>
              <w:top w:color="38761d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Benefits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9096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 Value Total Benefits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color w:val="231f20"/>
                <w:rtl w:val="0"/>
              </w:rPr>
              <w:t xml:space="preserve">7343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color w:val="231f20"/>
                <w:rtl w:val="0"/>
              </w:rPr>
              <w:t xml:space="preserve">8536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15879</w:t>
            </w:r>
          </w:p>
        </w:tc>
      </w:tr>
      <w:tr>
        <w:trPr>
          <w:trHeight w:val="1600" w:hRule="atLeast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Software licences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Server software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Development Cost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Cost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Software update/maintenance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Communication charges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Operational charges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8500</w:t>
            </w:r>
          </w:p>
        </w:tc>
      </w:tr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Operational Costs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4250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4980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9230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4980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9530</w:t>
            </w:r>
          </w:p>
        </w:tc>
      </w:tr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 Value Total Cost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4117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4671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9088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NPV (PV Total Benefits - PV Total Costs)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6791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231f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jc w:val="right"/>
      <w:rPr/>
    </w:pPr>
    <w:r w:rsidDel="00000000" w:rsidR="00000000" w:rsidRPr="00000000">
      <w:rPr>
        <w:rtl w:val="0"/>
      </w:rPr>
      <w:t xml:space="preserve">Feasibility Analysis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