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eastAsia="Calibri"/>
          <w:b/>
          <w:color w:val="0B2545"/>
          <w:sz w:val="48"/>
        </w:rPr>
        <w:t>PRODUCT SCOPE &amp; OPERATIONAL SLA</w:t>
      </w:r>
    </w:p>
    <w:p>
      <w:pPr>
        <w:spacing w:after="320"/>
      </w:pPr>
      <w:r>
        <w:rPr>
          <w:rFonts w:ascii="Calibri" w:hAnsi="Calibri" w:eastAsia="Calibri"/>
          <w:color w:val="5A6470"/>
          <w:sz w:val="28"/>
        </w:rPr>
        <w:t>Local-First AI Wallet Tracker for iOS and Android</w:t>
      </w:r>
    </w:p>
    <w:p>
      <w:pPr>
        <w:spacing w:after="40"/>
      </w:pPr>
      <w:r>
        <w:rPr>
          <w:rFonts w:ascii="Calibri" w:hAnsi="Calibri" w:eastAsia="Calibri"/>
          <w:b/>
          <w:color w:val="0B2545"/>
        </w:rPr>
        <w:t xml:space="preserve">Version: </w:t>
      </w:r>
      <w:r>
        <w:t>1.0 - Final proposed baseline</w:t>
      </w:r>
    </w:p>
    <w:p>
      <w:pPr>
        <w:spacing w:after="40"/>
      </w:pPr>
      <w:r>
        <w:rPr>
          <w:rFonts w:ascii="Calibri" w:hAnsi="Calibri" w:eastAsia="Calibri"/>
          <w:b/>
          <w:color w:val="0B2545"/>
        </w:rPr>
        <w:t xml:space="preserve">Prepared: </w:t>
      </w:r>
      <w:r>
        <w:t>26 August 2026</w:t>
      </w:r>
    </w:p>
    <w:p>
      <w:pPr>
        <w:spacing w:after="40"/>
      </w:pPr>
      <w:r>
        <w:rPr>
          <w:rFonts w:ascii="Calibri" w:hAnsi="Calibri" w:eastAsia="Calibri"/>
          <w:b/>
          <w:color w:val="0B2545"/>
        </w:rPr>
        <w:t xml:space="preserve">Launch market: </w:t>
      </w:r>
      <w:r>
        <w:t>India</w:t>
      </w:r>
    </w:p>
    <w:p>
      <w:pPr>
        <w:spacing w:after="40"/>
      </w:pPr>
      <w:r>
        <w:rPr>
          <w:rFonts w:ascii="Calibri" w:hAnsi="Calibri" w:eastAsia="Calibri"/>
          <w:b/>
          <w:color w:val="0B2545"/>
        </w:rPr>
        <w:t xml:space="preserve">Language and currency: </w:t>
      </w:r>
      <w:r>
        <w:t>English and INR</w:t>
      </w:r>
    </w:p>
    <w:p>
      <w:pPr>
        <w:spacing w:after="40"/>
      </w:pPr>
      <w:r>
        <w:rPr>
          <w:rFonts w:ascii="Calibri" w:hAnsi="Calibri" w:eastAsia="Calibri"/>
          <w:b/>
          <w:color w:val="0B2545"/>
        </w:rPr>
        <w:t xml:space="preserve">Data posture: </w:t>
      </w:r>
      <w:r>
        <w:t>Fully offline, single device by default</w:t>
      </w:r>
    </w:p>
    <w:p>
      <w:pPr>
        <w:spacing w:after="40"/>
      </w:pPr>
      <w:r>
        <w:rPr>
          <w:rFonts w:ascii="Calibri" w:hAnsi="Calibri" w:eastAsia="Calibri"/>
          <w:b/>
          <w:color w:val="0B2545"/>
        </w:rPr>
        <w:t xml:space="preserve">Parties: </w:t>
      </w:r>
      <w:r>
        <w:t>Customer: [TO BE COMPLETED]   |   Supplier: [TO BE COMPLETED]</w:t>
      </w:r>
    </w:p>
    <w:p>
      <w:pPr>
        <w:spacing w:after="40"/>
      </w:pPr>
      <w:r>
        <w:rPr>
          <w:rFonts w:ascii="Calibri" w:hAnsi="Calibri" w:eastAsia="Calibri"/>
          <w:b/>
          <w:color w:val="0B2545"/>
        </w:rPr>
        <w:t xml:space="preserve">Effective date: </w:t>
      </w:r>
      <w:r>
        <w:t>[TO BE COMPLETED UPON SIGNATURE]</w:t>
      </w:r>
    </w:p>
    <w:p>
      <w:pPr>
        <w:spacing w:before="120" w:after="200"/>
        <w:ind w:left="173" w:right="115"/>
        <w:shd w:fill="EEF7F0"/>
        <w:pBdr>
          <w:left w:val="single" w:sz="20" w:space="8" w:color="2F6B3C"/>
        </w:pBdr>
      </w:pPr>
      <w:r>
        <w:rPr>
          <w:rFonts w:ascii="Calibri" w:hAnsi="Calibri" w:eastAsia="Calibri"/>
          <w:b/>
          <w:color w:val="1F4D78"/>
        </w:rPr>
        <w:t xml:space="preserve">Baseline decision. </w:t>
      </w:r>
      <w:r>
        <w:t>The app supports manual, text, voice and general-image transaction capture. AI creates a reviewable proposal; deterministic code validates it, and no AI-derived transaction is committed until the user confirms it.</w:t>
      </w:r>
    </w:p>
    <w:p>
      <w:pPr>
        <w:spacing w:before="120" w:after="200"/>
        <w:ind w:left="173" w:right="115"/>
        <w:shd w:fill="FFF4F2"/>
        <w:pBdr>
          <w:left w:val="single" w:sz="20" w:space="8" w:color="9B1C1C"/>
        </w:pBdr>
      </w:pPr>
      <w:r>
        <w:rPr>
          <w:rFonts w:ascii="Calibri" w:hAnsi="Calibri" w:eastAsia="Calibri"/>
          <w:b/>
          <w:color w:val="1F4D78"/>
        </w:rPr>
        <w:t xml:space="preserve">Contract status. </w:t>
      </w:r>
      <w:r>
        <w:t>This document is a complete technical and operational baseline, but party names, commercial fees, governing law, liability limits and signatures must be completed before it becomes an executed agreement. Legal review is recommended.</w:t>
      </w:r>
    </w:p>
    <w:p>
      <w:pPr>
        <w:pStyle w:val="Heading1"/>
      </w:pPr>
      <w:r>
        <w:t>Document map</w:t>
      </w:r>
    </w:p>
    <w:p>
      <w:pPr>
        <w:numPr>
          <w:ilvl w:val="0"/>
          <w:numId w:val="10"/>
        </w:numPr>
        <w:spacing w:after="160" w:line="280" w:lineRule="auto"/>
      </w:pPr>
      <w:r>
        <w:t>1. Agreement purpose and interpretation</w:t>
      </w:r>
    </w:p>
    <w:p>
      <w:pPr>
        <w:numPr>
          <w:ilvl w:val="0"/>
          <w:numId w:val="10"/>
        </w:numPr>
        <w:spacing w:after="160" w:line="280" w:lineRule="auto"/>
      </w:pPr>
      <w:r>
        <w:t>2. Product baseline and scope</w:t>
      </w:r>
    </w:p>
    <w:p>
      <w:pPr>
        <w:numPr>
          <w:ilvl w:val="0"/>
          <w:numId w:val="10"/>
        </w:numPr>
        <w:spacing w:after="160" w:line="280" w:lineRule="auto"/>
      </w:pPr>
      <w:r>
        <w:t>3. Functional requirements and workflows</w:t>
      </w:r>
    </w:p>
    <w:p>
      <w:pPr>
        <w:numPr>
          <w:ilvl w:val="0"/>
          <w:numId w:val="10"/>
        </w:numPr>
        <w:spacing w:after="160" w:line="280" w:lineRule="auto"/>
      </w:pPr>
      <w:r>
        <w:t>4. Architecture and on-device AI design</w:t>
      </w:r>
    </w:p>
    <w:p>
      <w:pPr>
        <w:numPr>
          <w:ilvl w:val="0"/>
          <w:numId w:val="10"/>
        </w:numPr>
        <w:spacing w:after="160" w:line="280" w:lineRule="auto"/>
      </w:pPr>
      <w:r>
        <w:t>5. Data, privacy and security requirements</w:t>
      </w:r>
    </w:p>
    <w:p>
      <w:pPr>
        <w:numPr>
          <w:ilvl w:val="0"/>
          <w:numId w:val="10"/>
        </w:numPr>
        <w:spacing w:after="160" w:line="280" w:lineRule="auto"/>
      </w:pPr>
      <w:r>
        <w:t>6. Evaluation, quality gates and acceptance</w:t>
      </w:r>
    </w:p>
    <w:p>
      <w:pPr>
        <w:numPr>
          <w:ilvl w:val="0"/>
          <w:numId w:val="10"/>
        </w:numPr>
        <w:spacing w:after="160" w:line="280" w:lineRule="auto"/>
      </w:pPr>
      <w:r>
        <w:t>7. Delivery plan and responsibilities</w:t>
      </w:r>
    </w:p>
    <w:p>
      <w:pPr>
        <w:numPr>
          <w:ilvl w:val="0"/>
          <w:numId w:val="10"/>
        </w:numPr>
        <w:spacing w:after="160" w:line="280" w:lineRule="auto"/>
      </w:pPr>
      <w:r>
        <w:t>8. Operational SLA and support commitments</w:t>
      </w:r>
    </w:p>
    <w:p>
      <w:pPr>
        <w:numPr>
          <w:ilvl w:val="0"/>
          <w:numId w:val="10"/>
        </w:numPr>
        <w:spacing w:after="160" w:line="280" w:lineRule="auto"/>
      </w:pPr>
      <w:r>
        <w:t>9. Exclusions, dependencies and change control</w:t>
      </w:r>
    </w:p>
    <w:p>
      <w:pPr>
        <w:numPr>
          <w:ilvl w:val="0"/>
          <w:numId w:val="10"/>
        </w:numPr>
        <w:spacing w:after="160" w:line="280" w:lineRule="auto"/>
      </w:pPr>
      <w:r>
        <w:t>10. Approval and signatures</w:t>
      </w:r>
    </w:p>
    <w:p>
      <w:r>
        <w:br w:type="page"/>
      </w:r>
    </w:p>
    <w:p>
      <w:pPr>
        <w:pStyle w:val="Heading1"/>
      </w:pPr>
      <w:r>
        <w:t>1. Agreement purpose and interpretation</w:t>
      </w:r>
    </w:p>
    <w:p>
      <w:r>
        <w:t>This combined Statement of Work (SOW), product requirements baseline and operational Service Level Agreement (SLA) defines the agreed first-release product, architecture boundaries, deliverables, acceptance gates and post-release support obligations for the Local-First AI Wallet Tracker (the Product).</w:t>
      </w:r>
    </w:p>
    <w:p>
      <w:pPr>
        <w:spacing w:before="120" w:after="200"/>
        <w:ind w:left="173" w:right="115"/>
        <w:shd w:fill="F4F6F9"/>
        <w:pBdr>
          <w:left w:val="single" w:sz="20" w:space="8" w:color="2E74B5"/>
        </w:pBdr>
      </w:pPr>
      <w:r>
        <w:rPr>
          <w:rFonts w:ascii="Calibri" w:hAnsi="Calibri" w:eastAsia="Calibri"/>
          <w:b/>
          <w:color w:val="1F4D78"/>
        </w:rPr>
        <w:t xml:space="preserve">Interpretation rule. </w:t>
      </w:r>
      <w:r>
        <w:t>Where an AI output conflicts with a ledger rule, validation rule or explicit user correction, the deterministic rule or user decision prevails.</w:t>
      </w:r>
    </w:p>
    <w:p>
      <w:pPr>
        <w:pStyle w:val="Heading2"/>
      </w:pPr>
      <w:r>
        <w:t>1.1 Definitions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Term</w:t>
            </w:r>
          </w:p>
        </w:tc>
        <w:tc>
          <w:tcPr>
            <w:tcW w:type="dxa" w:w="75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Meaning</w:t>
            </w:r>
          </w:p>
        </w:tc>
      </w:tr>
      <w:tr>
        <w:trPr>
          <w:cantSplit/>
        </w:trPr>
        <w:tc>
          <w:tcPr>
            <w:tcW w:type="dxa" w:w="1800"/>
          </w:tcPr>
          <w:p>
            <w:pPr>
              <w:spacing w:after="0" w:line="252" w:lineRule="auto"/>
            </w:pPr>
            <w:r>
              <w:rPr>
                <w:rFonts w:ascii="Calibri" w:hAnsi="Calibri" w:eastAsia="Calibri"/>
                <w:color w:val="161B21"/>
                <w:sz w:val="18"/>
              </w:rPr>
              <w:t>Core Offline Mode</w:t>
            </w:r>
          </w:p>
        </w:tc>
        <w:tc>
          <w:tcPr>
            <w:tcW w:type="dxa" w:w="7560"/>
          </w:tcPr>
          <w:p>
            <w:pPr>
              <w:spacing w:after="0" w:line="252" w:lineRule="auto"/>
            </w:pPr>
            <w:r>
              <w:rPr>
                <w:rFonts w:ascii="Calibri" w:hAnsi="Calibri" w:eastAsia="Calibri"/>
                <w:color w:val="161B21"/>
                <w:sz w:val="18"/>
              </w:rPr>
              <w:t>All ledger, manual entry, dashboard, correction, import/export and supported local inference functions operate without transmitting user content to a Supplier server.</w:t>
            </w:r>
          </w:p>
        </w:tc>
      </w:tr>
      <w:tr>
        <w:trPr>
          <w:cantSplit/>
        </w:trPr>
        <w:tc>
          <w:tcPr>
            <w:tcW w:type="dxa" w:w="1800"/>
          </w:tcPr>
          <w:p>
            <w:pPr>
              <w:spacing w:after="0" w:line="252" w:lineRule="auto"/>
            </w:pPr>
            <w:r>
              <w:rPr>
                <w:rFonts w:ascii="Calibri" w:hAnsi="Calibri" w:eastAsia="Calibri"/>
                <w:color w:val="161B21"/>
                <w:sz w:val="18"/>
              </w:rPr>
              <w:t>AI Proposal</w:t>
            </w:r>
          </w:p>
        </w:tc>
        <w:tc>
          <w:tcPr>
            <w:tcW w:type="dxa" w:w="7560"/>
          </w:tcPr>
          <w:p>
            <w:pPr>
              <w:spacing w:after="0" w:line="252" w:lineRule="auto"/>
            </w:pPr>
            <w:r>
              <w:rPr>
                <w:rFonts w:ascii="Calibri" w:hAnsi="Calibri" w:eastAsia="Calibri"/>
                <w:color w:val="161B21"/>
                <w:sz w:val="18"/>
              </w:rPr>
              <w:t>A structured, editable transaction suggestion produced from text, voice or an image. It is not a committed ledger entry.</w:t>
            </w:r>
          </w:p>
        </w:tc>
      </w:tr>
      <w:tr>
        <w:trPr>
          <w:cantSplit/>
        </w:trPr>
        <w:tc>
          <w:tcPr>
            <w:tcW w:type="dxa" w:w="1800"/>
          </w:tcPr>
          <w:p>
            <w:pPr>
              <w:spacing w:after="0" w:line="252" w:lineRule="auto"/>
            </w:pPr>
            <w:r>
              <w:rPr>
                <w:rFonts w:ascii="Calibri" w:hAnsi="Calibri" w:eastAsia="Calibri"/>
                <w:color w:val="161B21"/>
                <w:sz w:val="18"/>
              </w:rPr>
              <w:t>Capable Device</w:t>
            </w:r>
          </w:p>
        </w:tc>
        <w:tc>
          <w:tcPr>
            <w:tcW w:type="dxa" w:w="7560"/>
          </w:tcPr>
          <w:p>
            <w:pPr>
              <w:spacing w:after="0" w:line="252" w:lineRule="auto"/>
            </w:pPr>
            <w:r>
              <w:rPr>
                <w:rFonts w:ascii="Calibri" w:hAnsi="Calibri" w:eastAsia="Calibri"/>
                <w:color w:val="161B21"/>
                <w:sz w:val="18"/>
              </w:rPr>
              <w:t>A supported phone that passes the local runtime capability and performance benchmark for a particular model package.</w:t>
            </w:r>
          </w:p>
        </w:tc>
      </w:tr>
      <w:tr>
        <w:trPr>
          <w:cantSplit/>
        </w:trPr>
        <w:tc>
          <w:tcPr>
            <w:tcW w:type="dxa" w:w="1800"/>
          </w:tcPr>
          <w:p>
            <w:pPr>
              <w:spacing w:after="0" w:line="252" w:lineRule="auto"/>
            </w:pPr>
            <w:r>
              <w:rPr>
                <w:rFonts w:ascii="Calibri" w:hAnsi="Calibri" w:eastAsia="Calibri"/>
                <w:color w:val="161B21"/>
                <w:sz w:val="18"/>
              </w:rPr>
              <w:t>Connected BYOK Mode</w:t>
            </w:r>
          </w:p>
        </w:tc>
        <w:tc>
          <w:tcPr>
            <w:tcW w:type="dxa" w:w="7560"/>
          </w:tcPr>
          <w:p>
            <w:pPr>
              <w:spacing w:after="0" w:line="252" w:lineRule="auto"/>
            </w:pPr>
            <w:r>
              <w:rPr>
                <w:rFonts w:ascii="Calibri" w:hAnsi="Calibri" w:eastAsia="Calibri"/>
                <w:color w:val="161B21"/>
                <w:sz w:val="18"/>
              </w:rPr>
              <w:t>An optional mode in which the user supplies an API key and explicitly sends a selected request to a hosted provider.</w:t>
            </w:r>
          </w:p>
        </w:tc>
      </w:tr>
      <w:tr>
        <w:trPr>
          <w:cantSplit/>
        </w:trPr>
        <w:tc>
          <w:tcPr>
            <w:tcW w:type="dxa" w:w="1800"/>
          </w:tcPr>
          <w:p>
            <w:pPr>
              <w:spacing w:after="0" w:line="252" w:lineRule="auto"/>
            </w:pPr>
            <w:r>
              <w:rPr>
                <w:rFonts w:ascii="Calibri" w:hAnsi="Calibri" w:eastAsia="Calibri"/>
                <w:color w:val="161B21"/>
                <w:sz w:val="18"/>
              </w:rPr>
              <w:t>Golden Dataset</w:t>
            </w:r>
          </w:p>
        </w:tc>
        <w:tc>
          <w:tcPr>
            <w:tcW w:type="dxa" w:w="7560"/>
          </w:tcPr>
          <w:p>
            <w:pPr>
              <w:spacing w:after="0" w:line="252" w:lineRule="auto"/>
            </w:pPr>
            <w:r>
              <w:rPr>
                <w:rFonts w:ascii="Calibri" w:hAnsi="Calibri" w:eastAsia="Calibri"/>
                <w:color w:val="161B21"/>
                <w:sz w:val="18"/>
              </w:rPr>
              <w:t>A versioned set of labelled text, voice and image examples used for repeatable evaluation.</w:t>
            </w:r>
          </w:p>
        </w:tc>
      </w:tr>
      <w:tr>
        <w:trPr>
          <w:cantSplit/>
        </w:trPr>
        <w:tc>
          <w:tcPr>
            <w:tcW w:type="dxa" w:w="1800"/>
          </w:tcPr>
          <w:p>
            <w:pPr>
              <w:spacing w:after="0" w:line="252" w:lineRule="auto"/>
            </w:pPr>
            <w:r>
              <w:rPr>
                <w:rFonts w:ascii="Calibri" w:hAnsi="Calibri" w:eastAsia="Calibri"/>
                <w:color w:val="161B21"/>
                <w:sz w:val="18"/>
              </w:rPr>
              <w:t>Supported Device</w:t>
            </w:r>
          </w:p>
        </w:tc>
        <w:tc>
          <w:tcPr>
            <w:tcW w:type="dxa" w:w="7560"/>
          </w:tcPr>
          <w:p>
            <w:pPr>
              <w:spacing w:after="0" w:line="252" w:lineRule="auto"/>
            </w:pPr>
            <w:r>
              <w:rPr>
                <w:rFonts w:ascii="Calibri" w:hAnsi="Calibri" w:eastAsia="Calibri"/>
                <w:color w:val="161B21"/>
                <w:sz w:val="18"/>
              </w:rPr>
              <w:t>A phone that meets the core app OS and architecture floor. A Supported Device may not qualify as a Capable Device for every local model.</w:t>
            </w:r>
          </w:p>
        </w:tc>
      </w:tr>
    </w:tbl>
    <w:p>
      <w:pPr>
        <w:spacing w:after="40"/>
      </w:pPr>
    </w:p>
    <w:p>
      <w:pPr>
        <w:pStyle w:val="Heading2"/>
      </w:pPr>
      <w:r>
        <w:t>1.2 Binding hierarchy</w:t>
      </w:r>
    </w:p>
    <w:p>
      <w:r>
        <w:t>If documents conflict, the following order applies: signed change order; signed commercial agreement; this SLA/SOW; approved acceptance test plan; product backlog and other working notes.</w:t>
      </w:r>
    </w:p>
    <w:p>
      <w:pPr>
        <w:pStyle w:val="Heading1"/>
      </w:pPr>
      <w:r>
        <w:t>2. Product baseline and scope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Dimension</w:t>
            </w:r>
          </w:p>
        </w:tc>
        <w:tc>
          <w:tcPr>
            <w:tcW w:type="dxa" w:w="74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Confirmed v1 baseline</w:t>
            </w:r>
          </w:p>
        </w:tc>
      </w:tr>
      <w:tr>
        <w:trPr>
          <w:cantSplit/>
        </w:trPr>
        <w:tc>
          <w:tcPr>
            <w:tcW w:type="dxa" w:w="1900"/>
          </w:tcPr>
          <w:p>
            <w:pPr>
              <w:spacing w:after="0" w:line="252" w:lineRule="auto"/>
            </w:pPr>
            <w:r>
              <w:rPr>
                <w:rFonts w:ascii="Calibri" w:hAnsi="Calibri" w:eastAsia="Calibri"/>
                <w:color w:val="161B21"/>
                <w:sz w:val="18"/>
              </w:rPr>
              <w:t>Platforms</w:t>
            </w:r>
          </w:p>
        </w:tc>
        <w:tc>
          <w:tcPr>
            <w:tcW w:type="dxa" w:w="7460"/>
          </w:tcPr>
          <w:p>
            <w:pPr>
              <w:spacing w:after="0" w:line="252" w:lineRule="auto"/>
            </w:pPr>
            <w:r>
              <w:rPr>
                <w:rFonts w:ascii="Calibri" w:hAnsi="Calibri" w:eastAsia="Calibri"/>
                <w:color w:val="161B21"/>
                <w:sz w:val="18"/>
              </w:rPr>
              <w:t>iOS and Android from a shared product codebase, with native inference adapters where required.</w:t>
            </w:r>
          </w:p>
        </w:tc>
      </w:tr>
      <w:tr>
        <w:trPr>
          <w:cantSplit/>
        </w:trPr>
        <w:tc>
          <w:tcPr>
            <w:tcW w:type="dxa" w:w="1900"/>
          </w:tcPr>
          <w:p>
            <w:pPr>
              <w:spacing w:after="0" w:line="252" w:lineRule="auto"/>
            </w:pPr>
            <w:r>
              <w:rPr>
                <w:rFonts w:ascii="Calibri" w:hAnsi="Calibri" w:eastAsia="Calibri"/>
                <w:color w:val="161B21"/>
                <w:sz w:val="18"/>
              </w:rPr>
              <w:t>Market</w:t>
            </w:r>
          </w:p>
        </w:tc>
        <w:tc>
          <w:tcPr>
            <w:tcW w:type="dxa" w:w="7460"/>
          </w:tcPr>
          <w:p>
            <w:pPr>
              <w:spacing w:after="0" w:line="252" w:lineRule="auto"/>
            </w:pPr>
            <w:r>
              <w:rPr>
                <w:rFonts w:ascii="Calibri" w:hAnsi="Calibri" w:eastAsia="Calibri"/>
                <w:color w:val="161B21"/>
                <w:sz w:val="18"/>
              </w:rPr>
              <w:t>India.</w:t>
            </w:r>
          </w:p>
        </w:tc>
      </w:tr>
      <w:tr>
        <w:trPr>
          <w:cantSplit/>
        </w:trPr>
        <w:tc>
          <w:tcPr>
            <w:tcW w:type="dxa" w:w="1900"/>
          </w:tcPr>
          <w:p>
            <w:pPr>
              <w:spacing w:after="0" w:line="252" w:lineRule="auto"/>
            </w:pPr>
            <w:r>
              <w:rPr>
                <w:rFonts w:ascii="Calibri" w:hAnsi="Calibri" w:eastAsia="Calibri"/>
                <w:color w:val="161B21"/>
                <w:sz w:val="18"/>
              </w:rPr>
              <w:t>Language</w:t>
            </w:r>
          </w:p>
        </w:tc>
        <w:tc>
          <w:tcPr>
            <w:tcW w:type="dxa" w:w="7460"/>
          </w:tcPr>
          <w:p>
            <w:pPr>
              <w:spacing w:after="0" w:line="252" w:lineRule="auto"/>
            </w:pPr>
            <w:r>
              <w:rPr>
                <w:rFonts w:ascii="Calibri" w:hAnsi="Calibri" w:eastAsia="Calibri"/>
                <w:color w:val="161B21"/>
                <w:sz w:val="18"/>
              </w:rPr>
              <w:t>English user interface and English AI inputs.</w:t>
            </w:r>
          </w:p>
        </w:tc>
      </w:tr>
      <w:tr>
        <w:trPr>
          <w:cantSplit/>
        </w:trPr>
        <w:tc>
          <w:tcPr>
            <w:tcW w:type="dxa" w:w="1900"/>
          </w:tcPr>
          <w:p>
            <w:pPr>
              <w:spacing w:after="0" w:line="252" w:lineRule="auto"/>
            </w:pPr>
            <w:r>
              <w:rPr>
                <w:rFonts w:ascii="Calibri" w:hAnsi="Calibri" w:eastAsia="Calibri"/>
                <w:color w:val="161B21"/>
                <w:sz w:val="18"/>
              </w:rPr>
              <w:t>Currency</w:t>
            </w:r>
          </w:p>
        </w:tc>
        <w:tc>
          <w:tcPr>
            <w:tcW w:type="dxa" w:w="7460"/>
          </w:tcPr>
          <w:p>
            <w:pPr>
              <w:spacing w:after="0" w:line="252" w:lineRule="auto"/>
            </w:pPr>
            <w:r>
              <w:rPr>
                <w:rFonts w:ascii="Calibri" w:hAnsi="Calibri" w:eastAsia="Calibri"/>
                <w:color w:val="161B21"/>
                <w:sz w:val="18"/>
              </w:rPr>
              <w:t>INR as the base and only formally supported v1 currency.</w:t>
            </w:r>
          </w:p>
        </w:tc>
      </w:tr>
      <w:tr>
        <w:trPr>
          <w:cantSplit/>
        </w:trPr>
        <w:tc>
          <w:tcPr>
            <w:tcW w:type="dxa" w:w="1900"/>
          </w:tcPr>
          <w:p>
            <w:pPr>
              <w:spacing w:after="0" w:line="252" w:lineRule="auto"/>
            </w:pPr>
            <w:r>
              <w:rPr>
                <w:rFonts w:ascii="Calibri" w:hAnsi="Calibri" w:eastAsia="Calibri"/>
                <w:color w:val="161B21"/>
                <w:sz w:val="18"/>
              </w:rPr>
              <w:t>Storage</w:t>
            </w:r>
          </w:p>
        </w:tc>
        <w:tc>
          <w:tcPr>
            <w:tcW w:type="dxa" w:w="7460"/>
          </w:tcPr>
          <w:p>
            <w:pPr>
              <w:spacing w:after="0" w:line="252" w:lineRule="auto"/>
            </w:pPr>
            <w:r>
              <w:rPr>
                <w:rFonts w:ascii="Calibri" w:hAnsi="Calibri" w:eastAsia="Calibri"/>
                <w:color w:val="161B21"/>
                <w:sz w:val="18"/>
              </w:rPr>
              <w:t>One device, local encrypted database, no Supplier-hosted account or cloud sync.</w:t>
            </w:r>
          </w:p>
        </w:tc>
      </w:tr>
      <w:tr>
        <w:trPr>
          <w:cantSplit/>
        </w:trPr>
        <w:tc>
          <w:tcPr>
            <w:tcW w:type="dxa" w:w="1900"/>
          </w:tcPr>
          <w:p>
            <w:pPr>
              <w:spacing w:after="0" w:line="252" w:lineRule="auto"/>
            </w:pPr>
            <w:r>
              <w:rPr>
                <w:rFonts w:ascii="Calibri" w:hAnsi="Calibri" w:eastAsia="Calibri"/>
                <w:color w:val="161B21"/>
                <w:sz w:val="18"/>
              </w:rPr>
              <w:t>Inputs</w:t>
            </w:r>
          </w:p>
        </w:tc>
        <w:tc>
          <w:tcPr>
            <w:tcW w:type="dxa" w:w="7460"/>
          </w:tcPr>
          <w:p>
            <w:pPr>
              <w:spacing w:after="0" w:line="252" w:lineRule="auto"/>
            </w:pPr>
            <w:r>
              <w:rPr>
                <w:rFonts w:ascii="Calibri" w:hAnsi="Calibri" w:eastAsia="Calibri"/>
                <w:color w:val="161B21"/>
                <w:sz w:val="18"/>
              </w:rPr>
              <w:t>Manual form, natural-language text, voice and general images containing visible expense details.</w:t>
            </w:r>
          </w:p>
        </w:tc>
      </w:tr>
      <w:tr>
        <w:trPr>
          <w:cantSplit/>
        </w:trPr>
        <w:tc>
          <w:tcPr>
            <w:tcW w:type="dxa" w:w="1900"/>
          </w:tcPr>
          <w:p>
            <w:pPr>
              <w:spacing w:after="0" w:line="252" w:lineRule="auto"/>
            </w:pPr>
            <w:r>
              <w:rPr>
                <w:rFonts w:ascii="Calibri" w:hAnsi="Calibri" w:eastAsia="Calibri"/>
                <w:color w:val="161B21"/>
                <w:sz w:val="18"/>
              </w:rPr>
              <w:t>AI</w:t>
            </w:r>
          </w:p>
        </w:tc>
        <w:tc>
          <w:tcPr>
            <w:tcW w:type="dxa" w:w="7460"/>
          </w:tcPr>
          <w:p>
            <w:pPr>
              <w:spacing w:after="0" w:line="252" w:lineRule="auto"/>
            </w:pPr>
            <w:r>
              <w:rPr>
                <w:rFonts w:ascii="Calibri" w:hAnsi="Calibri" w:eastAsia="Calibri"/>
                <w:color w:val="161B21"/>
                <w:sz w:val="18"/>
              </w:rPr>
              <w:t>Local inference by default; device-aware model selection; deterministic fallback on non-capable phones.</w:t>
            </w:r>
          </w:p>
        </w:tc>
      </w:tr>
      <w:tr>
        <w:trPr>
          <w:cantSplit/>
        </w:trPr>
        <w:tc>
          <w:tcPr>
            <w:tcW w:type="dxa" w:w="1900"/>
          </w:tcPr>
          <w:p>
            <w:pPr>
              <w:spacing w:after="0" w:line="252" w:lineRule="auto"/>
            </w:pPr>
            <w:r>
              <w:rPr>
                <w:rFonts w:ascii="Calibri" w:hAnsi="Calibri" w:eastAsia="Calibri"/>
                <w:color w:val="161B21"/>
                <w:sz w:val="18"/>
              </w:rPr>
              <w:t>Feedback</w:t>
            </w:r>
          </w:p>
        </w:tc>
        <w:tc>
          <w:tcPr>
            <w:tcW w:type="dxa" w:w="7460"/>
          </w:tcPr>
          <w:p>
            <w:pPr>
              <w:spacing w:after="0" w:line="252" w:lineRule="auto"/>
            </w:pPr>
            <w:r>
              <w:rPr>
                <w:rFonts w:ascii="Calibri" w:hAnsi="Calibri" w:eastAsia="Calibri"/>
                <w:color w:val="161B21"/>
                <w:sz w:val="18"/>
              </w:rPr>
              <w:t>User correction of category and extracted fields, retained as local preference memory.</w:t>
            </w:r>
          </w:p>
        </w:tc>
      </w:tr>
      <w:tr>
        <w:trPr>
          <w:cantSplit/>
        </w:trPr>
        <w:tc>
          <w:tcPr>
            <w:tcW w:type="dxa" w:w="1900"/>
          </w:tcPr>
          <w:p>
            <w:pPr>
              <w:spacing w:after="0" w:line="252" w:lineRule="auto"/>
            </w:pPr>
            <w:r>
              <w:rPr>
                <w:rFonts w:ascii="Calibri" w:hAnsi="Calibri" w:eastAsia="Calibri"/>
                <w:color w:val="161B21"/>
                <w:sz w:val="18"/>
              </w:rPr>
              <w:t>Portability</w:t>
            </w:r>
          </w:p>
        </w:tc>
        <w:tc>
          <w:tcPr>
            <w:tcW w:type="dxa" w:w="7460"/>
          </w:tcPr>
          <w:p>
            <w:pPr>
              <w:spacing w:after="0" w:line="252" w:lineRule="auto"/>
            </w:pPr>
            <w:r>
              <w:rPr>
                <w:rFonts w:ascii="Calibri" w:hAnsi="Calibri" w:eastAsia="Calibri"/>
                <w:color w:val="161B21"/>
                <w:sz w:val="18"/>
              </w:rPr>
              <w:t>Local XLSX import and export with preview, validation and row-level errors.</w:t>
            </w:r>
          </w:p>
        </w:tc>
      </w:tr>
      <w:tr>
        <w:trPr>
          <w:cantSplit/>
        </w:trPr>
        <w:tc>
          <w:tcPr>
            <w:tcW w:type="dxa" w:w="1900"/>
          </w:tcPr>
          <w:p>
            <w:pPr>
              <w:spacing w:after="0" w:line="252" w:lineRule="auto"/>
            </w:pPr>
            <w:r>
              <w:rPr>
                <w:rFonts w:ascii="Calibri" w:hAnsi="Calibri" w:eastAsia="Calibri"/>
                <w:color w:val="161B21"/>
                <w:sz w:val="18"/>
              </w:rPr>
              <w:t>Hosted providers</w:t>
            </w:r>
          </w:p>
        </w:tc>
        <w:tc>
          <w:tcPr>
            <w:tcW w:type="dxa" w:w="7460"/>
          </w:tcPr>
          <w:p>
            <w:pPr>
              <w:spacing w:after="0" w:line="252" w:lineRule="auto"/>
            </w:pPr>
            <w:r>
              <w:rPr>
                <w:rFonts w:ascii="Calibri" w:hAnsi="Calibri" w:eastAsia="Calibri"/>
                <w:color w:val="161B21"/>
                <w:sz w:val="18"/>
              </w:rPr>
              <w:t>Optional BYOK adapters for OpenAI and Anthropic, activated only with explicit user consent.</w:t>
            </w:r>
          </w:p>
        </w:tc>
      </w:tr>
      <w:tr>
        <w:trPr>
          <w:cantSplit/>
        </w:trPr>
        <w:tc>
          <w:tcPr>
            <w:tcW w:type="dxa" w:w="1900"/>
          </w:tcPr>
          <w:p>
            <w:pPr>
              <w:spacing w:after="0" w:line="252" w:lineRule="auto"/>
            </w:pPr>
            <w:r>
              <w:rPr>
                <w:rFonts w:ascii="Calibri" w:hAnsi="Calibri" w:eastAsia="Calibri"/>
                <w:color w:val="161B21"/>
                <w:sz w:val="18"/>
              </w:rPr>
              <w:t>Evaluation</w:t>
            </w:r>
          </w:p>
        </w:tc>
        <w:tc>
          <w:tcPr>
            <w:tcW w:type="dxa" w:w="7460"/>
          </w:tcPr>
          <w:p>
            <w:pPr>
              <w:spacing w:after="0" w:line="252" w:lineRule="auto"/>
            </w:pPr>
            <w:r>
              <w:rPr>
                <w:rFonts w:ascii="Calibri" w:hAnsi="Calibri" w:eastAsia="Calibri"/>
                <w:color w:val="161B21"/>
                <w:sz w:val="18"/>
              </w:rPr>
              <w:t>DeepEval-based offline and controlled connected evaluation pipelines.</w:t>
            </w:r>
          </w:p>
        </w:tc>
      </w:tr>
    </w:tbl>
    <w:p>
      <w:pPr>
        <w:spacing w:after="40"/>
      </w:pPr>
    </w:p>
    <w:p>
      <w:pPr>
        <w:pStyle w:val="Heading2"/>
      </w:pPr>
      <w:r>
        <w:t>2.1 Included financial capabilities</w:t>
      </w:r>
    </w:p>
    <w:p>
      <w:pPr>
        <w:numPr>
          <w:ilvl w:val="0"/>
          <w:numId w:val="10"/>
        </w:numPr>
        <w:spacing w:after="160" w:line="280" w:lineRule="auto"/>
      </w:pPr>
      <w:r>
        <w:t>Create, edit, confirm, duplicate and delete expense and income transactions.</w:t>
      </w:r>
    </w:p>
    <w:p>
      <w:pPr>
        <w:numPr>
          <w:ilvl w:val="0"/>
          <w:numId w:val="10"/>
        </w:numPr>
        <w:spacing w:after="160" w:line="280" w:lineRule="auto"/>
      </w:pPr>
      <w:r>
        <w:t>Track cash, bank, card and user-defined wallet accounts without bank connectivity.</w:t>
      </w:r>
    </w:p>
    <w:p>
      <w:pPr>
        <w:numPr>
          <w:ilvl w:val="0"/>
          <w:numId w:val="10"/>
        </w:numPr>
        <w:spacing w:after="160" w:line="280" w:lineRule="auto"/>
      </w:pPr>
      <w:r>
        <w:t>Record account-to-account transfers without counting them as income or expense.</w:t>
      </w:r>
    </w:p>
    <w:p>
      <w:pPr>
        <w:numPr>
          <w:ilvl w:val="0"/>
          <w:numId w:val="10"/>
        </w:numPr>
        <w:spacing w:after="160" w:line="280" w:lineRule="auto"/>
      </w:pPr>
      <w:r>
        <w:t>Record refunds and reversals with a link to the original transaction where available.</w:t>
      </w:r>
    </w:p>
    <w:p>
      <w:pPr>
        <w:numPr>
          <w:ilvl w:val="0"/>
          <w:numId w:val="10"/>
        </w:numPr>
        <w:spacing w:after="160" w:line="280" w:lineRule="auto"/>
      </w:pPr>
      <w:r>
        <w:t>Assign categories and subcategories, create custom categories and split one transaction across categories.</w:t>
      </w:r>
    </w:p>
    <w:p>
      <w:pPr>
        <w:numPr>
          <w:ilvl w:val="0"/>
          <w:numId w:val="10"/>
        </w:numPr>
        <w:spacing w:after="160" w:line="280" w:lineRule="auto"/>
      </w:pPr>
      <w:r>
        <w:t>Create reusable manual presets and recurring-entry templates; v1 generates reminders/templates but does not initiate payments.</w:t>
      </w:r>
    </w:p>
    <w:p>
      <w:pPr>
        <w:numPr>
          <w:ilvl w:val="0"/>
          <w:numId w:val="10"/>
        </w:numPr>
        <w:spacing w:after="160" w:line="280" w:lineRule="auto"/>
      </w:pPr>
      <w:r>
        <w:t>Set simple monthly category budgets and view budget utilisation.</w:t>
      </w:r>
    </w:p>
    <w:p>
      <w:pPr>
        <w:numPr>
          <w:ilvl w:val="0"/>
          <w:numId w:val="10"/>
        </w:numPr>
        <w:spacing w:after="160" w:line="280" w:lineRule="auto"/>
      </w:pPr>
      <w:r>
        <w:t>View dashboard summaries for spending, income, net cash flow, account balances, category distribution and monthly trend.</w:t>
      </w:r>
    </w:p>
    <w:p>
      <w:pPr>
        <w:numPr>
          <w:ilvl w:val="0"/>
          <w:numId w:val="10"/>
        </w:numPr>
        <w:spacing w:after="160" w:line="280" w:lineRule="auto"/>
      </w:pPr>
      <w:r>
        <w:t>Search and filter by date, amount, merchant, account, category, source and confirmation status.</w:t>
      </w:r>
    </w:p>
    <w:p>
      <w:pPr>
        <w:pStyle w:val="Heading2"/>
      </w:pPr>
      <w:r>
        <w:t>2.2 General-image scope boundary</w:t>
      </w:r>
    </w:p>
    <w:p>
      <w:pPr>
        <w:spacing w:before="120" w:after="200"/>
        <w:ind w:left="173" w:right="115"/>
        <w:shd w:fill="EEF7F0"/>
        <w:pBdr>
          <w:left w:val="single" w:sz="20" w:space="8" w:color="2F6B3C"/>
        </w:pBdr>
      </w:pPr>
      <w:r>
        <w:rPr>
          <w:rFonts w:ascii="Calibri" w:hAnsi="Calibri" w:eastAsia="Calibri"/>
          <w:b/>
          <w:color w:val="1F4D78"/>
        </w:rPr>
        <w:t xml:space="preserve">In scope. </w:t>
      </w:r>
      <w:r>
        <w:t>A photo or screenshot containing visible expense information such as an amount, merchant, date, bill, handwritten note, payment confirmation or relevant text. The app may use OCR first and a local vision-capable model on capable devices.</w:t>
      </w:r>
    </w:p>
    <w:p>
      <w:pPr>
        <w:spacing w:before="120" w:after="200"/>
        <w:ind w:left="173" w:right="115"/>
        <w:shd w:fill="FFF4F2"/>
        <w:pBdr>
          <w:left w:val="single" w:sz="20" w:space="8" w:color="9B1C1C"/>
        </w:pBdr>
      </w:pPr>
      <w:r>
        <w:rPr>
          <w:rFonts w:ascii="Calibri" w:hAnsi="Calibri" w:eastAsia="Calibri"/>
          <w:b/>
          <w:color w:val="1F4D78"/>
        </w:rPr>
        <w:t xml:space="preserve">Out of scope. </w:t>
      </w:r>
      <w:r>
        <w:t>Inferring an unknown market price from a product photograph, recognising every object or merchant without visible financial context, forensic document authentication, or guaranteeing extraction from blurred, obstructed or unreadable images.</w:t>
      </w:r>
    </w:p>
    <w:p>
      <w:r>
        <w:br w:type="page"/>
      </w:r>
    </w:p>
    <w:p>
      <w:pPr>
        <w:pStyle w:val="Heading1"/>
      </w:pPr>
      <w:r>
        <w:t>3. Functional requirements and workflows</w:t>
      </w:r>
    </w:p>
    <w:p>
      <w:pPr>
        <w:pStyle w:val="Heading2"/>
      </w:pPr>
      <w:r>
        <w:t>3.1 Capture-to-ledger workflow</w:t>
      </w:r>
    </w:p>
    <w:p>
      <w:pPr>
        <w:numPr>
          <w:ilvl w:val="0"/>
          <w:numId w:val="12"/>
        </w:numPr>
        <w:spacing w:after="160" w:line="280" w:lineRule="auto"/>
      </w:pPr>
      <w:r>
        <w:t>The user selects manual, text, voice or image capture.</w:t>
      </w:r>
    </w:p>
    <w:p>
      <w:pPr>
        <w:numPr>
          <w:ilvl w:val="0"/>
          <w:numId w:val="12"/>
        </w:numPr>
        <w:spacing w:after="160" w:line="280" w:lineRule="auto"/>
      </w:pPr>
      <w:r>
        <w:t>The app normalises input locally. Voice is transcribed locally; images pass through local OCR and, when available, a local vision model.</w:t>
      </w:r>
    </w:p>
    <w:p>
      <w:pPr>
        <w:numPr>
          <w:ilvl w:val="0"/>
          <w:numId w:val="12"/>
        </w:numPr>
        <w:spacing w:after="160" w:line="280" w:lineRule="auto"/>
      </w:pPr>
      <w:r>
        <w:t>Personal merchant rules and prior corrections are checked before general model inference.</w:t>
      </w:r>
    </w:p>
    <w:p>
      <w:pPr>
        <w:numPr>
          <w:ilvl w:val="0"/>
          <w:numId w:val="12"/>
        </w:numPr>
        <w:spacing w:after="160" w:line="280" w:lineRule="auto"/>
      </w:pPr>
      <w:r>
        <w:t>The selected model produces a versioned AI Proposal containing transaction type, amount, INR currency, merchant, category, date/time, account, note, confidence and uncertain fields.</w:t>
      </w:r>
    </w:p>
    <w:p>
      <w:pPr>
        <w:numPr>
          <w:ilvl w:val="0"/>
          <w:numId w:val="12"/>
        </w:numPr>
        <w:spacing w:after="160" w:line="280" w:lineRule="auto"/>
      </w:pPr>
      <w:r>
        <w:t>Deterministic validation checks money precision, date range, category/account IDs, transfer balancing, duplicate fingerprint and required fields.</w:t>
      </w:r>
    </w:p>
    <w:p>
      <w:pPr>
        <w:numPr>
          <w:ilvl w:val="0"/>
          <w:numId w:val="12"/>
        </w:numPr>
        <w:spacing w:after="160" w:line="280" w:lineRule="auto"/>
      </w:pPr>
      <w:r>
        <w:t>The app displays an editable review screen and highlights uncertain or inferred values.</w:t>
      </w:r>
    </w:p>
    <w:p>
      <w:pPr>
        <w:numPr>
          <w:ilvl w:val="0"/>
          <w:numId w:val="12"/>
        </w:numPr>
        <w:spacing w:after="160" w:line="280" w:lineRule="auto"/>
      </w:pPr>
      <w:r>
        <w:t>The user confirms or corrects the proposal. Only then is an atomic ledger transaction committed.</w:t>
      </w:r>
    </w:p>
    <w:p>
      <w:pPr>
        <w:numPr>
          <w:ilvl w:val="0"/>
          <w:numId w:val="12"/>
        </w:numPr>
        <w:spacing w:after="160" w:line="280" w:lineRule="auto"/>
      </w:pPr>
      <w:r>
        <w:t>A correction event updates local personalisation rules and the dashboard recalculates from the ledger.</w:t>
      </w:r>
    </w:p>
    <w:p>
      <w:r>
        <w:br w:type="page"/>
      </w:r>
    </w:p>
    <w:p>
      <w:pPr>
        <w:pStyle w:val="Heading2"/>
      </w:pPr>
      <w:r>
        <w:t>3.2 Manual entry</w:t>
      </w:r>
    </w:p>
    <w:p>
      <w:pPr>
        <w:numPr>
          <w:ilvl w:val="0"/>
          <w:numId w:val="10"/>
        </w:numPr>
        <w:spacing w:after="160" w:line="280" w:lineRule="auto"/>
      </w:pPr>
      <w:r>
        <w:t>Amount, transaction type, date/time, account, merchant/payee, category, note and optional split lines.</w:t>
      </w:r>
    </w:p>
    <w:p>
      <w:pPr>
        <w:numPr>
          <w:ilvl w:val="0"/>
          <w:numId w:val="10"/>
        </w:numPr>
        <w:spacing w:after="160" w:line="280" w:lineRule="auto"/>
      </w:pPr>
      <w:r>
        <w:t>Quick presets for frequent items with editable defaults.</w:t>
      </w:r>
    </w:p>
    <w:p>
      <w:pPr>
        <w:numPr>
          <w:ilvl w:val="0"/>
          <w:numId w:val="10"/>
        </w:numPr>
        <w:spacing w:after="160" w:line="280" w:lineRule="auto"/>
      </w:pPr>
      <w:r>
        <w:t>Duplicate detection warning before save.</w:t>
      </w:r>
    </w:p>
    <w:p>
      <w:pPr>
        <w:numPr>
          <w:ilvl w:val="0"/>
          <w:numId w:val="10"/>
        </w:numPr>
        <w:spacing w:after="160" w:line="280" w:lineRule="auto"/>
      </w:pPr>
      <w:r>
        <w:t>Validation messages that explain the field and correction, not only an error code.</w:t>
      </w:r>
    </w:p>
    <w:p>
      <w:r>
        <w:br w:type="page"/>
      </w:r>
    </w:p>
    <w:p>
      <w:pPr>
        <w:pStyle w:val="Heading2"/>
      </w:pPr>
      <w:r>
        <w:t>3.3 Feedback and local improvement</w:t>
      </w:r>
    </w:p>
    <w:p>
      <w:r>
        <w:t>Corrections are append-only feedback events. Repeated merchant-to-category corrections may become an editable local rule; one-off examples remain retrieval examples. The user can inspect, disable, edit or reset learned rules. V1 does not silently fine-tune model weights on the phone.</w:t>
      </w:r>
    </w:p>
    <w:p>
      <w:pPr>
        <w:pStyle w:val="Heading2"/>
      </w:pPr>
      <w:r>
        <w:t>3.4 Model manager</w:t>
      </w:r>
    </w:p>
    <w:p>
      <w:pPr>
        <w:numPr>
          <w:ilvl w:val="0"/>
          <w:numId w:val="10"/>
        </w:numPr>
        <w:spacing w:after="160" w:line="280" w:lineRule="auto"/>
      </w:pPr>
      <w:r>
        <w:t>Show installed and compatible models, version, download size, estimated storage and supported modalities.</w:t>
      </w:r>
    </w:p>
    <w:p>
      <w:pPr>
        <w:numPr>
          <w:ilvl w:val="0"/>
          <w:numId w:val="10"/>
        </w:numPr>
        <w:spacing w:after="160" w:line="280" w:lineRule="auto"/>
      </w:pPr>
      <w:r>
        <w:t>Recommend a model after a local capability benchmark; permit manual selection only among compatible packages.</w:t>
      </w:r>
    </w:p>
    <w:p>
      <w:pPr>
        <w:numPr>
          <w:ilvl w:val="0"/>
          <w:numId w:val="10"/>
        </w:numPr>
        <w:spacing w:after="160" w:line="280" w:lineRule="auto"/>
      </w:pPr>
      <w:r>
        <w:t>Require explicit consent before downloading a large model and provide Wi-Fi-only and delete controls.</w:t>
      </w:r>
    </w:p>
    <w:p>
      <w:pPr>
        <w:numPr>
          <w:ilvl w:val="0"/>
          <w:numId w:val="10"/>
        </w:numPr>
        <w:spacing w:after="160" w:line="280" w:lineRule="auto"/>
      </w:pPr>
      <w:r>
        <w:t>Retain a deterministic/manual fallback even when no LLM is installed or a model fails.</w:t>
      </w:r>
    </w:p>
    <w:p>
      <w:pPr>
        <w:numPr>
          <w:ilvl w:val="0"/>
          <w:numId w:val="10"/>
        </w:numPr>
        <w:spacing w:after="160" w:line="280" w:lineRule="auto"/>
      </w:pPr>
      <w:r>
        <w:t>Record model/runtime version on AI Proposal metadata for evaluation and audit, without exposing it on the financial dashboard by default.</w:t>
      </w:r>
    </w:p>
    <w:p>
      <w:pPr>
        <w:pStyle w:val="Heading2"/>
      </w:pPr>
      <w:r>
        <w:t>3.5 XLSX import and export</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Stage</w:t>
            </w:r>
          </w:p>
        </w:tc>
        <w:tc>
          <w:tcPr>
            <w:tcW w:type="dxa" w:w="78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Requirement</w:t>
            </w:r>
          </w:p>
        </w:tc>
      </w:tr>
      <w:tr>
        <w:trPr>
          <w:cantSplit/>
        </w:trPr>
        <w:tc>
          <w:tcPr>
            <w:tcW w:type="dxa" w:w="1500"/>
          </w:tcPr>
          <w:p>
            <w:pPr>
              <w:spacing w:after="0" w:line="252" w:lineRule="auto"/>
            </w:pPr>
            <w:r>
              <w:rPr>
                <w:rFonts w:ascii="Calibri" w:hAnsi="Calibri" w:eastAsia="Calibri"/>
                <w:color w:val="161B21"/>
                <w:sz w:val="18"/>
              </w:rPr>
              <w:t>Select</w:t>
            </w:r>
          </w:p>
        </w:tc>
        <w:tc>
          <w:tcPr>
            <w:tcW w:type="dxa" w:w="7860"/>
          </w:tcPr>
          <w:p>
            <w:pPr>
              <w:spacing w:after="0" w:line="252" w:lineRule="auto"/>
            </w:pPr>
            <w:r>
              <w:rPr>
                <w:rFonts w:ascii="Calibri" w:hAnsi="Calibri" w:eastAsia="Calibri"/>
                <w:color w:val="161B21"/>
                <w:sz w:val="18"/>
              </w:rPr>
              <w:t>Choose workbook and sheet locally; no upload.</w:t>
            </w:r>
          </w:p>
        </w:tc>
      </w:tr>
      <w:tr>
        <w:trPr>
          <w:cantSplit/>
        </w:trPr>
        <w:tc>
          <w:tcPr>
            <w:tcW w:type="dxa" w:w="1500"/>
          </w:tcPr>
          <w:p>
            <w:pPr>
              <w:spacing w:after="0" w:line="252" w:lineRule="auto"/>
            </w:pPr>
            <w:r>
              <w:rPr>
                <w:rFonts w:ascii="Calibri" w:hAnsi="Calibri" w:eastAsia="Calibri"/>
                <w:color w:val="161B21"/>
                <w:sz w:val="18"/>
              </w:rPr>
              <w:t>Map</w:t>
            </w:r>
          </w:p>
        </w:tc>
        <w:tc>
          <w:tcPr>
            <w:tcW w:type="dxa" w:w="7860"/>
          </w:tcPr>
          <w:p>
            <w:pPr>
              <w:spacing w:after="0" w:line="252" w:lineRule="auto"/>
            </w:pPr>
            <w:r>
              <w:rPr>
                <w:rFonts w:ascii="Calibri" w:hAnsi="Calibri" w:eastAsia="Calibri"/>
                <w:color w:val="161B21"/>
                <w:sz w:val="18"/>
              </w:rPr>
              <w:t>Auto-detect and allow mapping of amount/debit/credit, date, merchant, category, account, INR currency and note.</w:t>
            </w:r>
          </w:p>
        </w:tc>
      </w:tr>
      <w:tr>
        <w:trPr>
          <w:cantSplit/>
        </w:trPr>
        <w:tc>
          <w:tcPr>
            <w:tcW w:type="dxa" w:w="1500"/>
          </w:tcPr>
          <w:p>
            <w:pPr>
              <w:spacing w:after="0" w:line="252" w:lineRule="auto"/>
            </w:pPr>
            <w:r>
              <w:rPr>
                <w:rFonts w:ascii="Calibri" w:hAnsi="Calibri" w:eastAsia="Calibri"/>
                <w:color w:val="161B21"/>
                <w:sz w:val="18"/>
              </w:rPr>
              <w:t>Preview</w:t>
            </w:r>
          </w:p>
        </w:tc>
        <w:tc>
          <w:tcPr>
            <w:tcW w:type="dxa" w:w="7860"/>
          </w:tcPr>
          <w:p>
            <w:pPr>
              <w:spacing w:after="0" w:line="252" w:lineRule="auto"/>
            </w:pPr>
            <w:r>
              <w:rPr>
                <w:rFonts w:ascii="Calibri" w:hAnsi="Calibri" w:eastAsia="Calibri"/>
                <w:color w:val="161B21"/>
                <w:sz w:val="18"/>
              </w:rPr>
              <w:t>Show row-level validation without writing to the ledger.</w:t>
            </w:r>
          </w:p>
        </w:tc>
      </w:tr>
      <w:tr>
        <w:trPr>
          <w:cantSplit/>
        </w:trPr>
        <w:tc>
          <w:tcPr>
            <w:tcW w:type="dxa" w:w="1500"/>
          </w:tcPr>
          <w:p>
            <w:pPr>
              <w:spacing w:after="0" w:line="252" w:lineRule="auto"/>
            </w:pPr>
            <w:r>
              <w:rPr>
                <w:rFonts w:ascii="Calibri" w:hAnsi="Calibri" w:eastAsia="Calibri"/>
                <w:color w:val="161B21"/>
                <w:sz w:val="18"/>
              </w:rPr>
              <w:t>Deduplicate</w:t>
            </w:r>
          </w:p>
        </w:tc>
        <w:tc>
          <w:tcPr>
            <w:tcW w:type="dxa" w:w="7860"/>
          </w:tcPr>
          <w:p>
            <w:pPr>
              <w:spacing w:after="0" w:line="252" w:lineRule="auto"/>
            </w:pPr>
            <w:r>
              <w:rPr>
                <w:rFonts w:ascii="Calibri" w:hAnsi="Calibri" w:eastAsia="Calibri"/>
                <w:color w:val="161B21"/>
                <w:sz w:val="18"/>
              </w:rPr>
              <w:t>Warn on stable fingerprints and allow explicit user resolution.</w:t>
            </w:r>
          </w:p>
        </w:tc>
      </w:tr>
      <w:tr>
        <w:trPr>
          <w:cantSplit/>
        </w:trPr>
        <w:tc>
          <w:tcPr>
            <w:tcW w:type="dxa" w:w="1500"/>
          </w:tcPr>
          <w:p>
            <w:pPr>
              <w:spacing w:after="0" w:line="252" w:lineRule="auto"/>
            </w:pPr>
            <w:r>
              <w:rPr>
                <w:rFonts w:ascii="Calibri" w:hAnsi="Calibri" w:eastAsia="Calibri"/>
                <w:color w:val="161B21"/>
                <w:sz w:val="18"/>
              </w:rPr>
              <w:t>Commit</w:t>
            </w:r>
          </w:p>
        </w:tc>
        <w:tc>
          <w:tcPr>
            <w:tcW w:type="dxa" w:w="7860"/>
          </w:tcPr>
          <w:p>
            <w:pPr>
              <w:spacing w:after="0" w:line="252" w:lineRule="auto"/>
            </w:pPr>
            <w:r>
              <w:rPr>
                <w:rFonts w:ascii="Calibri" w:hAnsi="Calibri" w:eastAsia="Calibri"/>
                <w:color w:val="161B21"/>
                <w:sz w:val="18"/>
              </w:rPr>
              <w:t>Import valid rows as one recoverable job; invalid rows remain quarantined.</w:t>
            </w:r>
          </w:p>
        </w:tc>
      </w:tr>
      <w:tr>
        <w:trPr>
          <w:cantSplit/>
        </w:trPr>
        <w:tc>
          <w:tcPr>
            <w:tcW w:type="dxa" w:w="1500"/>
          </w:tcPr>
          <w:p>
            <w:pPr>
              <w:spacing w:after="0" w:line="252" w:lineRule="auto"/>
            </w:pPr>
            <w:r>
              <w:rPr>
                <w:rFonts w:ascii="Calibri" w:hAnsi="Calibri" w:eastAsia="Calibri"/>
                <w:color w:val="161B21"/>
                <w:sz w:val="18"/>
              </w:rPr>
              <w:t>Report</w:t>
            </w:r>
          </w:p>
        </w:tc>
        <w:tc>
          <w:tcPr>
            <w:tcW w:type="dxa" w:w="7860"/>
          </w:tcPr>
          <w:p>
            <w:pPr>
              <w:spacing w:after="0" w:line="252" w:lineRule="auto"/>
            </w:pPr>
            <w:r>
              <w:rPr>
                <w:rFonts w:ascii="Calibri" w:hAnsi="Calibri" w:eastAsia="Calibri"/>
                <w:color w:val="161B21"/>
                <w:sz w:val="18"/>
              </w:rPr>
              <w:t>Create an error sheet with source row, field and reason.</w:t>
            </w:r>
          </w:p>
        </w:tc>
      </w:tr>
      <w:tr>
        <w:trPr>
          <w:cantSplit/>
        </w:trPr>
        <w:tc>
          <w:tcPr>
            <w:tcW w:type="dxa" w:w="1500"/>
          </w:tcPr>
          <w:p>
            <w:pPr>
              <w:spacing w:after="0" w:line="252" w:lineRule="auto"/>
            </w:pPr>
            <w:r>
              <w:rPr>
                <w:rFonts w:ascii="Calibri" w:hAnsi="Calibri" w:eastAsia="Calibri"/>
                <w:color w:val="161B21"/>
                <w:sz w:val="18"/>
              </w:rPr>
              <w:t>Export</w:t>
            </w:r>
          </w:p>
        </w:tc>
        <w:tc>
          <w:tcPr>
            <w:tcW w:type="dxa" w:w="7860"/>
          </w:tcPr>
          <w:p>
            <w:pPr>
              <w:spacing w:after="0" w:line="252" w:lineRule="auto"/>
            </w:pPr>
            <w:r>
              <w:rPr>
                <w:rFonts w:ascii="Calibri" w:hAnsi="Calibri" w:eastAsia="Calibri"/>
                <w:color w:val="161B21"/>
                <w:sz w:val="18"/>
              </w:rPr>
              <w:t>Transactions, accounts, categories and summary sheets; API keys, embeddings and raw inference traces are excluded.</w:t>
            </w:r>
          </w:p>
        </w:tc>
      </w:tr>
    </w:tbl>
    <w:p>
      <w:pPr>
        <w:spacing w:after="40"/>
      </w:pPr>
    </w:p>
    <w:p>
      <w:r>
        <w:br w:type="page"/>
      </w:r>
    </w:p>
    <w:p>
      <w:pPr>
        <w:pStyle w:val="Heading1"/>
      </w:pPr>
      <w:r>
        <w:t>4. Architecture and on-device AI design</w:t>
      </w:r>
    </w:p>
    <w:p>
      <w:pPr>
        <w:pStyle w:val="Heading2"/>
      </w:pPr>
      <w:r>
        <w:t>4.1 Recommended solution architecture</w:t>
      </w:r>
    </w:p>
    <w:tbl>
      <w:tblPr>
        <w:tblStyle w:val="TableGrid"/>
        <w:tblW w:type="dxa" w:w="9360"/>
        <w:jc w:val="left"/>
        <w:tblLayout w:type="fixed"/>
        <w:tblLook w:firstColumn="1" w:firstRow="1" w:lastColumn="0" w:lastRow="0" w:noHBand="0" w:noVBand="1" w:val="04A0"/>
        <w:tblInd w:w="120" w:type="dxa"/>
      </w:tblPr>
      <w:tblGrid>
        <w:gridCol w:w="1350"/>
        <w:gridCol w:w="3250"/>
        <w:gridCol w:w="4760"/>
      </w:tblGrid>
      <w:tr>
        <w:trPr>
          <w:tblHeader w:val="true"/>
        </w:trPr>
        <w:tc>
          <w:tcPr>
            <w:tcW w:type="dxa" w:w="135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Layer</w:t>
            </w:r>
          </w:p>
        </w:tc>
        <w:tc>
          <w:tcPr>
            <w:tcW w:type="dxa" w:w="325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Recommended implementation</w:t>
            </w:r>
          </w:p>
        </w:tc>
        <w:tc>
          <w:tcPr>
            <w:tcW w:type="dxa" w:w="476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Responsibility</w:t>
            </w:r>
          </w:p>
        </w:tc>
      </w:tr>
      <w:tr>
        <w:trPr>
          <w:cantSplit/>
        </w:trPr>
        <w:tc>
          <w:tcPr>
            <w:tcW w:type="dxa" w:w="1350"/>
          </w:tcPr>
          <w:p>
            <w:pPr>
              <w:spacing w:after="0" w:line="252" w:lineRule="auto"/>
            </w:pPr>
            <w:r>
              <w:rPr>
                <w:rFonts w:ascii="Calibri" w:hAnsi="Calibri" w:eastAsia="Calibri"/>
                <w:color w:val="161B21"/>
                <w:sz w:val="17"/>
              </w:rPr>
              <w:t>Mobile UI</w:t>
            </w:r>
          </w:p>
        </w:tc>
        <w:tc>
          <w:tcPr>
            <w:tcW w:type="dxa" w:w="3250"/>
          </w:tcPr>
          <w:p>
            <w:pPr>
              <w:spacing w:after="0" w:line="252" w:lineRule="auto"/>
            </w:pPr>
            <w:r>
              <w:rPr>
                <w:rFonts w:ascii="Calibri" w:hAnsi="Calibri" w:eastAsia="Calibri"/>
                <w:color w:val="161B21"/>
                <w:sz w:val="17"/>
              </w:rPr>
              <w:t>Flutter</w:t>
            </w:r>
          </w:p>
        </w:tc>
        <w:tc>
          <w:tcPr>
            <w:tcW w:type="dxa" w:w="4760"/>
          </w:tcPr>
          <w:p>
            <w:pPr>
              <w:spacing w:after="0" w:line="252" w:lineRule="auto"/>
            </w:pPr>
            <w:r>
              <w:rPr>
                <w:rFonts w:ascii="Calibri" w:hAnsi="Calibri" w:eastAsia="Calibri"/>
                <w:color w:val="161B21"/>
                <w:sz w:val="17"/>
              </w:rPr>
              <w:t>Shared iOS/Android screens, state, accessibility and offline UX.</w:t>
            </w:r>
          </w:p>
        </w:tc>
      </w:tr>
      <w:tr>
        <w:trPr>
          <w:cantSplit/>
        </w:trPr>
        <w:tc>
          <w:tcPr>
            <w:tcW w:type="dxa" w:w="1350"/>
          </w:tcPr>
          <w:p>
            <w:pPr>
              <w:spacing w:after="0" w:line="252" w:lineRule="auto"/>
            </w:pPr>
            <w:r>
              <w:rPr>
                <w:rFonts w:ascii="Calibri" w:hAnsi="Calibri" w:eastAsia="Calibri"/>
                <w:color w:val="161B21"/>
                <w:sz w:val="17"/>
              </w:rPr>
              <w:t>Domain core</w:t>
            </w:r>
          </w:p>
        </w:tc>
        <w:tc>
          <w:tcPr>
            <w:tcW w:type="dxa" w:w="3250"/>
          </w:tcPr>
          <w:p>
            <w:pPr>
              <w:spacing w:after="0" w:line="252" w:lineRule="auto"/>
            </w:pPr>
            <w:r>
              <w:rPr>
                <w:rFonts w:ascii="Calibri" w:hAnsi="Calibri" w:eastAsia="Calibri"/>
                <w:color w:val="161B21"/>
                <w:sz w:val="17"/>
              </w:rPr>
              <w:t>Dart domain services plus testable platform-neutral contracts</w:t>
            </w:r>
          </w:p>
        </w:tc>
        <w:tc>
          <w:tcPr>
            <w:tcW w:type="dxa" w:w="4760"/>
          </w:tcPr>
          <w:p>
            <w:pPr>
              <w:spacing w:after="0" w:line="252" w:lineRule="auto"/>
            </w:pPr>
            <w:r>
              <w:rPr>
                <w:rFonts w:ascii="Calibri" w:hAnsi="Calibri" w:eastAsia="Calibri"/>
                <w:color w:val="161B21"/>
                <w:sz w:val="17"/>
              </w:rPr>
              <w:t>Money arithmetic, ledger rules, validation, budgets and audit.</w:t>
            </w:r>
          </w:p>
        </w:tc>
      </w:tr>
      <w:tr>
        <w:trPr>
          <w:cantSplit/>
        </w:trPr>
        <w:tc>
          <w:tcPr>
            <w:tcW w:type="dxa" w:w="1350"/>
          </w:tcPr>
          <w:p>
            <w:pPr>
              <w:spacing w:after="0" w:line="252" w:lineRule="auto"/>
            </w:pPr>
            <w:r>
              <w:rPr>
                <w:rFonts w:ascii="Calibri" w:hAnsi="Calibri" w:eastAsia="Calibri"/>
                <w:color w:val="161B21"/>
                <w:sz w:val="17"/>
              </w:rPr>
              <w:t>Database</w:t>
            </w:r>
          </w:p>
        </w:tc>
        <w:tc>
          <w:tcPr>
            <w:tcW w:type="dxa" w:w="3250"/>
          </w:tcPr>
          <w:p>
            <w:pPr>
              <w:spacing w:after="0" w:line="252" w:lineRule="auto"/>
            </w:pPr>
            <w:r>
              <w:rPr>
                <w:rFonts w:ascii="Calibri" w:hAnsi="Calibri" w:eastAsia="Calibri"/>
                <w:color w:val="161B21"/>
                <w:sz w:val="17"/>
              </w:rPr>
              <w:t>Encrypted SQLite with migrations and atomic transactions</w:t>
            </w:r>
          </w:p>
        </w:tc>
        <w:tc>
          <w:tcPr>
            <w:tcW w:type="dxa" w:w="4760"/>
          </w:tcPr>
          <w:p>
            <w:pPr>
              <w:spacing w:after="0" w:line="252" w:lineRule="auto"/>
            </w:pPr>
            <w:r>
              <w:rPr>
                <w:rFonts w:ascii="Calibri" w:hAnsi="Calibri" w:eastAsia="Calibri"/>
                <w:color w:val="161B21"/>
                <w:sz w:val="17"/>
              </w:rPr>
              <w:t>Ledger, accounts, categories, feedback, model registry and import jobs.</w:t>
            </w:r>
          </w:p>
        </w:tc>
      </w:tr>
      <w:tr>
        <w:trPr>
          <w:cantSplit/>
        </w:trPr>
        <w:tc>
          <w:tcPr>
            <w:tcW w:type="dxa" w:w="1350"/>
          </w:tcPr>
          <w:p>
            <w:pPr>
              <w:spacing w:after="0" w:line="252" w:lineRule="auto"/>
            </w:pPr>
            <w:r>
              <w:rPr>
                <w:rFonts w:ascii="Calibri" w:hAnsi="Calibri" w:eastAsia="Calibri"/>
                <w:color w:val="161B21"/>
                <w:sz w:val="17"/>
              </w:rPr>
              <w:t>Inference runtime</w:t>
            </w:r>
          </w:p>
        </w:tc>
        <w:tc>
          <w:tcPr>
            <w:tcW w:type="dxa" w:w="3250"/>
          </w:tcPr>
          <w:p>
            <w:pPr>
              <w:spacing w:after="0" w:line="252" w:lineRule="auto"/>
            </w:pPr>
            <w:r>
              <w:rPr>
                <w:rFonts w:ascii="Calibri" w:hAnsi="Calibri" w:eastAsia="Calibri"/>
                <w:color w:val="161B21"/>
                <w:sz w:val="17"/>
              </w:rPr>
              <w:t>LiteRT-LM through native Kotlin/Swift/C++ bridge</w:t>
            </w:r>
          </w:p>
        </w:tc>
        <w:tc>
          <w:tcPr>
            <w:tcW w:type="dxa" w:w="4760"/>
          </w:tcPr>
          <w:p>
            <w:pPr>
              <w:spacing w:after="0" w:line="252" w:lineRule="auto"/>
            </w:pPr>
            <w:r>
              <w:rPr>
                <w:rFonts w:ascii="Calibri" w:hAnsi="Calibri" w:eastAsia="Calibri"/>
                <w:color w:val="161B21"/>
                <w:sz w:val="17"/>
              </w:rPr>
              <w:t>On-device text/vision model loading, constrained output and acceleration.</w:t>
            </w:r>
          </w:p>
        </w:tc>
      </w:tr>
      <w:tr>
        <w:trPr>
          <w:cantSplit/>
        </w:trPr>
        <w:tc>
          <w:tcPr>
            <w:tcW w:type="dxa" w:w="1350"/>
          </w:tcPr>
          <w:p>
            <w:pPr>
              <w:spacing w:after="0" w:line="252" w:lineRule="auto"/>
            </w:pPr>
            <w:r>
              <w:rPr>
                <w:rFonts w:ascii="Calibri" w:hAnsi="Calibri" w:eastAsia="Calibri"/>
                <w:color w:val="161B21"/>
                <w:sz w:val="17"/>
              </w:rPr>
              <w:t>Voice</w:t>
            </w:r>
          </w:p>
        </w:tc>
        <w:tc>
          <w:tcPr>
            <w:tcW w:type="dxa" w:w="3250"/>
          </w:tcPr>
          <w:p>
            <w:pPr>
              <w:spacing w:after="0" w:line="252" w:lineRule="auto"/>
            </w:pPr>
            <w:r>
              <w:rPr>
                <w:rFonts w:ascii="Calibri" w:hAnsi="Calibri" w:eastAsia="Calibri"/>
                <w:color w:val="161B21"/>
                <w:sz w:val="17"/>
              </w:rPr>
              <w:t>Embedded/on-device English ASR adapter</w:t>
            </w:r>
          </w:p>
        </w:tc>
        <w:tc>
          <w:tcPr>
            <w:tcW w:type="dxa" w:w="4760"/>
          </w:tcPr>
          <w:p>
            <w:pPr>
              <w:spacing w:after="0" w:line="252" w:lineRule="auto"/>
            </w:pPr>
            <w:r>
              <w:rPr>
                <w:rFonts w:ascii="Calibri" w:hAnsi="Calibri" w:eastAsia="Calibri"/>
                <w:color w:val="161B21"/>
                <w:sz w:val="17"/>
              </w:rPr>
              <w:t>Audio-to-text without a Supplier server; temporary audio deleted after review by default.</w:t>
            </w:r>
          </w:p>
        </w:tc>
      </w:tr>
      <w:tr>
        <w:trPr>
          <w:cantSplit/>
        </w:trPr>
        <w:tc>
          <w:tcPr>
            <w:tcW w:type="dxa" w:w="1350"/>
          </w:tcPr>
          <w:p>
            <w:pPr>
              <w:spacing w:after="0" w:line="252" w:lineRule="auto"/>
            </w:pPr>
            <w:r>
              <w:rPr>
                <w:rFonts w:ascii="Calibri" w:hAnsi="Calibri" w:eastAsia="Calibri"/>
                <w:color w:val="161B21"/>
                <w:sz w:val="17"/>
              </w:rPr>
              <w:t>Image</w:t>
            </w:r>
          </w:p>
        </w:tc>
        <w:tc>
          <w:tcPr>
            <w:tcW w:type="dxa" w:w="3250"/>
          </w:tcPr>
          <w:p>
            <w:pPr>
              <w:spacing w:after="0" w:line="252" w:lineRule="auto"/>
            </w:pPr>
            <w:r>
              <w:rPr>
                <w:rFonts w:ascii="Calibri" w:hAnsi="Calibri" w:eastAsia="Calibri"/>
                <w:color w:val="161B21"/>
                <w:sz w:val="17"/>
              </w:rPr>
              <w:t>Platform OCR plus optional local vision model</w:t>
            </w:r>
          </w:p>
        </w:tc>
        <w:tc>
          <w:tcPr>
            <w:tcW w:type="dxa" w:w="4760"/>
          </w:tcPr>
          <w:p>
            <w:pPr>
              <w:spacing w:after="0" w:line="252" w:lineRule="auto"/>
            </w:pPr>
            <w:r>
              <w:rPr>
                <w:rFonts w:ascii="Calibri" w:hAnsi="Calibri" w:eastAsia="Calibri"/>
                <w:color w:val="161B21"/>
                <w:sz w:val="17"/>
              </w:rPr>
              <w:t>Extract visible text first; interpret broader image context only on capable devices.</w:t>
            </w:r>
          </w:p>
        </w:tc>
      </w:tr>
      <w:tr>
        <w:trPr>
          <w:cantSplit/>
        </w:trPr>
        <w:tc>
          <w:tcPr>
            <w:tcW w:type="dxa" w:w="1350"/>
          </w:tcPr>
          <w:p>
            <w:pPr>
              <w:spacing w:after="0" w:line="252" w:lineRule="auto"/>
            </w:pPr>
            <w:r>
              <w:rPr>
                <w:rFonts w:ascii="Calibri" w:hAnsi="Calibri" w:eastAsia="Calibri"/>
                <w:color w:val="161B21"/>
                <w:sz w:val="17"/>
              </w:rPr>
              <w:t>Provider adapters</w:t>
            </w:r>
          </w:p>
        </w:tc>
        <w:tc>
          <w:tcPr>
            <w:tcW w:type="dxa" w:w="3250"/>
          </w:tcPr>
          <w:p>
            <w:pPr>
              <w:spacing w:after="0" w:line="252" w:lineRule="auto"/>
            </w:pPr>
            <w:r>
              <w:rPr>
                <w:rFonts w:ascii="Calibri" w:hAnsi="Calibri" w:eastAsia="Calibri"/>
                <w:color w:val="161B21"/>
                <w:sz w:val="17"/>
              </w:rPr>
              <w:t>OpenAI Responses and Anthropic native APIs</w:t>
            </w:r>
          </w:p>
        </w:tc>
        <w:tc>
          <w:tcPr>
            <w:tcW w:type="dxa" w:w="4760"/>
          </w:tcPr>
          <w:p>
            <w:pPr>
              <w:spacing w:after="0" w:line="252" w:lineRule="auto"/>
            </w:pPr>
            <w:r>
              <w:rPr>
                <w:rFonts w:ascii="Calibri" w:hAnsi="Calibri" w:eastAsia="Calibri"/>
                <w:color w:val="161B21"/>
                <w:sz w:val="17"/>
              </w:rPr>
              <w:t>Optional user-initiated BYOK requests returning the same schema.</w:t>
            </w:r>
          </w:p>
        </w:tc>
      </w:tr>
      <w:tr>
        <w:trPr>
          <w:cantSplit/>
        </w:trPr>
        <w:tc>
          <w:tcPr>
            <w:tcW w:type="dxa" w:w="1350"/>
          </w:tcPr>
          <w:p>
            <w:pPr>
              <w:spacing w:after="0" w:line="252" w:lineRule="auto"/>
            </w:pPr>
            <w:r>
              <w:rPr>
                <w:rFonts w:ascii="Calibri" w:hAnsi="Calibri" w:eastAsia="Calibri"/>
                <w:color w:val="161B21"/>
                <w:sz w:val="17"/>
              </w:rPr>
              <w:t>Evaluation</w:t>
            </w:r>
          </w:p>
        </w:tc>
        <w:tc>
          <w:tcPr>
            <w:tcW w:type="dxa" w:w="3250"/>
          </w:tcPr>
          <w:p>
            <w:pPr>
              <w:spacing w:after="0" w:line="252" w:lineRule="auto"/>
            </w:pPr>
            <w:r>
              <w:rPr>
                <w:rFonts w:ascii="Calibri" w:hAnsi="Calibri" w:eastAsia="Calibri"/>
                <w:color w:val="161B21"/>
                <w:sz w:val="17"/>
              </w:rPr>
              <w:t>Python + DeepEval + deterministic metrics</w:t>
            </w:r>
          </w:p>
        </w:tc>
        <w:tc>
          <w:tcPr>
            <w:tcW w:type="dxa" w:w="4760"/>
          </w:tcPr>
          <w:p>
            <w:pPr>
              <w:spacing w:after="0" w:line="252" w:lineRule="auto"/>
            </w:pPr>
            <w:r>
              <w:rPr>
                <w:rFonts w:ascii="Calibri" w:hAnsi="Calibri" w:eastAsia="Calibri"/>
                <w:color w:val="161B21"/>
                <w:sz w:val="17"/>
              </w:rPr>
              <w:t>Local/CI goldens, model comparison, regression and controlled connected evals.</w:t>
            </w:r>
          </w:p>
        </w:tc>
      </w:tr>
    </w:tbl>
    <w:p>
      <w:pPr>
        <w:spacing w:after="40"/>
      </w:pPr>
    </w:p>
    <w:p>
      <w:pPr>
        <w:pStyle w:val="Heading2"/>
      </w:pPr>
      <w:r>
        <w:t>4.2 AI safety boundary</w:t>
      </w:r>
    </w:p>
    <w:p>
      <w:pPr>
        <w:spacing w:before="120" w:after="200"/>
        <w:ind w:left="173" w:right="115"/>
        <w:shd w:fill="FFF4F2"/>
        <w:pBdr>
          <w:left w:val="single" w:sz="20" w:space="8" w:color="9B1C1C"/>
        </w:pBdr>
      </w:pPr>
      <w:r>
        <w:rPr>
          <w:rFonts w:ascii="Calibri" w:hAnsi="Calibri" w:eastAsia="Calibri"/>
          <w:b/>
          <w:color w:val="1F4D78"/>
        </w:rPr>
        <w:t xml:space="preserve">Non-negotiable design rule. </w:t>
      </w:r>
      <w:r>
        <w:t>The model may propose fields but cannot execute a payment, mutate a balance, create a committed transaction, delete data or change a category rule without deterministic validation and an explicit authorised user action.</w:t>
      </w:r>
    </w:p>
    <w:p>
      <w:r>
        <w:br w:type="page"/>
      </w:r>
    </w:p>
    <w:p>
      <w:pPr>
        <w:pStyle w:val="Heading2"/>
      </w:pPr>
      <w:r>
        <w:t>4.3 Intelligence decision order</w:t>
      </w:r>
    </w:p>
    <w:p>
      <w:pPr>
        <w:numPr>
          <w:ilvl w:val="0"/>
          <w:numId w:val="13"/>
        </w:numPr>
        <w:spacing w:after="160" w:line="280" w:lineRule="auto"/>
      </w:pPr>
      <w:r>
        <w:t>Exact user-defined rule or previously approved merchant mapping.</w:t>
      </w:r>
    </w:p>
    <w:p>
      <w:pPr>
        <w:numPr>
          <w:ilvl w:val="0"/>
          <w:numId w:val="13"/>
        </w:numPr>
        <w:spacing w:after="160" w:line="280" w:lineRule="auto"/>
      </w:pPr>
      <w:r>
        <w:t>Deterministic parsing of INR symbols, numbers, dates, account terms and known merchants.</w:t>
      </w:r>
    </w:p>
    <w:p>
      <w:pPr>
        <w:numPr>
          <w:ilvl w:val="0"/>
          <w:numId w:val="13"/>
        </w:numPr>
        <w:spacing w:after="160" w:line="280" w:lineRule="auto"/>
      </w:pPr>
      <w:r>
        <w:t>Retrieval of similar local corrections with bounded context.</w:t>
      </w:r>
    </w:p>
    <w:p>
      <w:pPr>
        <w:numPr>
          <w:ilvl w:val="0"/>
          <w:numId w:val="13"/>
        </w:numPr>
        <w:spacing w:after="160" w:line="280" w:lineRule="auto"/>
      </w:pPr>
      <w:r>
        <w:t>Selected on-device model using a constrained category allow-list and transaction schema.</w:t>
      </w:r>
    </w:p>
    <w:p>
      <w:pPr>
        <w:numPr>
          <w:ilvl w:val="0"/>
          <w:numId w:val="13"/>
        </w:numPr>
        <w:spacing w:after="160" w:line="280" w:lineRule="auto"/>
      </w:pPr>
      <w:r>
        <w:t>Optional hosted provider only when the user activates Connected BYOK Mode.</w:t>
      </w:r>
    </w:p>
    <w:p>
      <w:pPr>
        <w:numPr>
          <w:ilvl w:val="0"/>
          <w:numId w:val="13"/>
        </w:numPr>
        <w:spacing w:after="160" w:line="280" w:lineRule="auto"/>
      </w:pPr>
      <w:r>
        <w:t>Local validator and mandatory review screen.</w:t>
      </w:r>
    </w:p>
    <w:p>
      <w:pPr>
        <w:pStyle w:val="Heading2"/>
      </w:pPr>
      <w:r>
        <w:t>4.4 Model strategy</w:t>
      </w:r>
    </w:p>
    <w:p>
      <w:r>
        <w:t>The model name is a deployable configuration, not a permanent business dependency. Model packages must pass the same wallet-specific acceptance suite before release.</w:t>
      </w:r>
    </w:p>
    <w:tbl>
      <w:tblPr>
        <w:tblStyle w:val="TableGrid"/>
        <w:tblW w:type="dxa" w:w="9360"/>
        <w:jc w:val="left"/>
        <w:tblLayout w:type="fixed"/>
        <w:tblLook w:firstColumn="1" w:firstRow="1" w:lastColumn="0" w:lastRow="0" w:noHBand="0" w:noVBand="1" w:val="04A0"/>
        <w:tblInd w:w="120" w:type="dxa"/>
      </w:tblPr>
      <w:tblGrid>
        <w:gridCol w:w="2600"/>
        <w:gridCol w:w="2300"/>
        <w:gridCol w:w="4460"/>
      </w:tblGrid>
      <w:tr>
        <w:trPr>
          <w:tblHeader w:val="true"/>
        </w:trPr>
        <w:tc>
          <w:tcPr>
            <w:tcW w:type="dxa" w:w="26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Candidate</w:t>
            </w:r>
          </w:p>
        </w:tc>
        <w:tc>
          <w:tcPr>
            <w:tcW w:type="dxa" w:w="23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Role</w:t>
            </w:r>
          </w:p>
        </w:tc>
        <w:tc>
          <w:tcPr>
            <w:tcW w:type="dxa" w:w="44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Decision rule</w:t>
            </w:r>
          </w:p>
        </w:tc>
      </w:tr>
      <w:tr>
        <w:trPr>
          <w:cantSplit/>
        </w:trPr>
        <w:tc>
          <w:tcPr>
            <w:tcW w:type="dxa" w:w="2600"/>
          </w:tcPr>
          <w:p>
            <w:pPr>
              <w:spacing w:after="0" w:line="252" w:lineRule="auto"/>
            </w:pPr>
            <w:r>
              <w:rPr>
                <w:rFonts w:ascii="Calibri" w:hAnsi="Calibri" w:eastAsia="Calibri"/>
                <w:color w:val="161B21"/>
                <w:sz w:val="18"/>
              </w:rPr>
              <w:t>Gemma 4 E2B Instruct / LiteRT-LM</w:t>
            </w:r>
          </w:p>
        </w:tc>
        <w:tc>
          <w:tcPr>
            <w:tcW w:type="dxa" w:w="2300"/>
          </w:tcPr>
          <w:p>
            <w:pPr>
              <w:spacing w:after="0" w:line="252" w:lineRule="auto"/>
            </w:pPr>
            <w:r>
              <w:rPr>
                <w:rFonts w:ascii="Calibri" w:hAnsi="Calibri" w:eastAsia="Calibri"/>
                <w:color w:val="161B21"/>
                <w:sz w:val="18"/>
              </w:rPr>
              <w:t>Primary qualification baseline</w:t>
            </w:r>
          </w:p>
        </w:tc>
        <w:tc>
          <w:tcPr>
            <w:tcW w:type="dxa" w:w="4460"/>
          </w:tcPr>
          <w:p>
            <w:pPr>
              <w:spacing w:after="0" w:line="252" w:lineRule="auto"/>
            </w:pPr>
            <w:r>
              <w:rPr>
                <w:rFonts w:ascii="Calibri" w:hAnsi="Calibri" w:eastAsia="Calibri"/>
                <w:color w:val="161B21"/>
                <w:sz w:val="18"/>
              </w:rPr>
              <w:t>Use if it leads the combined accuracy, latency, memory and package-size score on reference devices.</w:t>
            </w:r>
          </w:p>
        </w:tc>
      </w:tr>
      <w:tr>
        <w:trPr>
          <w:cantSplit/>
        </w:trPr>
        <w:tc>
          <w:tcPr>
            <w:tcW w:type="dxa" w:w="2600"/>
          </w:tcPr>
          <w:p>
            <w:pPr>
              <w:spacing w:after="0" w:line="252" w:lineRule="auto"/>
            </w:pPr>
            <w:r>
              <w:rPr>
                <w:rFonts w:ascii="Calibri" w:hAnsi="Calibri" w:eastAsia="Calibri"/>
                <w:color w:val="161B21"/>
                <w:sz w:val="18"/>
              </w:rPr>
              <w:t>Small Qwen instruct / LiteRT-LM</w:t>
            </w:r>
          </w:p>
        </w:tc>
        <w:tc>
          <w:tcPr>
            <w:tcW w:type="dxa" w:w="2300"/>
          </w:tcPr>
          <w:p>
            <w:pPr>
              <w:spacing w:after="0" w:line="252" w:lineRule="auto"/>
            </w:pPr>
            <w:r>
              <w:rPr>
                <w:rFonts w:ascii="Calibri" w:hAnsi="Calibri" w:eastAsia="Calibri"/>
                <w:color w:val="161B21"/>
                <w:sz w:val="18"/>
              </w:rPr>
              <w:t>Accuracy and language challenger</w:t>
            </w:r>
          </w:p>
        </w:tc>
        <w:tc>
          <w:tcPr>
            <w:tcW w:type="dxa" w:w="4460"/>
          </w:tcPr>
          <w:p>
            <w:pPr>
              <w:spacing w:after="0" w:line="252" w:lineRule="auto"/>
            </w:pPr>
            <w:r>
              <w:rPr>
                <w:rFonts w:ascii="Calibri" w:hAnsi="Calibri" w:eastAsia="Calibri"/>
                <w:color w:val="161B21"/>
                <w:sz w:val="18"/>
              </w:rPr>
              <w:t>Select when it materially improves wallet extraction/category accuracy without violating device gates.</w:t>
            </w:r>
          </w:p>
        </w:tc>
      </w:tr>
      <w:tr>
        <w:trPr>
          <w:cantSplit/>
        </w:trPr>
        <w:tc>
          <w:tcPr>
            <w:tcW w:type="dxa" w:w="2600"/>
          </w:tcPr>
          <w:p>
            <w:pPr>
              <w:spacing w:after="0" w:line="252" w:lineRule="auto"/>
            </w:pPr>
            <w:r>
              <w:rPr>
                <w:rFonts w:ascii="Calibri" w:hAnsi="Calibri" w:eastAsia="Calibri"/>
                <w:color w:val="161B21"/>
                <w:sz w:val="18"/>
              </w:rPr>
              <w:t>Small Phi or Llama instruct / LiteRT-LM</w:t>
            </w:r>
          </w:p>
        </w:tc>
        <w:tc>
          <w:tcPr>
            <w:tcW w:type="dxa" w:w="2300"/>
          </w:tcPr>
          <w:p>
            <w:pPr>
              <w:spacing w:after="0" w:line="252" w:lineRule="auto"/>
            </w:pPr>
            <w:r>
              <w:rPr>
                <w:rFonts w:ascii="Calibri" w:hAnsi="Calibri" w:eastAsia="Calibri"/>
                <w:color w:val="161B21"/>
                <w:sz w:val="18"/>
              </w:rPr>
              <w:t>Size/latency challenger</w:t>
            </w:r>
          </w:p>
        </w:tc>
        <w:tc>
          <w:tcPr>
            <w:tcW w:type="dxa" w:w="4460"/>
          </w:tcPr>
          <w:p>
            <w:pPr>
              <w:spacing w:after="0" w:line="252" w:lineRule="auto"/>
            </w:pPr>
            <w:r>
              <w:rPr>
                <w:rFonts w:ascii="Calibri" w:hAnsi="Calibri" w:eastAsia="Calibri"/>
                <w:color w:val="161B21"/>
                <w:sz w:val="18"/>
              </w:rPr>
              <w:t>Select for Lite tier when lower memory materially expands compatible devices.</w:t>
            </w:r>
          </w:p>
        </w:tc>
      </w:tr>
      <w:tr>
        <w:trPr>
          <w:cantSplit/>
        </w:trPr>
        <w:tc>
          <w:tcPr>
            <w:tcW w:type="dxa" w:w="2600"/>
          </w:tcPr>
          <w:p>
            <w:pPr>
              <w:spacing w:after="0" w:line="252" w:lineRule="auto"/>
            </w:pPr>
            <w:r>
              <w:rPr>
                <w:rFonts w:ascii="Calibri" w:hAnsi="Calibri" w:eastAsia="Calibri"/>
                <w:color w:val="161B21"/>
                <w:sz w:val="18"/>
              </w:rPr>
              <w:t>Rules-only mode</w:t>
            </w:r>
          </w:p>
        </w:tc>
        <w:tc>
          <w:tcPr>
            <w:tcW w:type="dxa" w:w="2300"/>
          </w:tcPr>
          <w:p>
            <w:pPr>
              <w:spacing w:after="0" w:line="252" w:lineRule="auto"/>
            </w:pPr>
            <w:r>
              <w:rPr>
                <w:rFonts w:ascii="Calibri" w:hAnsi="Calibri" w:eastAsia="Calibri"/>
                <w:color w:val="161B21"/>
                <w:sz w:val="18"/>
              </w:rPr>
              <w:t>Universal fallback</w:t>
            </w:r>
          </w:p>
        </w:tc>
        <w:tc>
          <w:tcPr>
            <w:tcW w:type="dxa" w:w="4460"/>
          </w:tcPr>
          <w:p>
            <w:pPr>
              <w:spacing w:after="0" w:line="252" w:lineRule="auto"/>
            </w:pPr>
            <w:r>
              <w:rPr>
                <w:rFonts w:ascii="Calibri" w:hAnsi="Calibri" w:eastAsia="Calibri"/>
                <w:color w:val="161B21"/>
                <w:sz w:val="18"/>
              </w:rPr>
              <w:t>Always available; manual review and entry remain usable without an LLM.</w:t>
            </w:r>
          </w:p>
        </w:tc>
      </w:tr>
    </w:tbl>
    <w:p>
      <w:pPr>
        <w:spacing w:after="40"/>
      </w:pPr>
    </w:p>
    <w:p>
      <w:r>
        <w:br w:type="page"/>
      </w:r>
    </w:p>
    <w:p>
      <w:pPr>
        <w:pStyle w:val="Heading2"/>
      </w:pPr>
      <w:r>
        <w:t>4.5 Device compatibility policy</w:t>
      </w:r>
    </w:p>
    <w:tbl>
      <w:tblPr>
        <w:tblStyle w:val="TableGrid"/>
        <w:tblW w:type="dxa" w:w="9360"/>
        <w:jc w:val="left"/>
        <w:tblLayout w:type="fixed"/>
        <w:tblLook w:firstColumn="1" w:firstRow="1" w:lastColumn="0" w:lastRow="0" w:noHBand="0" w:noVBand="1" w:val="04A0"/>
        <w:tblInd w:w="120" w:type="dxa"/>
      </w:tblPr>
      <w:tblGrid>
        <w:gridCol w:w="1300"/>
        <w:gridCol w:w="3850"/>
        <w:gridCol w:w="4210"/>
      </w:tblGrid>
      <w:tr>
        <w:trPr>
          <w:tblHeader w:val="true"/>
        </w:trPr>
        <w:tc>
          <w:tcPr>
            <w:tcW w:type="dxa" w:w="130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Tier</w:t>
            </w:r>
          </w:p>
        </w:tc>
        <w:tc>
          <w:tcPr>
            <w:tcW w:type="dxa" w:w="385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Eligibility</w:t>
            </w:r>
          </w:p>
        </w:tc>
        <w:tc>
          <w:tcPr>
            <w:tcW w:type="dxa" w:w="421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Expected behaviour</w:t>
            </w:r>
          </w:p>
        </w:tc>
      </w:tr>
      <w:tr>
        <w:trPr>
          <w:cantSplit/>
        </w:trPr>
        <w:tc>
          <w:tcPr>
            <w:tcW w:type="dxa" w:w="1300"/>
          </w:tcPr>
          <w:p>
            <w:pPr>
              <w:spacing w:after="0" w:line="252" w:lineRule="auto"/>
            </w:pPr>
            <w:r>
              <w:rPr>
                <w:rFonts w:ascii="Calibri" w:hAnsi="Calibri" w:eastAsia="Calibri"/>
                <w:color w:val="161B21"/>
                <w:sz w:val="17"/>
              </w:rPr>
              <w:t>Core</w:t>
            </w:r>
          </w:p>
        </w:tc>
        <w:tc>
          <w:tcPr>
            <w:tcW w:type="dxa" w:w="3850"/>
          </w:tcPr>
          <w:p>
            <w:pPr>
              <w:spacing w:after="0" w:line="252" w:lineRule="auto"/>
            </w:pPr>
            <w:r>
              <w:rPr>
                <w:rFonts w:ascii="Calibri" w:hAnsi="Calibri" w:eastAsia="Calibri"/>
                <w:color w:val="161B21"/>
                <w:sz w:val="17"/>
              </w:rPr>
              <w:t>64-bit Android 10+ or iOS 15+ meeting app-store/runtime requirements</w:t>
            </w:r>
          </w:p>
        </w:tc>
        <w:tc>
          <w:tcPr>
            <w:tcW w:type="dxa" w:w="4210"/>
          </w:tcPr>
          <w:p>
            <w:pPr>
              <w:spacing w:after="0" w:line="252" w:lineRule="auto"/>
            </w:pPr>
            <w:r>
              <w:rPr>
                <w:rFonts w:ascii="Calibri" w:hAnsi="Calibri" w:eastAsia="Calibri"/>
                <w:color w:val="161B21"/>
                <w:sz w:val="17"/>
              </w:rPr>
              <w:t>Manual entry, ledger, dashboard, correction memory, XLSX, local OCR where supported; no LLM promise.</w:t>
            </w:r>
          </w:p>
        </w:tc>
      </w:tr>
      <w:tr>
        <w:trPr>
          <w:cantSplit/>
        </w:trPr>
        <w:tc>
          <w:tcPr>
            <w:tcW w:type="dxa" w:w="1300"/>
          </w:tcPr>
          <w:p>
            <w:pPr>
              <w:spacing w:after="0" w:line="252" w:lineRule="auto"/>
            </w:pPr>
            <w:r>
              <w:rPr>
                <w:rFonts w:ascii="Calibri" w:hAnsi="Calibri" w:eastAsia="Calibri"/>
                <w:color w:val="161B21"/>
                <w:sz w:val="17"/>
              </w:rPr>
              <w:t>AI Lite</w:t>
            </w:r>
          </w:p>
        </w:tc>
        <w:tc>
          <w:tcPr>
            <w:tcW w:type="dxa" w:w="3850"/>
          </w:tcPr>
          <w:p>
            <w:pPr>
              <w:spacing w:after="0" w:line="252" w:lineRule="auto"/>
            </w:pPr>
            <w:r>
              <w:rPr>
                <w:rFonts w:ascii="Calibri" w:hAnsi="Calibri" w:eastAsia="Calibri"/>
                <w:color w:val="161B21"/>
                <w:sz w:val="17"/>
              </w:rPr>
              <w:t>Core device plus sufficient memory/storage and successful Lite benchmark</w:t>
            </w:r>
          </w:p>
        </w:tc>
        <w:tc>
          <w:tcPr>
            <w:tcW w:type="dxa" w:w="4210"/>
          </w:tcPr>
          <w:p>
            <w:pPr>
              <w:spacing w:after="0" w:line="252" w:lineRule="auto"/>
            </w:pPr>
            <w:r>
              <w:rPr>
                <w:rFonts w:ascii="Calibri" w:hAnsi="Calibri" w:eastAsia="Calibri"/>
                <w:color w:val="161B21"/>
                <w:sz w:val="17"/>
              </w:rPr>
              <w:t>Compact text model, shorter context and more confirmations.</w:t>
            </w:r>
          </w:p>
        </w:tc>
      </w:tr>
      <w:tr>
        <w:trPr>
          <w:cantSplit/>
        </w:trPr>
        <w:tc>
          <w:tcPr>
            <w:tcW w:type="dxa" w:w="1300"/>
          </w:tcPr>
          <w:p>
            <w:pPr>
              <w:spacing w:after="0" w:line="252" w:lineRule="auto"/>
            </w:pPr>
            <w:r>
              <w:rPr>
                <w:rFonts w:ascii="Calibri" w:hAnsi="Calibri" w:eastAsia="Calibri"/>
                <w:color w:val="161B21"/>
                <w:sz w:val="17"/>
              </w:rPr>
              <w:t>AI Standard</w:t>
            </w:r>
          </w:p>
        </w:tc>
        <w:tc>
          <w:tcPr>
            <w:tcW w:type="dxa" w:w="3850"/>
          </w:tcPr>
          <w:p>
            <w:pPr>
              <w:spacing w:after="0" w:line="252" w:lineRule="auto"/>
            </w:pPr>
            <w:r>
              <w:rPr>
                <w:rFonts w:ascii="Calibri" w:hAnsi="Calibri" w:eastAsia="Calibri"/>
                <w:color w:val="161B21"/>
                <w:sz w:val="17"/>
              </w:rPr>
              <w:t>Modern device that passes standard model memory, thermal and p95 latency gates</w:t>
            </w:r>
          </w:p>
        </w:tc>
        <w:tc>
          <w:tcPr>
            <w:tcW w:type="dxa" w:w="4210"/>
          </w:tcPr>
          <w:p>
            <w:pPr>
              <w:spacing w:after="0" w:line="252" w:lineRule="auto"/>
            </w:pPr>
            <w:r>
              <w:rPr>
                <w:rFonts w:ascii="Calibri" w:hAnsi="Calibri" w:eastAsia="Calibri"/>
                <w:color w:val="161B21"/>
                <w:sz w:val="17"/>
              </w:rPr>
              <w:t>Recommended local model, text plus eligible vision assistance.</w:t>
            </w:r>
          </w:p>
        </w:tc>
      </w:tr>
      <w:tr>
        <w:trPr>
          <w:cantSplit/>
        </w:trPr>
        <w:tc>
          <w:tcPr>
            <w:tcW w:type="dxa" w:w="1300"/>
          </w:tcPr>
          <w:p>
            <w:pPr>
              <w:spacing w:after="0" w:line="252" w:lineRule="auto"/>
            </w:pPr>
            <w:r>
              <w:rPr>
                <w:rFonts w:ascii="Calibri" w:hAnsi="Calibri" w:eastAsia="Calibri"/>
                <w:color w:val="161B21"/>
                <w:sz w:val="17"/>
              </w:rPr>
              <w:t>Connected</w:t>
            </w:r>
          </w:p>
        </w:tc>
        <w:tc>
          <w:tcPr>
            <w:tcW w:type="dxa" w:w="3850"/>
          </w:tcPr>
          <w:p>
            <w:pPr>
              <w:spacing w:after="0" w:line="252" w:lineRule="auto"/>
            </w:pPr>
            <w:r>
              <w:rPr>
                <w:rFonts w:ascii="Calibri" w:hAnsi="Calibri" w:eastAsia="Calibri"/>
                <w:color w:val="161B21"/>
                <w:sz w:val="17"/>
              </w:rPr>
              <w:t>Core device, network, user-owned valid provider API key and explicit consent</w:t>
            </w:r>
          </w:p>
        </w:tc>
        <w:tc>
          <w:tcPr>
            <w:tcW w:type="dxa" w:w="4210"/>
          </w:tcPr>
          <w:p>
            <w:pPr>
              <w:spacing w:after="0" w:line="252" w:lineRule="auto"/>
            </w:pPr>
            <w:r>
              <w:rPr>
                <w:rFonts w:ascii="Calibri" w:hAnsi="Calibri" w:eastAsia="Calibri"/>
                <w:color w:val="161B21"/>
                <w:sz w:val="17"/>
              </w:rPr>
              <w:t>Optional hosted inference; provider charges and availability apply.</w:t>
            </w:r>
          </w:p>
        </w:tc>
      </w:tr>
    </w:tbl>
    <w:p>
      <w:pPr>
        <w:spacing w:after="40"/>
      </w:pPr>
    </w:p>
    <w:p>
      <w:pPr>
        <w:spacing w:before="120" w:after="200"/>
        <w:ind w:left="173" w:right="115"/>
        <w:shd w:fill="F4F6F9"/>
        <w:pBdr>
          <w:left w:val="single" w:sz="20" w:space="8" w:color="2E74B5"/>
        </w:pBdr>
      </w:pPr>
      <w:r>
        <w:rPr>
          <w:rFonts w:ascii="Calibri" w:hAnsi="Calibri" w:eastAsia="Calibri"/>
          <w:b/>
          <w:color w:val="1F4D78"/>
        </w:rPr>
        <w:t xml:space="preserve">Capability gate. </w:t>
      </w:r>
      <w:r>
        <w:t>A model is offered only when its signed package is compatible and the device passes a short local benchmark. App installation does not imply that every LLM or vision feature is available on that phone.</w:t>
      </w:r>
    </w:p>
    <w:p>
      <w:r>
        <w:br w:type="page"/>
      </w:r>
    </w:p>
    <w:p>
      <w:pPr>
        <w:pStyle w:val="Heading1"/>
      </w:pPr>
      <w:r>
        <w:t>5. Data, privacy and security requirements</w:t>
      </w:r>
    </w:p>
    <w:p>
      <w:pPr>
        <w:pStyle w:val="Heading2"/>
      </w:pPr>
      <w:r>
        <w:t>5.1 Local data posture</w:t>
      </w:r>
    </w:p>
    <w:p>
      <w:pPr>
        <w:numPr>
          <w:ilvl w:val="0"/>
          <w:numId w:val="10"/>
        </w:numPr>
        <w:spacing w:after="160" w:line="280" w:lineRule="auto"/>
      </w:pPr>
      <w:r>
        <w:t>Financial records are stored in an encrypted local database using keys protected by iOS Keychain or Android Keystore.</w:t>
      </w:r>
    </w:p>
    <w:p>
      <w:pPr>
        <w:numPr>
          <w:ilvl w:val="0"/>
          <w:numId w:val="10"/>
        </w:numPr>
        <w:spacing w:after="160" w:line="280" w:lineRule="auto"/>
      </w:pPr>
      <w:r>
        <w:t>The Supplier does not operate a v1 user account, sync database or transaction API.</w:t>
      </w:r>
    </w:p>
    <w:p>
      <w:pPr>
        <w:numPr>
          <w:ilvl w:val="0"/>
          <w:numId w:val="10"/>
        </w:numPr>
        <w:spacing w:after="160" w:line="280" w:lineRule="auto"/>
      </w:pPr>
      <w:r>
        <w:t>No analytics or production AI tracing is enabled by default. Crash diagnostics must redact transaction content and secrets.</w:t>
      </w:r>
    </w:p>
    <w:p>
      <w:pPr>
        <w:numPr>
          <w:ilvl w:val="0"/>
          <w:numId w:val="10"/>
        </w:numPr>
        <w:spacing w:after="160" w:line="280" w:lineRule="auto"/>
      </w:pPr>
      <w:r>
        <w:t>Temporary voice, OCR crops and model working files are deleted after proposal confirmation/cancellation unless the user explicitly keeps an attachment.</w:t>
      </w:r>
    </w:p>
    <w:p>
      <w:pPr>
        <w:numPr>
          <w:ilvl w:val="0"/>
          <w:numId w:val="10"/>
        </w:numPr>
        <w:spacing w:after="160" w:line="280" w:lineRule="auto"/>
      </w:pPr>
      <w:r>
        <w:t>Model packages and caches are never included in exports and should be excluded from platform backup.</w:t>
      </w:r>
    </w:p>
    <w:p>
      <w:pPr>
        <w:numPr>
          <w:ilvl w:val="0"/>
          <w:numId w:val="10"/>
        </w:numPr>
        <w:spacing w:after="160" w:line="280" w:lineRule="auto"/>
      </w:pPr>
      <w:r>
        <w:t>The user can delete all local financial data, correction memory, downloaded models and provider credentials from settings.</w:t>
      </w:r>
    </w:p>
    <w:p>
      <w:pPr>
        <w:pStyle w:val="Heading2"/>
      </w:pPr>
      <w:r>
        <w:t>5.2 Data recovery limitation</w:t>
      </w:r>
    </w:p>
    <w:p>
      <w:pPr>
        <w:spacing w:before="120" w:after="200"/>
        <w:ind w:left="173" w:right="115"/>
        <w:shd w:fill="FFF4F2"/>
        <w:pBdr>
          <w:left w:val="single" w:sz="20" w:space="8" w:color="9B1C1C"/>
        </w:pBdr>
      </w:pPr>
      <w:r>
        <w:rPr>
          <w:rFonts w:ascii="Calibri" w:hAnsi="Calibri" w:eastAsia="Calibri"/>
          <w:b/>
          <w:color w:val="1F4D78"/>
        </w:rPr>
        <w:t xml:space="preserve">Single-device consequence. </w:t>
      </w:r>
      <w:r>
        <w:t>Because v1 has no cloud sync, data removed by uninstall, device loss, unrecoverable hardware failure or secure erase cannot be restored by the Supplier. The user must create and safely retain periodic encrypted/local exports. Recovery point is the latest usable export.</w:t>
      </w:r>
    </w:p>
    <w:p>
      <w:r>
        <w:br w:type="page"/>
      </w:r>
    </w:p>
    <w:p>
      <w:pPr>
        <w:pStyle w:val="Heading2"/>
      </w:pPr>
      <w:r>
        <w:t>5.3 BYOK connected-mode security</w:t>
      </w:r>
    </w:p>
    <w:p>
      <w:pPr>
        <w:numPr>
          <w:ilvl w:val="0"/>
          <w:numId w:val="10"/>
        </w:numPr>
        <w:spacing w:after="160" w:line="280" w:lineRule="auto"/>
      </w:pPr>
      <w:r>
        <w:t>No Supplier-owned OpenAI, Anthropic or other hosted-model key is embedded in the application.</w:t>
      </w:r>
    </w:p>
    <w:p>
      <w:pPr>
        <w:numPr>
          <w:ilvl w:val="0"/>
          <w:numId w:val="10"/>
        </w:numPr>
        <w:spacing w:after="160" w:line="280" w:lineRule="auto"/>
      </w:pPr>
      <w:r>
        <w:t>A user-entered key is stored only in OS secure storage, never in the ledger database, logs, analytics, screenshots or XLSX exports.</w:t>
      </w:r>
    </w:p>
    <w:p>
      <w:pPr>
        <w:numPr>
          <w:ilvl w:val="0"/>
          <w:numId w:val="10"/>
        </w:numPr>
        <w:spacing w:after="160" w:line="280" w:lineRule="auto"/>
      </w:pPr>
      <w:r>
        <w:t>The app shows the provider, selected model, data fields leaving the phone and estimated cost responsibility before first use.</w:t>
      </w:r>
    </w:p>
    <w:p>
      <w:pPr>
        <w:numPr>
          <w:ilvl w:val="0"/>
          <w:numId w:val="10"/>
        </w:numPr>
        <w:spacing w:after="160" w:line="280" w:lineRule="auto"/>
      </w:pPr>
      <w:r>
        <w:t>The user can test, replace and immediately delete a key. Failed keys do not block offline use.</w:t>
      </w:r>
    </w:p>
    <w:p>
      <w:pPr>
        <w:numPr>
          <w:ilvl w:val="0"/>
          <w:numId w:val="10"/>
        </w:numPr>
        <w:spacing w:after="160" w:line="280" w:lineRule="auto"/>
      </w:pPr>
      <w:r>
        <w:t>Hosted responses must conform to the versioned transaction schema and still pass all local validators and mandatory review.</w:t>
      </w:r>
    </w:p>
    <w:p>
      <w:pPr>
        <w:numPr>
          <w:ilvl w:val="0"/>
          <w:numId w:val="10"/>
        </w:numPr>
        <w:spacing w:after="160" w:line="280" w:lineRule="auto"/>
      </w:pPr>
      <w:r>
        <w:t>A consumer ChatGPT or Claude subscription is not assumed to include API access or API credits; the user is responsible for a valid API account, billing and provider terms.</w:t>
      </w:r>
    </w:p>
    <w:p>
      <w:pPr>
        <w:numPr>
          <w:ilvl w:val="0"/>
          <w:numId w:val="10"/>
        </w:numPr>
        <w:spacing w:after="160" w:line="280" w:lineRule="auto"/>
      </w:pPr>
      <w:r>
        <w:t>Direct mobile BYOK improves user control but cannot provide enterprise-grade secret custody against a compromised device. A future short-lived-token proxy or provider OAuth may be added by change order if required.</w:t>
      </w:r>
    </w:p>
    <w:p>
      <w:pPr>
        <w:pStyle w:val="Heading2"/>
      </w:pPr>
      <w:r>
        <w:t>5.4 Security controls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Control</w:t>
            </w:r>
          </w:p>
        </w:tc>
        <w:tc>
          <w:tcPr>
            <w:tcW w:type="dxa" w:w="70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v1 requirement</w:t>
            </w:r>
          </w:p>
        </w:tc>
      </w:tr>
      <w:tr>
        <w:trPr>
          <w:cantSplit/>
        </w:trPr>
        <w:tc>
          <w:tcPr>
            <w:tcW w:type="dxa" w:w="2300"/>
          </w:tcPr>
          <w:p>
            <w:pPr>
              <w:spacing w:after="0" w:line="252" w:lineRule="auto"/>
            </w:pPr>
            <w:r>
              <w:rPr>
                <w:rFonts w:ascii="Calibri" w:hAnsi="Calibri" w:eastAsia="Calibri"/>
                <w:color w:val="161B21"/>
                <w:sz w:val="18"/>
              </w:rPr>
              <w:t>Encryption at rest</w:t>
            </w:r>
          </w:p>
        </w:tc>
        <w:tc>
          <w:tcPr>
            <w:tcW w:type="dxa" w:w="7060"/>
          </w:tcPr>
          <w:p>
            <w:pPr>
              <w:spacing w:after="0" w:line="252" w:lineRule="auto"/>
            </w:pPr>
            <w:r>
              <w:rPr>
                <w:rFonts w:ascii="Calibri" w:hAnsi="Calibri" w:eastAsia="Calibri"/>
                <w:color w:val="161B21"/>
                <w:sz w:val="18"/>
              </w:rPr>
              <w:t>Encrypted local database; secure key lifecycle; protected provider credentials.</w:t>
            </w:r>
          </w:p>
        </w:tc>
      </w:tr>
      <w:tr>
        <w:trPr>
          <w:cantSplit/>
        </w:trPr>
        <w:tc>
          <w:tcPr>
            <w:tcW w:type="dxa" w:w="2300"/>
          </w:tcPr>
          <w:p>
            <w:pPr>
              <w:spacing w:after="0" w:line="252" w:lineRule="auto"/>
            </w:pPr>
            <w:r>
              <w:rPr>
                <w:rFonts w:ascii="Calibri" w:hAnsi="Calibri" w:eastAsia="Calibri"/>
                <w:color w:val="161B21"/>
                <w:sz w:val="18"/>
              </w:rPr>
              <w:t>Encryption in transit</w:t>
            </w:r>
          </w:p>
        </w:tc>
        <w:tc>
          <w:tcPr>
            <w:tcW w:type="dxa" w:w="7060"/>
          </w:tcPr>
          <w:p>
            <w:pPr>
              <w:spacing w:after="0" w:line="252" w:lineRule="auto"/>
            </w:pPr>
            <w:r>
              <w:rPr>
                <w:rFonts w:ascii="Calibri" w:hAnsi="Calibri" w:eastAsia="Calibri"/>
                <w:color w:val="161B21"/>
                <w:sz w:val="18"/>
              </w:rPr>
              <w:t>TLS for model/package downloads and optional provider calls.</w:t>
            </w:r>
          </w:p>
        </w:tc>
      </w:tr>
      <w:tr>
        <w:trPr>
          <w:cantSplit/>
        </w:trPr>
        <w:tc>
          <w:tcPr>
            <w:tcW w:type="dxa" w:w="2300"/>
          </w:tcPr>
          <w:p>
            <w:pPr>
              <w:spacing w:after="0" w:line="252" w:lineRule="auto"/>
            </w:pPr>
            <w:r>
              <w:rPr>
                <w:rFonts w:ascii="Calibri" w:hAnsi="Calibri" w:eastAsia="Calibri"/>
                <w:color w:val="161B21"/>
                <w:sz w:val="18"/>
              </w:rPr>
              <w:t>Input validation</w:t>
            </w:r>
          </w:p>
        </w:tc>
        <w:tc>
          <w:tcPr>
            <w:tcW w:type="dxa" w:w="7060"/>
          </w:tcPr>
          <w:p>
            <w:pPr>
              <w:spacing w:after="0" w:line="252" w:lineRule="auto"/>
            </w:pPr>
            <w:r>
              <w:rPr>
                <w:rFonts w:ascii="Calibri" w:hAnsi="Calibri" w:eastAsia="Calibri"/>
                <w:color w:val="161B21"/>
                <w:sz w:val="18"/>
              </w:rPr>
              <w:t>Strict schema, allow-lists, integer minor units, date bounds and transaction invariants.</w:t>
            </w:r>
          </w:p>
        </w:tc>
      </w:tr>
      <w:tr>
        <w:trPr>
          <w:cantSplit/>
        </w:trPr>
        <w:tc>
          <w:tcPr>
            <w:tcW w:type="dxa" w:w="2300"/>
          </w:tcPr>
          <w:p>
            <w:pPr>
              <w:spacing w:after="0" w:line="252" w:lineRule="auto"/>
            </w:pPr>
            <w:r>
              <w:rPr>
                <w:rFonts w:ascii="Calibri" w:hAnsi="Calibri" w:eastAsia="Calibri"/>
                <w:color w:val="161B21"/>
                <w:sz w:val="18"/>
              </w:rPr>
              <w:t>Supply chain</w:t>
            </w:r>
          </w:p>
        </w:tc>
        <w:tc>
          <w:tcPr>
            <w:tcW w:type="dxa" w:w="7060"/>
          </w:tcPr>
          <w:p>
            <w:pPr>
              <w:spacing w:after="0" w:line="252" w:lineRule="auto"/>
            </w:pPr>
            <w:r>
              <w:rPr>
                <w:rFonts w:ascii="Calibri" w:hAnsi="Calibri" w:eastAsia="Calibri"/>
                <w:color w:val="161B21"/>
                <w:sz w:val="18"/>
              </w:rPr>
              <w:t>Pinned dependencies, signed model/package manifest, checksum verification and SBOM.</w:t>
            </w:r>
          </w:p>
        </w:tc>
      </w:tr>
      <w:tr>
        <w:trPr>
          <w:cantSplit/>
        </w:trPr>
        <w:tc>
          <w:tcPr>
            <w:tcW w:type="dxa" w:w="2300"/>
          </w:tcPr>
          <w:p>
            <w:pPr>
              <w:spacing w:after="0" w:line="252" w:lineRule="auto"/>
            </w:pPr>
            <w:r>
              <w:rPr>
                <w:rFonts w:ascii="Calibri" w:hAnsi="Calibri" w:eastAsia="Calibri"/>
                <w:color w:val="161B21"/>
                <w:sz w:val="18"/>
              </w:rPr>
              <w:t>Logging</w:t>
            </w:r>
          </w:p>
        </w:tc>
        <w:tc>
          <w:tcPr>
            <w:tcW w:type="dxa" w:w="7060"/>
          </w:tcPr>
          <w:p>
            <w:pPr>
              <w:spacing w:after="0" w:line="252" w:lineRule="auto"/>
            </w:pPr>
            <w:r>
              <w:rPr>
                <w:rFonts w:ascii="Calibri" w:hAnsi="Calibri" w:eastAsia="Calibri"/>
                <w:color w:val="161B21"/>
                <w:sz w:val="18"/>
              </w:rPr>
              <w:t>No API keys, raw voice, raw images, full prompts or transaction notes in production logs.</w:t>
            </w:r>
          </w:p>
        </w:tc>
      </w:tr>
      <w:tr>
        <w:trPr>
          <w:cantSplit/>
        </w:trPr>
        <w:tc>
          <w:tcPr>
            <w:tcW w:type="dxa" w:w="2300"/>
          </w:tcPr>
          <w:p>
            <w:pPr>
              <w:spacing w:after="0" w:line="252" w:lineRule="auto"/>
            </w:pPr>
            <w:r>
              <w:rPr>
                <w:rFonts w:ascii="Calibri" w:hAnsi="Calibri" w:eastAsia="Calibri"/>
                <w:color w:val="161B21"/>
                <w:sz w:val="18"/>
              </w:rPr>
              <w:t>Permissions</w:t>
            </w:r>
          </w:p>
        </w:tc>
        <w:tc>
          <w:tcPr>
            <w:tcW w:type="dxa" w:w="7060"/>
          </w:tcPr>
          <w:p>
            <w:pPr>
              <w:spacing w:after="0" w:line="252" w:lineRule="auto"/>
            </w:pPr>
            <w:r>
              <w:rPr>
                <w:rFonts w:ascii="Calibri" w:hAnsi="Calibri" w:eastAsia="Calibri"/>
                <w:color w:val="161B21"/>
                <w:sz w:val="18"/>
              </w:rPr>
              <w:t>Camera/microphone/files requested just in time with clear purpose; core manual mode survives denial.</w:t>
            </w:r>
          </w:p>
        </w:tc>
      </w:tr>
      <w:tr>
        <w:trPr>
          <w:cantSplit/>
        </w:trPr>
        <w:tc>
          <w:tcPr>
            <w:tcW w:type="dxa" w:w="2300"/>
          </w:tcPr>
          <w:p>
            <w:pPr>
              <w:spacing w:after="0" w:line="252" w:lineRule="auto"/>
            </w:pPr>
            <w:r>
              <w:rPr>
                <w:rFonts w:ascii="Calibri" w:hAnsi="Calibri" w:eastAsia="Calibri"/>
                <w:color w:val="161B21"/>
                <w:sz w:val="18"/>
              </w:rPr>
              <w:t>Deletion</w:t>
            </w:r>
          </w:p>
        </w:tc>
        <w:tc>
          <w:tcPr>
            <w:tcW w:type="dxa" w:w="7060"/>
          </w:tcPr>
          <w:p>
            <w:pPr>
              <w:spacing w:after="0" w:line="252" w:lineRule="auto"/>
            </w:pPr>
            <w:r>
              <w:rPr>
                <w:rFonts w:ascii="Calibri" w:hAnsi="Calibri" w:eastAsia="Calibri"/>
                <w:color w:val="161B21"/>
                <w:sz w:val="18"/>
              </w:rPr>
              <w:t>User-visible delete/reset flows with confirmation and local purge.</w:t>
            </w:r>
          </w:p>
        </w:tc>
      </w:tr>
      <w:tr>
        <w:trPr>
          <w:cantSplit/>
        </w:trPr>
        <w:tc>
          <w:tcPr>
            <w:tcW w:type="dxa" w:w="2300"/>
          </w:tcPr>
          <w:p>
            <w:pPr>
              <w:spacing w:after="0" w:line="252" w:lineRule="auto"/>
            </w:pPr>
            <w:r>
              <w:rPr>
                <w:rFonts w:ascii="Calibri" w:hAnsi="Calibri" w:eastAsia="Calibri"/>
                <w:color w:val="161B21"/>
                <w:sz w:val="18"/>
              </w:rPr>
              <w:t>Threat testing</w:t>
            </w:r>
          </w:p>
        </w:tc>
        <w:tc>
          <w:tcPr>
            <w:tcW w:type="dxa" w:w="7060"/>
          </w:tcPr>
          <w:p>
            <w:pPr>
              <w:spacing w:after="0" w:line="252" w:lineRule="auto"/>
            </w:pPr>
            <w:r>
              <w:rPr>
                <w:rFonts w:ascii="Calibri" w:hAnsi="Calibri" w:eastAsia="Calibri"/>
                <w:color w:val="161B21"/>
                <w:sz w:val="18"/>
              </w:rPr>
              <w:t>Static analysis, dependency scan, secret scan and mobile security test before release.</w:t>
            </w:r>
          </w:p>
        </w:tc>
      </w:tr>
    </w:tbl>
    <w:p>
      <w:pPr>
        <w:spacing w:after="40"/>
      </w:pPr>
    </w:p>
    <w:p>
      <w:r>
        <w:br w:type="page"/>
      </w:r>
    </w:p>
    <w:p>
      <w:pPr>
        <w:pStyle w:val="Heading1"/>
      </w:pPr>
      <w:r>
        <w:t>6. Evaluation, quality gates and acceptance</w:t>
      </w:r>
    </w:p>
    <w:p>
      <w:pPr>
        <w:pStyle w:val="Heading2"/>
      </w:pPr>
      <w:r>
        <w:t>6.1 DeepEval evaluation architecture</w:t>
      </w:r>
    </w:p>
    <w:p>
      <w:r>
        <w:t>DeepEval runs in the development and CI environment, not inside the shipped mobile app. The mobile adapters and desktop harness share the same versioned Transaction Proposal schema so local models and hosted providers can be compared consistently.</w:t>
      </w:r>
    </w:p>
    <w:tbl>
      <w:tblPr>
        <w:tblStyle w:val="TableGrid"/>
        <w:tblW w:type="dxa" w:w="9360"/>
        <w:jc w:val="left"/>
        <w:tblLayout w:type="fixed"/>
        <w:tblLook w:firstColumn="1" w:firstRow="1" w:lastColumn="0" w:lastRow="0" w:noHBand="0" w:noVBand="1" w:val="04A0"/>
        <w:tblInd w:w="120" w:type="dxa"/>
      </w:tblPr>
      <w:tblGrid>
        <w:gridCol w:w="1500"/>
        <w:gridCol w:w="2200"/>
        <w:gridCol w:w="3100"/>
        <w:gridCol w:w="2560"/>
      </w:tblGrid>
      <w:tr>
        <w:trPr>
          <w:tblHeader w:val="true"/>
        </w:trPr>
        <w:tc>
          <w:tcPr>
            <w:tcW w:type="dxa" w:w="150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Evaluation mode</w:t>
            </w:r>
          </w:p>
        </w:tc>
        <w:tc>
          <w:tcPr>
            <w:tcW w:type="dxa" w:w="220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Data</w:t>
            </w:r>
          </w:p>
        </w:tc>
        <w:tc>
          <w:tcPr>
            <w:tcW w:type="dxa" w:w="310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Purpose</w:t>
            </w:r>
          </w:p>
        </w:tc>
        <w:tc>
          <w:tcPr>
            <w:tcW w:type="dxa" w:w="256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v1 privacy rule</w:t>
            </w:r>
          </w:p>
        </w:tc>
      </w:tr>
      <w:tr>
        <w:trPr>
          <w:cantSplit/>
        </w:trPr>
        <w:tc>
          <w:tcPr>
            <w:tcW w:type="dxa" w:w="1500"/>
          </w:tcPr>
          <w:p>
            <w:pPr>
              <w:spacing w:after="0" w:line="252" w:lineRule="auto"/>
            </w:pPr>
            <w:r>
              <w:rPr>
                <w:rFonts w:ascii="Calibri" w:hAnsi="Calibri" w:eastAsia="Calibri"/>
                <w:color w:val="161B21"/>
                <w:sz w:val="17"/>
              </w:rPr>
              <w:t>Offline</w:t>
            </w:r>
          </w:p>
        </w:tc>
        <w:tc>
          <w:tcPr>
            <w:tcW w:type="dxa" w:w="2200"/>
          </w:tcPr>
          <w:p>
            <w:pPr>
              <w:spacing w:after="0" w:line="252" w:lineRule="auto"/>
            </w:pPr>
            <w:r>
              <w:rPr>
                <w:rFonts w:ascii="Calibri" w:hAnsi="Calibri" w:eastAsia="Calibri"/>
                <w:color w:val="161B21"/>
                <w:sz w:val="17"/>
              </w:rPr>
              <w:t>Versioned local goldens</w:t>
            </w:r>
          </w:p>
        </w:tc>
        <w:tc>
          <w:tcPr>
            <w:tcW w:type="dxa" w:w="3100"/>
          </w:tcPr>
          <w:p>
            <w:pPr>
              <w:spacing w:after="0" w:line="252" w:lineRule="auto"/>
            </w:pPr>
            <w:r>
              <w:rPr>
                <w:rFonts w:ascii="Calibri" w:hAnsi="Calibri" w:eastAsia="Calibri"/>
                <w:color w:val="161B21"/>
                <w:sz w:val="17"/>
              </w:rPr>
              <w:t>Regression, model comparison and deterministic correctness without a hosted judge.</w:t>
            </w:r>
          </w:p>
        </w:tc>
        <w:tc>
          <w:tcPr>
            <w:tcW w:type="dxa" w:w="2560"/>
          </w:tcPr>
          <w:p>
            <w:pPr>
              <w:spacing w:after="0" w:line="252" w:lineRule="auto"/>
            </w:pPr>
            <w:r>
              <w:rPr>
                <w:rFonts w:ascii="Calibri" w:hAnsi="Calibri" w:eastAsia="Calibri"/>
                <w:color w:val="161B21"/>
                <w:sz w:val="17"/>
              </w:rPr>
              <w:t>May contain approved test fixtures; must not require production telemetry.</w:t>
            </w:r>
          </w:p>
        </w:tc>
      </w:tr>
      <w:tr>
        <w:trPr>
          <w:cantSplit/>
        </w:trPr>
        <w:tc>
          <w:tcPr>
            <w:tcW w:type="dxa" w:w="1500"/>
          </w:tcPr>
          <w:p>
            <w:pPr>
              <w:spacing w:after="0" w:line="252" w:lineRule="auto"/>
            </w:pPr>
            <w:r>
              <w:rPr>
                <w:rFonts w:ascii="Calibri" w:hAnsi="Calibri" w:eastAsia="Calibri"/>
                <w:color w:val="161B21"/>
                <w:sz w:val="17"/>
              </w:rPr>
              <w:t>Controlled connected</w:t>
            </w:r>
          </w:p>
        </w:tc>
        <w:tc>
          <w:tcPr>
            <w:tcW w:type="dxa" w:w="2200"/>
          </w:tcPr>
          <w:p>
            <w:pPr>
              <w:spacing w:after="0" w:line="252" w:lineRule="auto"/>
            </w:pPr>
            <w:r>
              <w:rPr>
                <w:rFonts w:ascii="Calibri" w:hAnsi="Calibri" w:eastAsia="Calibri"/>
                <w:color w:val="161B21"/>
                <w:sz w:val="17"/>
              </w:rPr>
              <w:t>Synthetic or specifically approved anonymised goldens</w:t>
            </w:r>
          </w:p>
        </w:tc>
        <w:tc>
          <w:tcPr>
            <w:tcW w:type="dxa" w:w="3100"/>
          </w:tcPr>
          <w:p>
            <w:pPr>
              <w:spacing w:after="0" w:line="252" w:lineRule="auto"/>
            </w:pPr>
            <w:r>
              <w:rPr>
                <w:rFonts w:ascii="Calibri" w:hAnsi="Calibri" w:eastAsia="Calibri"/>
                <w:color w:val="161B21"/>
                <w:sz w:val="17"/>
              </w:rPr>
              <w:t>Compare optional OpenAI/Anthropic adapters and LLM-judge metrics.</w:t>
            </w:r>
          </w:p>
        </w:tc>
        <w:tc>
          <w:tcPr>
            <w:tcW w:type="dxa" w:w="2560"/>
          </w:tcPr>
          <w:p>
            <w:pPr>
              <w:spacing w:after="0" w:line="252" w:lineRule="auto"/>
            </w:pPr>
            <w:r>
              <w:rPr>
                <w:rFonts w:ascii="Calibri" w:hAnsi="Calibri" w:eastAsia="Calibri"/>
                <w:color w:val="161B21"/>
                <w:sz w:val="17"/>
              </w:rPr>
              <w:t>No real user transaction content by default.</w:t>
            </w:r>
          </w:p>
        </w:tc>
      </w:tr>
      <w:tr>
        <w:trPr>
          <w:cantSplit/>
        </w:trPr>
        <w:tc>
          <w:tcPr>
            <w:tcW w:type="dxa" w:w="1500"/>
          </w:tcPr>
          <w:p>
            <w:pPr>
              <w:spacing w:after="0" w:line="252" w:lineRule="auto"/>
            </w:pPr>
            <w:r>
              <w:rPr>
                <w:rFonts w:ascii="Calibri" w:hAnsi="Calibri" w:eastAsia="Calibri"/>
                <w:color w:val="161B21"/>
                <w:sz w:val="17"/>
              </w:rPr>
              <w:t>Physical-device</w:t>
            </w:r>
          </w:p>
        </w:tc>
        <w:tc>
          <w:tcPr>
            <w:tcW w:type="dxa" w:w="2200"/>
          </w:tcPr>
          <w:p>
            <w:pPr>
              <w:spacing w:after="0" w:line="252" w:lineRule="auto"/>
            </w:pPr>
            <w:r>
              <w:rPr>
                <w:rFonts w:ascii="Calibri" w:hAnsi="Calibri" w:eastAsia="Calibri"/>
                <w:color w:val="161B21"/>
                <w:sz w:val="17"/>
              </w:rPr>
              <w:t>Synthetic text, voice and images</w:t>
            </w:r>
          </w:p>
        </w:tc>
        <w:tc>
          <w:tcPr>
            <w:tcW w:type="dxa" w:w="3100"/>
          </w:tcPr>
          <w:p>
            <w:pPr>
              <w:spacing w:after="0" w:line="252" w:lineRule="auto"/>
            </w:pPr>
            <w:r>
              <w:rPr>
                <w:rFonts w:ascii="Calibri" w:hAnsi="Calibri" w:eastAsia="Calibri"/>
                <w:color w:val="161B21"/>
                <w:sz w:val="17"/>
              </w:rPr>
              <w:t>Latency, memory, thermal, battery and crash testing.</w:t>
            </w:r>
          </w:p>
        </w:tc>
        <w:tc>
          <w:tcPr>
            <w:tcW w:type="dxa" w:w="2560"/>
          </w:tcPr>
          <w:p>
            <w:pPr>
              <w:spacing w:after="0" w:line="252" w:lineRule="auto"/>
            </w:pPr>
            <w:r>
              <w:rPr>
                <w:rFonts w:ascii="Calibri" w:hAnsi="Calibri" w:eastAsia="Calibri"/>
                <w:color w:val="161B21"/>
                <w:sz w:val="17"/>
              </w:rPr>
              <w:t>Results contain performance metadata only.</w:t>
            </w:r>
          </w:p>
        </w:tc>
      </w:tr>
      <w:tr>
        <w:trPr>
          <w:cantSplit/>
        </w:trPr>
        <w:tc>
          <w:tcPr>
            <w:tcW w:type="dxa" w:w="1500"/>
          </w:tcPr>
          <w:p>
            <w:pPr>
              <w:spacing w:after="0" w:line="252" w:lineRule="auto"/>
            </w:pPr>
            <w:r>
              <w:rPr>
                <w:rFonts w:ascii="Calibri" w:hAnsi="Calibri" w:eastAsia="Calibri"/>
                <w:color w:val="161B21"/>
                <w:sz w:val="17"/>
              </w:rPr>
              <w:t>Production online</w:t>
            </w:r>
          </w:p>
        </w:tc>
        <w:tc>
          <w:tcPr>
            <w:tcW w:type="dxa" w:w="2200"/>
          </w:tcPr>
          <w:p>
            <w:pPr>
              <w:spacing w:after="0" w:line="252" w:lineRule="auto"/>
            </w:pPr>
            <w:r>
              <w:rPr>
                <w:rFonts w:ascii="Calibri" w:hAnsi="Calibri" w:eastAsia="Calibri"/>
                <w:color w:val="161B21"/>
                <w:sz w:val="17"/>
              </w:rPr>
              <w:t>Live traces</w:t>
            </w:r>
          </w:p>
        </w:tc>
        <w:tc>
          <w:tcPr>
            <w:tcW w:type="dxa" w:w="3100"/>
          </w:tcPr>
          <w:p>
            <w:pPr>
              <w:spacing w:after="0" w:line="252" w:lineRule="auto"/>
            </w:pPr>
            <w:r>
              <w:rPr>
                <w:rFonts w:ascii="Calibri" w:hAnsi="Calibri" w:eastAsia="Calibri"/>
                <w:color w:val="161B21"/>
                <w:sz w:val="17"/>
              </w:rPr>
              <w:t>Continuous quality monitoring.</w:t>
            </w:r>
          </w:p>
        </w:tc>
        <w:tc>
          <w:tcPr>
            <w:tcW w:type="dxa" w:w="2560"/>
          </w:tcPr>
          <w:p>
            <w:pPr>
              <w:spacing w:after="0" w:line="252" w:lineRule="auto"/>
            </w:pPr>
            <w:r>
              <w:rPr>
                <w:rFonts w:ascii="Calibri" w:hAnsi="Calibri" w:eastAsia="Calibri"/>
                <w:color w:val="161B21"/>
                <w:sz w:val="17"/>
              </w:rPr>
              <w:t>Excluded from v1 because the confirmed posture is fully offline and telemetry-free.</w:t>
            </w:r>
          </w:p>
        </w:tc>
      </w:tr>
    </w:tbl>
    <w:p>
      <w:pPr>
        <w:spacing w:after="40"/>
      </w:pPr>
    </w:p>
    <w:p>
      <w:pPr>
        <w:pStyle w:val="Heading2"/>
      </w:pPr>
      <w:r>
        <w:t>6.2 Golden dataset</w:t>
      </w:r>
    </w:p>
    <w:p>
      <w:pPr>
        <w:numPr>
          <w:ilvl w:val="0"/>
          <w:numId w:val="10"/>
        </w:numPr>
        <w:spacing w:after="160" w:line="280" w:lineRule="auto"/>
      </w:pPr>
      <w:r>
        <w:t>Minimum 1,200 labelled examples before release: at least 500 text, 300 voice, 300 image and 100 ambiguous/adversarial cases.</w:t>
      </w:r>
    </w:p>
    <w:p>
      <w:pPr>
        <w:numPr>
          <w:ilvl w:val="0"/>
          <w:numId w:val="10"/>
        </w:numPr>
        <w:spacing w:after="160" w:line="280" w:lineRule="auto"/>
      </w:pPr>
      <w:r>
        <w:t>English inputs representative of Indian usage, INR formatting, common merchants, relative dates, cash/card/bank language, refunds, transfers, typos and partial information.</w:t>
      </w:r>
    </w:p>
    <w:p>
      <w:pPr>
        <w:numPr>
          <w:ilvl w:val="0"/>
          <w:numId w:val="10"/>
        </w:numPr>
        <w:spacing w:after="160" w:line="280" w:lineRule="auto"/>
      </w:pPr>
      <w:r>
        <w:t>At least 20% held out from prompt/rule tuning and reported separately.</w:t>
      </w:r>
    </w:p>
    <w:p>
      <w:pPr>
        <w:numPr>
          <w:ilvl w:val="0"/>
          <w:numId w:val="10"/>
        </w:numPr>
        <w:spacing w:after="160" w:line="280" w:lineRule="auto"/>
      </w:pPr>
      <w:r>
        <w:t>Every user-reported AI defect that is safe to reproduce becomes a regression case using synthetic or redacted content.</w:t>
      </w:r>
    </w:p>
    <w:p>
      <w:r>
        <w:br w:type="page"/>
      </w:r>
    </w:p>
    <w:p>
      <w:pPr>
        <w:pStyle w:val="Heading2"/>
      </w:pPr>
      <w:r>
        <w:t>6.3 Release acceptance gates</w:t>
      </w:r>
    </w:p>
    <w:tbl>
      <w:tblPr>
        <w:tblStyle w:val="TableGrid"/>
        <w:tblW w:type="dxa" w:w="9360"/>
        <w:jc w:val="left"/>
        <w:tblLayout w:type="fixed"/>
        <w:tblLook w:firstColumn="1" w:firstRow="1" w:lastColumn="0" w:lastRow="0" w:noHBand="0" w:noVBand="1" w:val="04A0"/>
        <w:tblInd w:w="120" w:type="dxa"/>
      </w:tblPr>
      <w:tblGrid>
        <w:gridCol w:w="1500"/>
        <w:gridCol w:w="3600"/>
        <w:gridCol w:w="4260"/>
      </w:tblGrid>
      <w:tr>
        <w:trPr>
          <w:tblHeader w:val="true"/>
        </w:trPr>
        <w:tc>
          <w:tcPr>
            <w:tcW w:type="dxa" w:w="150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Area</w:t>
            </w:r>
          </w:p>
        </w:tc>
        <w:tc>
          <w:tcPr>
            <w:tcW w:type="dxa" w:w="360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Metric</w:t>
            </w:r>
          </w:p>
        </w:tc>
        <w:tc>
          <w:tcPr>
            <w:tcW w:type="dxa" w:w="426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Release gate</w:t>
            </w:r>
          </w:p>
        </w:tc>
      </w:tr>
      <w:tr>
        <w:trPr>
          <w:cantSplit/>
        </w:trPr>
        <w:tc>
          <w:tcPr>
            <w:tcW w:type="dxa" w:w="1500"/>
          </w:tcPr>
          <w:p>
            <w:pPr>
              <w:spacing w:after="0" w:line="252" w:lineRule="auto"/>
            </w:pPr>
            <w:r>
              <w:rPr>
                <w:rFonts w:ascii="Calibri" w:hAnsi="Calibri" w:eastAsia="Calibri"/>
                <w:color w:val="161B21"/>
                <w:sz w:val="17"/>
              </w:rPr>
              <w:t>Ledger</w:t>
            </w:r>
          </w:p>
        </w:tc>
        <w:tc>
          <w:tcPr>
            <w:tcW w:type="dxa" w:w="3600"/>
          </w:tcPr>
          <w:p>
            <w:pPr>
              <w:spacing w:after="0" w:line="252" w:lineRule="auto"/>
            </w:pPr>
            <w:r>
              <w:rPr>
                <w:rFonts w:ascii="Calibri" w:hAnsi="Calibri" w:eastAsia="Calibri"/>
                <w:color w:val="161B21"/>
                <w:sz w:val="17"/>
              </w:rPr>
              <w:t>Money arithmetic and transaction invariants</w:t>
            </w:r>
          </w:p>
        </w:tc>
        <w:tc>
          <w:tcPr>
            <w:tcW w:type="dxa" w:w="4260"/>
          </w:tcPr>
          <w:p>
            <w:pPr>
              <w:spacing w:after="0" w:line="252" w:lineRule="auto"/>
            </w:pPr>
            <w:r>
              <w:rPr>
                <w:rFonts w:ascii="Calibri" w:hAnsi="Calibri" w:eastAsia="Calibri"/>
                <w:color w:val="161B21"/>
                <w:sz w:val="17"/>
              </w:rPr>
              <w:t>100% deterministic test pass; integer minor units; balanced transfers/splits.</w:t>
            </w:r>
          </w:p>
        </w:tc>
      </w:tr>
      <w:tr>
        <w:trPr>
          <w:cantSplit/>
        </w:trPr>
        <w:tc>
          <w:tcPr>
            <w:tcW w:type="dxa" w:w="1500"/>
          </w:tcPr>
          <w:p>
            <w:pPr>
              <w:spacing w:after="0" w:line="252" w:lineRule="auto"/>
            </w:pPr>
            <w:r>
              <w:rPr>
                <w:rFonts w:ascii="Calibri" w:hAnsi="Calibri" w:eastAsia="Calibri"/>
                <w:color w:val="161B21"/>
                <w:sz w:val="17"/>
              </w:rPr>
              <w:t>Commit safety</w:t>
            </w:r>
          </w:p>
        </w:tc>
        <w:tc>
          <w:tcPr>
            <w:tcW w:type="dxa" w:w="3600"/>
          </w:tcPr>
          <w:p>
            <w:pPr>
              <w:spacing w:after="0" w:line="252" w:lineRule="auto"/>
            </w:pPr>
            <w:r>
              <w:rPr>
                <w:rFonts w:ascii="Calibri" w:hAnsi="Calibri" w:eastAsia="Calibri"/>
                <w:color w:val="161B21"/>
                <w:sz w:val="17"/>
              </w:rPr>
              <w:t>AI writes without explicit confirmation</w:t>
            </w:r>
          </w:p>
        </w:tc>
        <w:tc>
          <w:tcPr>
            <w:tcW w:type="dxa" w:w="4260"/>
          </w:tcPr>
          <w:p>
            <w:pPr>
              <w:spacing w:after="0" w:line="252" w:lineRule="auto"/>
            </w:pPr>
            <w:r>
              <w:rPr>
                <w:rFonts w:ascii="Calibri" w:hAnsi="Calibri" w:eastAsia="Calibri"/>
                <w:color w:val="161B21"/>
                <w:sz w:val="17"/>
              </w:rPr>
              <w:t>0 allowed.</w:t>
            </w:r>
          </w:p>
        </w:tc>
      </w:tr>
      <w:tr>
        <w:trPr>
          <w:cantSplit/>
        </w:trPr>
        <w:tc>
          <w:tcPr>
            <w:tcW w:type="dxa" w:w="1500"/>
          </w:tcPr>
          <w:p>
            <w:pPr>
              <w:spacing w:after="0" w:line="252" w:lineRule="auto"/>
            </w:pPr>
            <w:r>
              <w:rPr>
                <w:rFonts w:ascii="Calibri" w:hAnsi="Calibri" w:eastAsia="Calibri"/>
                <w:color w:val="161B21"/>
                <w:sz w:val="17"/>
              </w:rPr>
              <w:t>Schema</w:t>
            </w:r>
          </w:p>
        </w:tc>
        <w:tc>
          <w:tcPr>
            <w:tcW w:type="dxa" w:w="3600"/>
          </w:tcPr>
          <w:p>
            <w:pPr>
              <w:spacing w:after="0" w:line="252" w:lineRule="auto"/>
            </w:pPr>
            <w:r>
              <w:rPr>
                <w:rFonts w:ascii="Calibri" w:hAnsi="Calibri" w:eastAsia="Calibri"/>
                <w:color w:val="161B21"/>
                <w:sz w:val="17"/>
              </w:rPr>
              <w:t>Valid structured AI Proposal</w:t>
            </w:r>
          </w:p>
        </w:tc>
        <w:tc>
          <w:tcPr>
            <w:tcW w:type="dxa" w:w="4260"/>
          </w:tcPr>
          <w:p>
            <w:pPr>
              <w:spacing w:after="0" w:line="252" w:lineRule="auto"/>
            </w:pPr>
            <w:r>
              <w:rPr>
                <w:rFonts w:ascii="Calibri" w:hAnsi="Calibri" w:eastAsia="Calibri"/>
                <w:color w:val="161B21"/>
                <w:sz w:val="17"/>
              </w:rPr>
              <w:t>&gt;=99.5% before validator; 100% invalid output blocked.</w:t>
            </w:r>
          </w:p>
        </w:tc>
      </w:tr>
      <w:tr>
        <w:trPr>
          <w:cantSplit/>
        </w:trPr>
        <w:tc>
          <w:tcPr>
            <w:tcW w:type="dxa" w:w="1500"/>
          </w:tcPr>
          <w:p>
            <w:pPr>
              <w:spacing w:after="0" w:line="252" w:lineRule="auto"/>
            </w:pPr>
            <w:r>
              <w:rPr>
                <w:rFonts w:ascii="Calibri" w:hAnsi="Calibri" w:eastAsia="Calibri"/>
                <w:color w:val="161B21"/>
                <w:sz w:val="17"/>
              </w:rPr>
              <w:t>Text</w:t>
            </w:r>
          </w:p>
        </w:tc>
        <w:tc>
          <w:tcPr>
            <w:tcW w:type="dxa" w:w="3600"/>
          </w:tcPr>
          <w:p>
            <w:pPr>
              <w:spacing w:after="0" w:line="252" w:lineRule="auto"/>
            </w:pPr>
            <w:r>
              <w:rPr>
                <w:rFonts w:ascii="Calibri" w:hAnsi="Calibri" w:eastAsia="Calibri"/>
                <w:color w:val="161B21"/>
                <w:sz w:val="17"/>
              </w:rPr>
              <w:t>Exact amount/currency and category top-1</w:t>
            </w:r>
          </w:p>
        </w:tc>
        <w:tc>
          <w:tcPr>
            <w:tcW w:type="dxa" w:w="4260"/>
          </w:tcPr>
          <w:p>
            <w:pPr>
              <w:spacing w:after="0" w:line="252" w:lineRule="auto"/>
            </w:pPr>
            <w:r>
              <w:rPr>
                <w:rFonts w:ascii="Calibri" w:hAnsi="Calibri" w:eastAsia="Calibri"/>
                <w:color w:val="161B21"/>
                <w:sz w:val="17"/>
              </w:rPr>
              <w:t>&gt;=98% amount/currency; &gt;=90% category on held-out text set.</w:t>
            </w:r>
          </w:p>
        </w:tc>
      </w:tr>
      <w:tr>
        <w:trPr>
          <w:cantSplit/>
        </w:trPr>
        <w:tc>
          <w:tcPr>
            <w:tcW w:type="dxa" w:w="1500"/>
          </w:tcPr>
          <w:p>
            <w:pPr>
              <w:spacing w:after="0" w:line="252" w:lineRule="auto"/>
            </w:pPr>
            <w:r>
              <w:rPr>
                <w:rFonts w:ascii="Calibri" w:hAnsi="Calibri" w:eastAsia="Calibri"/>
                <w:color w:val="161B21"/>
                <w:sz w:val="17"/>
              </w:rPr>
              <w:t>Voice</w:t>
            </w:r>
          </w:p>
        </w:tc>
        <w:tc>
          <w:tcPr>
            <w:tcW w:type="dxa" w:w="3600"/>
          </w:tcPr>
          <w:p>
            <w:pPr>
              <w:spacing w:after="0" w:line="252" w:lineRule="auto"/>
            </w:pPr>
            <w:r>
              <w:rPr>
                <w:rFonts w:ascii="Calibri" w:hAnsi="Calibri" w:eastAsia="Calibri"/>
                <w:color w:val="161B21"/>
                <w:sz w:val="17"/>
              </w:rPr>
              <w:t>Downstream amount and category after ASR</w:t>
            </w:r>
          </w:p>
        </w:tc>
        <w:tc>
          <w:tcPr>
            <w:tcW w:type="dxa" w:w="4260"/>
          </w:tcPr>
          <w:p>
            <w:pPr>
              <w:spacing w:after="0" w:line="252" w:lineRule="auto"/>
            </w:pPr>
            <w:r>
              <w:rPr>
                <w:rFonts w:ascii="Calibri" w:hAnsi="Calibri" w:eastAsia="Calibri"/>
                <w:color w:val="161B21"/>
                <w:sz w:val="17"/>
              </w:rPr>
              <w:t>&gt;=95% amount; &gt;=85% category on held-out voice set.</w:t>
            </w:r>
          </w:p>
        </w:tc>
      </w:tr>
      <w:tr>
        <w:trPr>
          <w:cantSplit/>
        </w:trPr>
        <w:tc>
          <w:tcPr>
            <w:tcW w:type="dxa" w:w="1500"/>
          </w:tcPr>
          <w:p>
            <w:pPr>
              <w:spacing w:after="0" w:line="252" w:lineRule="auto"/>
            </w:pPr>
            <w:r>
              <w:rPr>
                <w:rFonts w:ascii="Calibri" w:hAnsi="Calibri" w:eastAsia="Calibri"/>
                <w:color w:val="161B21"/>
                <w:sz w:val="17"/>
              </w:rPr>
              <w:t>Image</w:t>
            </w:r>
          </w:p>
        </w:tc>
        <w:tc>
          <w:tcPr>
            <w:tcW w:type="dxa" w:w="3600"/>
          </w:tcPr>
          <w:p>
            <w:pPr>
              <w:spacing w:after="0" w:line="252" w:lineRule="auto"/>
            </w:pPr>
            <w:r>
              <w:rPr>
                <w:rFonts w:ascii="Calibri" w:hAnsi="Calibri" w:eastAsia="Calibri"/>
                <w:color w:val="161B21"/>
                <w:sz w:val="17"/>
              </w:rPr>
              <w:t>Visible amount and category from in-scope images</w:t>
            </w:r>
          </w:p>
        </w:tc>
        <w:tc>
          <w:tcPr>
            <w:tcW w:type="dxa" w:w="4260"/>
          </w:tcPr>
          <w:p>
            <w:pPr>
              <w:spacing w:after="0" w:line="252" w:lineRule="auto"/>
            </w:pPr>
            <w:r>
              <w:rPr>
                <w:rFonts w:ascii="Calibri" w:hAnsi="Calibri" w:eastAsia="Calibri"/>
                <w:color w:val="161B21"/>
                <w:sz w:val="17"/>
              </w:rPr>
              <w:t>&gt;=92% amount; &gt;=85% category on held-out image set.</w:t>
            </w:r>
          </w:p>
        </w:tc>
      </w:tr>
      <w:tr>
        <w:trPr>
          <w:cantSplit/>
        </w:trPr>
        <w:tc>
          <w:tcPr>
            <w:tcW w:type="dxa" w:w="1500"/>
          </w:tcPr>
          <w:p>
            <w:pPr>
              <w:spacing w:after="0" w:line="252" w:lineRule="auto"/>
            </w:pPr>
            <w:r>
              <w:rPr>
                <w:rFonts w:ascii="Calibri" w:hAnsi="Calibri" w:eastAsia="Calibri"/>
                <w:color w:val="161B21"/>
                <w:sz w:val="17"/>
              </w:rPr>
              <w:t>Insufficient input</w:t>
            </w:r>
          </w:p>
        </w:tc>
        <w:tc>
          <w:tcPr>
            <w:tcW w:type="dxa" w:w="3600"/>
          </w:tcPr>
          <w:p>
            <w:pPr>
              <w:spacing w:after="0" w:line="252" w:lineRule="auto"/>
            </w:pPr>
            <w:r>
              <w:rPr>
                <w:rFonts w:ascii="Calibri" w:hAnsi="Calibri" w:eastAsia="Calibri"/>
                <w:color w:val="161B21"/>
                <w:sz w:val="17"/>
              </w:rPr>
              <w:t>Correctly asks for clarification/no extraction</w:t>
            </w:r>
          </w:p>
        </w:tc>
        <w:tc>
          <w:tcPr>
            <w:tcW w:type="dxa" w:w="4260"/>
          </w:tcPr>
          <w:p>
            <w:pPr>
              <w:spacing w:after="0" w:line="252" w:lineRule="auto"/>
            </w:pPr>
            <w:r>
              <w:rPr>
                <w:rFonts w:ascii="Calibri" w:hAnsi="Calibri" w:eastAsia="Calibri"/>
                <w:color w:val="161B21"/>
                <w:sz w:val="17"/>
              </w:rPr>
              <w:t>&gt;=95% on unreadable or non-financial cases.</w:t>
            </w:r>
          </w:p>
        </w:tc>
      </w:tr>
      <w:tr>
        <w:trPr>
          <w:cantSplit/>
        </w:trPr>
        <w:tc>
          <w:tcPr>
            <w:tcW w:type="dxa" w:w="1500"/>
          </w:tcPr>
          <w:p>
            <w:pPr>
              <w:spacing w:after="0" w:line="252" w:lineRule="auto"/>
            </w:pPr>
            <w:r>
              <w:rPr>
                <w:rFonts w:ascii="Calibri" w:hAnsi="Calibri" w:eastAsia="Calibri"/>
                <w:color w:val="161B21"/>
                <w:sz w:val="17"/>
              </w:rPr>
              <w:t>Personalisation</w:t>
            </w:r>
          </w:p>
        </w:tc>
        <w:tc>
          <w:tcPr>
            <w:tcW w:type="dxa" w:w="3600"/>
          </w:tcPr>
          <w:p>
            <w:pPr>
              <w:spacing w:after="0" w:line="252" w:lineRule="auto"/>
            </w:pPr>
            <w:r>
              <w:rPr>
                <w:rFonts w:ascii="Calibri" w:hAnsi="Calibri" w:eastAsia="Calibri"/>
                <w:color w:val="161B21"/>
                <w:sz w:val="17"/>
              </w:rPr>
              <w:t>Repeated corrected merchant mapping</w:t>
            </w:r>
          </w:p>
        </w:tc>
        <w:tc>
          <w:tcPr>
            <w:tcW w:type="dxa" w:w="4260"/>
          </w:tcPr>
          <w:p>
            <w:pPr>
              <w:spacing w:after="0" w:line="252" w:lineRule="auto"/>
            </w:pPr>
            <w:r>
              <w:rPr>
                <w:rFonts w:ascii="Calibri" w:hAnsi="Calibri" w:eastAsia="Calibri"/>
                <w:color w:val="161B21"/>
                <w:sz w:val="17"/>
              </w:rPr>
              <w:t>&gt;=95% applied on the next matching test after explicit rule promotion.</w:t>
            </w:r>
          </w:p>
        </w:tc>
      </w:tr>
      <w:tr>
        <w:trPr>
          <w:cantSplit/>
        </w:trPr>
        <w:tc>
          <w:tcPr>
            <w:tcW w:type="dxa" w:w="1500"/>
          </w:tcPr>
          <w:p>
            <w:pPr>
              <w:spacing w:after="0" w:line="252" w:lineRule="auto"/>
            </w:pPr>
            <w:r>
              <w:rPr>
                <w:rFonts w:ascii="Calibri" w:hAnsi="Calibri" w:eastAsia="Calibri"/>
                <w:color w:val="161B21"/>
                <w:sz w:val="17"/>
              </w:rPr>
              <w:t>XLSX</w:t>
            </w:r>
          </w:p>
        </w:tc>
        <w:tc>
          <w:tcPr>
            <w:tcW w:type="dxa" w:w="3600"/>
          </w:tcPr>
          <w:p>
            <w:pPr>
              <w:spacing w:after="0" w:line="252" w:lineRule="auto"/>
            </w:pPr>
            <w:r>
              <w:rPr>
                <w:rFonts w:ascii="Calibri" w:hAnsi="Calibri" w:eastAsia="Calibri"/>
                <w:color w:val="161B21"/>
                <w:sz w:val="17"/>
              </w:rPr>
              <w:t>Supported-field round trip</w:t>
            </w:r>
          </w:p>
        </w:tc>
        <w:tc>
          <w:tcPr>
            <w:tcW w:type="dxa" w:w="4260"/>
          </w:tcPr>
          <w:p>
            <w:pPr>
              <w:spacing w:after="0" w:line="252" w:lineRule="auto"/>
            </w:pPr>
            <w:r>
              <w:rPr>
                <w:rFonts w:ascii="Calibri" w:hAnsi="Calibri" w:eastAsia="Calibri"/>
                <w:color w:val="161B21"/>
                <w:sz w:val="17"/>
              </w:rPr>
              <w:t>100% field/value preservation across import-export golden fixtures.</w:t>
            </w:r>
          </w:p>
        </w:tc>
      </w:tr>
      <w:tr>
        <w:trPr>
          <w:cantSplit/>
        </w:trPr>
        <w:tc>
          <w:tcPr>
            <w:tcW w:type="dxa" w:w="1500"/>
          </w:tcPr>
          <w:p>
            <w:pPr>
              <w:spacing w:after="0" w:line="252" w:lineRule="auto"/>
            </w:pPr>
            <w:r>
              <w:rPr>
                <w:rFonts w:ascii="Calibri" w:hAnsi="Calibri" w:eastAsia="Calibri"/>
                <w:color w:val="161B21"/>
                <w:sz w:val="17"/>
              </w:rPr>
              <w:t>Privacy</w:t>
            </w:r>
          </w:p>
        </w:tc>
        <w:tc>
          <w:tcPr>
            <w:tcW w:type="dxa" w:w="3600"/>
          </w:tcPr>
          <w:p>
            <w:pPr>
              <w:spacing w:after="0" w:line="252" w:lineRule="auto"/>
            </w:pPr>
            <w:r>
              <w:rPr>
                <w:rFonts w:ascii="Calibri" w:hAnsi="Calibri" w:eastAsia="Calibri"/>
                <w:color w:val="161B21"/>
                <w:sz w:val="17"/>
              </w:rPr>
              <w:t>Secrets/raw content in prohibited logs/exports</w:t>
            </w:r>
          </w:p>
        </w:tc>
        <w:tc>
          <w:tcPr>
            <w:tcW w:type="dxa" w:w="4260"/>
          </w:tcPr>
          <w:p>
            <w:pPr>
              <w:spacing w:after="0" w:line="252" w:lineRule="auto"/>
            </w:pPr>
            <w:r>
              <w:rPr>
                <w:rFonts w:ascii="Calibri" w:hAnsi="Calibri" w:eastAsia="Calibri"/>
                <w:color w:val="161B21"/>
                <w:sz w:val="17"/>
              </w:rPr>
              <w:t>0 findings in automated and manual checks.</w:t>
            </w:r>
          </w:p>
        </w:tc>
      </w:tr>
      <w:tr>
        <w:trPr>
          <w:cantSplit/>
        </w:trPr>
        <w:tc>
          <w:tcPr>
            <w:tcW w:type="dxa" w:w="1500"/>
          </w:tcPr>
          <w:p>
            <w:pPr>
              <w:spacing w:after="0" w:line="252" w:lineRule="auto"/>
            </w:pPr>
            <w:r>
              <w:rPr>
                <w:rFonts w:ascii="Calibri" w:hAnsi="Calibri" w:eastAsia="Calibri"/>
                <w:color w:val="161B21"/>
                <w:sz w:val="17"/>
              </w:rPr>
              <w:t>Accessibility</w:t>
            </w:r>
          </w:p>
        </w:tc>
        <w:tc>
          <w:tcPr>
            <w:tcW w:type="dxa" w:w="3600"/>
          </w:tcPr>
          <w:p>
            <w:pPr>
              <w:spacing w:after="0" w:line="252" w:lineRule="auto"/>
            </w:pPr>
            <w:r>
              <w:rPr>
                <w:rFonts w:ascii="Calibri" w:hAnsi="Calibri" w:eastAsia="Calibri"/>
                <w:color w:val="161B21"/>
                <w:sz w:val="17"/>
              </w:rPr>
              <w:t>Critical WCAG/mobile accessibility defects</w:t>
            </w:r>
          </w:p>
        </w:tc>
        <w:tc>
          <w:tcPr>
            <w:tcW w:type="dxa" w:w="4260"/>
          </w:tcPr>
          <w:p>
            <w:pPr>
              <w:spacing w:after="0" w:line="252" w:lineRule="auto"/>
            </w:pPr>
            <w:r>
              <w:rPr>
                <w:rFonts w:ascii="Calibri" w:hAnsi="Calibri" w:eastAsia="Calibri"/>
                <w:color w:val="161B21"/>
                <w:sz w:val="17"/>
              </w:rPr>
              <w:t>0 open blockers in primary transaction flows.</w:t>
            </w:r>
          </w:p>
        </w:tc>
      </w:tr>
    </w:tbl>
    <w:p>
      <w:pPr>
        <w:spacing w:after="40"/>
      </w:pPr>
    </w:p>
    <w:p>
      <w:pPr>
        <w:pStyle w:val="Heading2"/>
      </w:pPr>
      <w:r>
        <w:t>6.4 Performance gates</w:t>
      </w:r>
    </w:p>
    <w:tbl>
      <w:tblPr>
        <w:tblStyle w:val="TableGrid"/>
        <w:tblW w:type="dxa" w:w="9360"/>
        <w:jc w:val="left"/>
        <w:tblLayout w:type="fixed"/>
        <w:tblLook w:firstColumn="1" w:firstRow="1" w:lastColumn="0" w:lastRow="0" w:noHBand="0" w:noVBand="1" w:val="04A0"/>
        <w:tblInd w:w="120" w:type="dxa"/>
      </w:tblPr>
      <w:tblGrid>
        <w:gridCol w:w="2750"/>
        <w:gridCol w:w="6610"/>
      </w:tblGrid>
      <w:tr>
        <w:trPr>
          <w:tblHeader w:val="true"/>
        </w:trPr>
        <w:tc>
          <w:tcPr>
            <w:tcW w:type="dxa" w:w="275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Operation</w:t>
            </w:r>
          </w:p>
        </w:tc>
        <w:tc>
          <w:tcPr>
            <w:tcW w:type="dxa" w:w="661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Acceptance target</w:t>
            </w:r>
          </w:p>
        </w:tc>
      </w:tr>
      <w:tr>
        <w:trPr>
          <w:cantSplit/>
        </w:trPr>
        <w:tc>
          <w:tcPr>
            <w:tcW w:type="dxa" w:w="2750"/>
          </w:tcPr>
          <w:p>
            <w:pPr>
              <w:spacing w:after="0" w:line="252" w:lineRule="auto"/>
            </w:pPr>
            <w:r>
              <w:rPr>
                <w:rFonts w:ascii="Calibri" w:hAnsi="Calibri" w:eastAsia="Calibri"/>
                <w:color w:val="161B21"/>
                <w:sz w:val="18"/>
              </w:rPr>
              <w:t>Manual transaction save</w:t>
            </w:r>
          </w:p>
        </w:tc>
        <w:tc>
          <w:tcPr>
            <w:tcW w:type="dxa" w:w="6610"/>
          </w:tcPr>
          <w:p>
            <w:pPr>
              <w:spacing w:after="0" w:line="252" w:lineRule="auto"/>
            </w:pPr>
            <w:r>
              <w:rPr>
                <w:rFonts w:ascii="Calibri" w:hAnsi="Calibri" w:eastAsia="Calibri"/>
                <w:color w:val="161B21"/>
                <w:sz w:val="18"/>
              </w:rPr>
              <w:t>p95 &lt;=500 ms excluding user interaction on the reference matrix.</w:t>
            </w:r>
          </w:p>
        </w:tc>
      </w:tr>
      <w:tr>
        <w:trPr>
          <w:cantSplit/>
        </w:trPr>
        <w:tc>
          <w:tcPr>
            <w:tcW w:type="dxa" w:w="2750"/>
          </w:tcPr>
          <w:p>
            <w:pPr>
              <w:spacing w:after="0" w:line="252" w:lineRule="auto"/>
            </w:pPr>
            <w:r>
              <w:rPr>
                <w:rFonts w:ascii="Calibri" w:hAnsi="Calibri" w:eastAsia="Calibri"/>
                <w:color w:val="161B21"/>
                <w:sz w:val="18"/>
              </w:rPr>
              <w:t>Warm local text proposal</w:t>
            </w:r>
          </w:p>
        </w:tc>
        <w:tc>
          <w:tcPr>
            <w:tcW w:type="dxa" w:w="6610"/>
          </w:tcPr>
          <w:p>
            <w:pPr>
              <w:spacing w:after="0" w:line="252" w:lineRule="auto"/>
            </w:pPr>
            <w:r>
              <w:rPr>
                <w:rFonts w:ascii="Calibri" w:hAnsi="Calibri" w:eastAsia="Calibri"/>
                <w:color w:val="161B21"/>
                <w:sz w:val="18"/>
              </w:rPr>
              <w:t>p95 &lt;=8 s for AI Standard; &lt;=15 s for AI Lite. A model that fails is not offered for that tier.</w:t>
            </w:r>
          </w:p>
        </w:tc>
      </w:tr>
      <w:tr>
        <w:trPr>
          <w:cantSplit/>
        </w:trPr>
        <w:tc>
          <w:tcPr>
            <w:tcW w:type="dxa" w:w="2750"/>
          </w:tcPr>
          <w:p>
            <w:pPr>
              <w:spacing w:after="0" w:line="252" w:lineRule="auto"/>
            </w:pPr>
            <w:r>
              <w:rPr>
                <w:rFonts w:ascii="Calibri" w:hAnsi="Calibri" w:eastAsia="Calibri"/>
                <w:color w:val="161B21"/>
                <w:sz w:val="18"/>
              </w:rPr>
              <w:t>30-second voice clip</w:t>
            </w:r>
          </w:p>
        </w:tc>
        <w:tc>
          <w:tcPr>
            <w:tcW w:type="dxa" w:w="6610"/>
          </w:tcPr>
          <w:p>
            <w:pPr>
              <w:spacing w:after="0" w:line="252" w:lineRule="auto"/>
            </w:pPr>
            <w:r>
              <w:rPr>
                <w:rFonts w:ascii="Calibri" w:hAnsi="Calibri" w:eastAsia="Calibri"/>
                <w:color w:val="161B21"/>
                <w:sz w:val="18"/>
              </w:rPr>
              <w:t>Transcription plus proposal p95 &lt;=20 s on AI Standard reference devices.</w:t>
            </w:r>
          </w:p>
        </w:tc>
      </w:tr>
      <w:tr>
        <w:trPr>
          <w:cantSplit/>
        </w:trPr>
        <w:tc>
          <w:tcPr>
            <w:tcW w:type="dxa" w:w="2750"/>
          </w:tcPr>
          <w:p>
            <w:pPr>
              <w:spacing w:after="0" w:line="252" w:lineRule="auto"/>
            </w:pPr>
            <w:r>
              <w:rPr>
                <w:rFonts w:ascii="Calibri" w:hAnsi="Calibri" w:eastAsia="Calibri"/>
                <w:color w:val="161B21"/>
                <w:sz w:val="18"/>
              </w:rPr>
              <w:t>Image proposal</w:t>
            </w:r>
          </w:p>
        </w:tc>
        <w:tc>
          <w:tcPr>
            <w:tcW w:type="dxa" w:w="6610"/>
          </w:tcPr>
          <w:p>
            <w:pPr>
              <w:spacing w:after="0" w:line="252" w:lineRule="auto"/>
            </w:pPr>
            <w:r>
              <w:rPr>
                <w:rFonts w:ascii="Calibri" w:hAnsi="Calibri" w:eastAsia="Calibri"/>
                <w:color w:val="161B21"/>
                <w:sz w:val="18"/>
              </w:rPr>
              <w:t>p95 &lt;=15 s on eligible AI Standard vision devices for the agreed test image size.</w:t>
            </w:r>
          </w:p>
        </w:tc>
      </w:tr>
      <w:tr>
        <w:trPr>
          <w:cantSplit/>
        </w:trPr>
        <w:tc>
          <w:tcPr>
            <w:tcW w:type="dxa" w:w="2750"/>
          </w:tcPr>
          <w:p>
            <w:pPr>
              <w:spacing w:after="0" w:line="252" w:lineRule="auto"/>
            </w:pPr>
            <w:r>
              <w:rPr>
                <w:rFonts w:ascii="Calibri" w:hAnsi="Calibri" w:eastAsia="Calibri"/>
                <w:color w:val="161B21"/>
                <w:sz w:val="18"/>
              </w:rPr>
              <w:t>10,000-row XLSX import</w:t>
            </w:r>
          </w:p>
        </w:tc>
        <w:tc>
          <w:tcPr>
            <w:tcW w:type="dxa" w:w="6610"/>
          </w:tcPr>
          <w:p>
            <w:pPr>
              <w:spacing w:after="0" w:line="252" w:lineRule="auto"/>
            </w:pPr>
            <w:r>
              <w:rPr>
                <w:rFonts w:ascii="Calibri" w:hAnsi="Calibri" w:eastAsia="Calibri"/>
                <w:color w:val="161B21"/>
                <w:sz w:val="18"/>
              </w:rPr>
              <w:t>Validation plus commit &lt;=60 s on the standard reference Android/iOS devices; UI remains responsive.</w:t>
            </w:r>
          </w:p>
        </w:tc>
      </w:tr>
      <w:tr>
        <w:trPr>
          <w:cantSplit/>
        </w:trPr>
        <w:tc>
          <w:tcPr>
            <w:tcW w:type="dxa" w:w="2750"/>
          </w:tcPr>
          <w:p>
            <w:pPr>
              <w:spacing w:after="0" w:line="252" w:lineRule="auto"/>
            </w:pPr>
            <w:r>
              <w:rPr>
                <w:rFonts w:ascii="Calibri" w:hAnsi="Calibri" w:eastAsia="Calibri"/>
                <w:color w:val="161B21"/>
                <w:sz w:val="18"/>
              </w:rPr>
              <w:t>Stability</w:t>
            </w:r>
          </w:p>
        </w:tc>
        <w:tc>
          <w:tcPr>
            <w:tcW w:type="dxa" w:w="6610"/>
          </w:tcPr>
          <w:p>
            <w:pPr>
              <w:spacing w:after="0" w:line="252" w:lineRule="auto"/>
            </w:pPr>
            <w:r>
              <w:rPr>
                <w:rFonts w:ascii="Calibri" w:hAnsi="Calibri" w:eastAsia="Calibri"/>
                <w:color w:val="161B21"/>
                <w:sz w:val="18"/>
              </w:rPr>
              <w:t>No OS termination or unrecovered data error in 50 consecutive AI runs per reference device/model combination.</w:t>
            </w:r>
          </w:p>
        </w:tc>
      </w:tr>
      <w:tr>
        <w:trPr>
          <w:cantSplit/>
        </w:trPr>
        <w:tc>
          <w:tcPr>
            <w:tcW w:type="dxa" w:w="2750"/>
          </w:tcPr>
          <w:p>
            <w:pPr>
              <w:spacing w:after="0" w:line="252" w:lineRule="auto"/>
            </w:pPr>
            <w:r>
              <w:rPr>
                <w:rFonts w:ascii="Calibri" w:hAnsi="Calibri" w:eastAsia="Calibri"/>
                <w:color w:val="161B21"/>
                <w:sz w:val="18"/>
              </w:rPr>
              <w:t>Thermal protection</w:t>
            </w:r>
          </w:p>
        </w:tc>
        <w:tc>
          <w:tcPr>
            <w:tcW w:type="dxa" w:w="6610"/>
          </w:tcPr>
          <w:p>
            <w:pPr>
              <w:spacing w:after="0" w:line="252" w:lineRule="auto"/>
            </w:pPr>
            <w:r>
              <w:rPr>
                <w:rFonts w:ascii="Calibri" w:hAnsi="Calibri" w:eastAsia="Calibri"/>
                <w:color w:val="161B21"/>
                <w:sz w:val="18"/>
              </w:rPr>
              <w:t>Pause or downgrade inference when OS thermal/memory signals require it; no ledger loss.</w:t>
            </w:r>
          </w:p>
        </w:tc>
      </w:tr>
    </w:tbl>
    <w:p>
      <w:pPr>
        <w:spacing w:after="40"/>
      </w:pPr>
    </w:p>
    <w:p>
      <w:r>
        <w:br w:type="page"/>
      </w:r>
    </w:p>
    <w:p>
      <w:pPr>
        <w:pStyle w:val="Heading2"/>
      </w:pPr>
      <w:r>
        <w:t>6.5 Acceptance procedure</w:t>
      </w:r>
    </w:p>
    <w:p>
      <w:pPr>
        <w:numPr>
          <w:ilvl w:val="0"/>
          <w:numId w:val="14"/>
        </w:numPr>
        <w:spacing w:after="160" w:line="280" w:lineRule="auto"/>
      </w:pPr>
      <w:r>
        <w:t>Supplier delivers a release candidate, test report, device matrix, known-issues list and reproducible acceptance instructions.</w:t>
      </w:r>
    </w:p>
    <w:p>
      <w:pPr>
        <w:numPr>
          <w:ilvl w:val="0"/>
          <w:numId w:val="14"/>
        </w:numPr>
        <w:spacing w:after="160" w:line="280" w:lineRule="auto"/>
      </w:pPr>
      <w:r>
        <w:t>Customer has 10 business days to execute or witness acceptance tests and report reproducible Severity 1 or 2 failures.</w:t>
      </w:r>
    </w:p>
    <w:p>
      <w:pPr>
        <w:numPr>
          <w:ilvl w:val="0"/>
          <w:numId w:val="14"/>
        </w:numPr>
        <w:spacing w:after="160" w:line="280" w:lineRule="auto"/>
      </w:pPr>
      <w:r>
        <w:t>Supplier remedies confirmed failures and provides a replacement build. The affected tests are repeated; unaffected accepted areas remain accepted.</w:t>
      </w:r>
    </w:p>
    <w:p>
      <w:pPr>
        <w:numPr>
          <w:ilvl w:val="0"/>
          <w:numId w:val="14"/>
        </w:numPr>
        <w:spacing w:after="160" w:line="280" w:lineRule="auto"/>
      </w:pPr>
      <w:r>
        <w:t>If Customer gives written acceptance or does not report a qualifying failure within the review window, the release is deemed accepted, subject to the warranty obligations below.</w:t>
      </w:r>
    </w:p>
    <w:p>
      <w:r>
        <w:br w:type="page"/>
      </w:r>
    </w:p>
    <w:p>
      <w:pPr>
        <w:pStyle w:val="Heading1"/>
      </w:pPr>
      <w:r>
        <w:t>7. Delivery plan and responsibilities</w:t>
      </w:r>
    </w:p>
    <w:p>
      <w:pPr>
        <w:pStyle w:val="Heading2"/>
      </w:pPr>
      <w:r>
        <w:t>7.1 Proposed implementation schedule</w:t>
      </w:r>
    </w:p>
    <w:p>
      <w:pPr>
        <w:spacing w:before="120" w:after="200"/>
        <w:ind w:left="173" w:right="115"/>
        <w:shd w:fill="F4F6F9"/>
        <w:pBdr>
          <w:left w:val="single" w:sz="20" w:space="8" w:color="2E74B5"/>
        </w:pBdr>
      </w:pPr>
      <w:r>
        <w:rPr>
          <w:rFonts w:ascii="Calibri" w:hAnsi="Calibri" w:eastAsia="Calibri"/>
          <w:b/>
          <w:color w:val="1F4D78"/>
        </w:rPr>
        <w:t xml:space="preserve">Planning assumption. </w:t>
      </w:r>
      <w:r>
        <w:t>The schedule assumes a four-person delivery team: two mobile engineers, one AI/evaluation engineer and one QA/product role. A three-person team should plan approximately 22-26 weeks instead of 18-20 weeks.</w:t>
      </w:r>
    </w:p>
    <w:tbl>
      <w:tblPr>
        <w:tblStyle w:val="TableGrid"/>
        <w:tblW w:type="dxa" w:w="9360"/>
        <w:jc w:val="left"/>
        <w:tblLayout w:type="fixed"/>
        <w:tblLook w:firstColumn="1" w:firstRow="1" w:lastColumn="0" w:lastRow="0" w:noHBand="0" w:noVBand="1" w:val="04A0"/>
        <w:tblInd w:w="120" w:type="dxa"/>
      </w:tblPr>
      <w:tblGrid>
        <w:gridCol w:w="1550"/>
        <w:gridCol w:w="1200"/>
        <w:gridCol w:w="4400"/>
        <w:gridCol w:w="2210"/>
      </w:tblGrid>
      <w:tr>
        <w:trPr>
          <w:tblHeader w:val="true"/>
        </w:trPr>
        <w:tc>
          <w:tcPr>
            <w:tcW w:type="dxa" w:w="155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Phase</w:t>
            </w:r>
          </w:p>
        </w:tc>
        <w:tc>
          <w:tcPr>
            <w:tcW w:type="dxa" w:w="120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Duration</w:t>
            </w:r>
          </w:p>
        </w:tc>
        <w:tc>
          <w:tcPr>
            <w:tcW w:type="dxa" w:w="440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Primary outputs</w:t>
            </w:r>
          </w:p>
        </w:tc>
        <w:tc>
          <w:tcPr>
            <w:tcW w:type="dxa" w:w="221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Exit gate</w:t>
            </w:r>
          </w:p>
        </w:tc>
      </w:tr>
      <w:tr>
        <w:trPr>
          <w:cantSplit/>
        </w:trPr>
        <w:tc>
          <w:tcPr>
            <w:tcW w:type="dxa" w:w="1550"/>
          </w:tcPr>
          <w:p>
            <w:pPr>
              <w:spacing w:after="0" w:line="252" w:lineRule="auto"/>
            </w:pPr>
            <w:r>
              <w:rPr>
                <w:rFonts w:ascii="Calibri" w:hAnsi="Calibri" w:eastAsia="Calibri"/>
                <w:color w:val="161B21"/>
                <w:sz w:val="16"/>
              </w:rPr>
              <w:t>0. Discovery and spikes</w:t>
            </w:r>
          </w:p>
        </w:tc>
        <w:tc>
          <w:tcPr>
            <w:tcW w:type="dxa" w:w="1200"/>
          </w:tcPr>
          <w:p>
            <w:pPr>
              <w:spacing w:after="0" w:line="252" w:lineRule="auto"/>
            </w:pPr>
            <w:r>
              <w:rPr>
                <w:rFonts w:ascii="Calibri" w:hAnsi="Calibri" w:eastAsia="Calibri"/>
                <w:color w:val="161B21"/>
                <w:sz w:val="16"/>
              </w:rPr>
              <w:t>2 weeks</w:t>
            </w:r>
          </w:p>
        </w:tc>
        <w:tc>
          <w:tcPr>
            <w:tcW w:type="dxa" w:w="4400"/>
          </w:tcPr>
          <w:p>
            <w:pPr>
              <w:spacing w:after="0" w:line="252" w:lineRule="auto"/>
            </w:pPr>
            <w:r>
              <w:rPr>
                <w:rFonts w:ascii="Calibri" w:hAnsi="Calibri" w:eastAsia="Calibri"/>
                <w:color w:val="161B21"/>
                <w:sz w:val="16"/>
              </w:rPr>
              <w:t>Taxonomy, schemas, device matrix, local ASR/OCR and LiteRT-LM iOS/Android proof.</w:t>
            </w:r>
          </w:p>
        </w:tc>
        <w:tc>
          <w:tcPr>
            <w:tcW w:type="dxa" w:w="2210"/>
          </w:tcPr>
          <w:p>
            <w:pPr>
              <w:spacing w:after="0" w:line="252" w:lineRule="auto"/>
            </w:pPr>
            <w:r>
              <w:rPr>
                <w:rFonts w:ascii="Calibri" w:hAnsi="Calibri" w:eastAsia="Calibri"/>
                <w:color w:val="161B21"/>
                <w:sz w:val="16"/>
              </w:rPr>
              <w:t>Reference devices run end-to-end proposal flow.</w:t>
            </w:r>
          </w:p>
        </w:tc>
      </w:tr>
      <w:tr>
        <w:trPr>
          <w:cantSplit/>
        </w:trPr>
        <w:tc>
          <w:tcPr>
            <w:tcW w:type="dxa" w:w="1550"/>
          </w:tcPr>
          <w:p>
            <w:pPr>
              <w:spacing w:after="0" w:line="252" w:lineRule="auto"/>
            </w:pPr>
            <w:r>
              <w:rPr>
                <w:rFonts w:ascii="Calibri" w:hAnsi="Calibri" w:eastAsia="Calibri"/>
                <w:color w:val="161B21"/>
                <w:sz w:val="16"/>
              </w:rPr>
              <w:t>1. Ledger foundation</w:t>
            </w:r>
          </w:p>
        </w:tc>
        <w:tc>
          <w:tcPr>
            <w:tcW w:type="dxa" w:w="1200"/>
          </w:tcPr>
          <w:p>
            <w:pPr>
              <w:spacing w:after="0" w:line="252" w:lineRule="auto"/>
            </w:pPr>
            <w:r>
              <w:rPr>
                <w:rFonts w:ascii="Calibri" w:hAnsi="Calibri" w:eastAsia="Calibri"/>
                <w:color w:val="161B21"/>
                <w:sz w:val="16"/>
              </w:rPr>
              <w:t>3 weeks</w:t>
            </w:r>
          </w:p>
        </w:tc>
        <w:tc>
          <w:tcPr>
            <w:tcW w:type="dxa" w:w="4400"/>
          </w:tcPr>
          <w:p>
            <w:pPr>
              <w:spacing w:after="0" w:line="252" w:lineRule="auto"/>
            </w:pPr>
            <w:r>
              <w:rPr>
                <w:rFonts w:ascii="Calibri" w:hAnsi="Calibri" w:eastAsia="Calibri"/>
                <w:color w:val="161B21"/>
                <w:sz w:val="16"/>
              </w:rPr>
              <w:t>Encrypted DB, accounts, categories, manual entry, presets and audit.</w:t>
            </w:r>
          </w:p>
        </w:tc>
        <w:tc>
          <w:tcPr>
            <w:tcW w:type="dxa" w:w="2210"/>
          </w:tcPr>
          <w:p>
            <w:pPr>
              <w:spacing w:after="0" w:line="252" w:lineRule="auto"/>
            </w:pPr>
            <w:r>
              <w:rPr>
                <w:rFonts w:ascii="Calibri" w:hAnsi="Calibri" w:eastAsia="Calibri"/>
                <w:color w:val="161B21"/>
                <w:sz w:val="16"/>
              </w:rPr>
              <w:t>Ledger invariant suite passes.</w:t>
            </w:r>
          </w:p>
        </w:tc>
      </w:tr>
      <w:tr>
        <w:trPr>
          <w:cantSplit/>
        </w:trPr>
        <w:tc>
          <w:tcPr>
            <w:tcW w:type="dxa" w:w="1550"/>
          </w:tcPr>
          <w:p>
            <w:pPr>
              <w:spacing w:after="0" w:line="252" w:lineRule="auto"/>
            </w:pPr>
            <w:r>
              <w:rPr>
                <w:rFonts w:ascii="Calibri" w:hAnsi="Calibri" w:eastAsia="Calibri"/>
                <w:color w:val="161B21"/>
                <w:sz w:val="16"/>
              </w:rPr>
              <w:t>2. Local capture AI</w:t>
            </w:r>
          </w:p>
        </w:tc>
        <w:tc>
          <w:tcPr>
            <w:tcW w:type="dxa" w:w="1200"/>
          </w:tcPr>
          <w:p>
            <w:pPr>
              <w:spacing w:after="0" w:line="252" w:lineRule="auto"/>
            </w:pPr>
            <w:r>
              <w:rPr>
                <w:rFonts w:ascii="Calibri" w:hAnsi="Calibri" w:eastAsia="Calibri"/>
                <w:color w:val="161B21"/>
                <w:sz w:val="16"/>
              </w:rPr>
              <w:t>5 weeks</w:t>
            </w:r>
          </w:p>
        </w:tc>
        <w:tc>
          <w:tcPr>
            <w:tcW w:type="dxa" w:w="4400"/>
          </w:tcPr>
          <w:p>
            <w:pPr>
              <w:spacing w:after="0" w:line="252" w:lineRule="auto"/>
            </w:pPr>
            <w:r>
              <w:rPr>
                <w:rFonts w:ascii="Calibri" w:hAnsi="Calibri" w:eastAsia="Calibri"/>
                <w:color w:val="161B21"/>
                <w:sz w:val="16"/>
              </w:rPr>
              <w:t>Text, voice, image, model manager, capability gate and review UI.</w:t>
            </w:r>
          </w:p>
        </w:tc>
        <w:tc>
          <w:tcPr>
            <w:tcW w:type="dxa" w:w="2210"/>
          </w:tcPr>
          <w:p>
            <w:pPr>
              <w:spacing w:after="0" w:line="252" w:lineRule="auto"/>
            </w:pPr>
            <w:r>
              <w:rPr>
                <w:rFonts w:ascii="Calibri" w:hAnsi="Calibri" w:eastAsia="Calibri"/>
                <w:color w:val="161B21"/>
                <w:sz w:val="16"/>
              </w:rPr>
              <w:t>Core modality goldens meet alpha thresholds.</w:t>
            </w:r>
          </w:p>
        </w:tc>
      </w:tr>
      <w:tr>
        <w:trPr>
          <w:cantSplit/>
        </w:trPr>
        <w:tc>
          <w:tcPr>
            <w:tcW w:type="dxa" w:w="1550"/>
          </w:tcPr>
          <w:p>
            <w:pPr>
              <w:spacing w:after="0" w:line="252" w:lineRule="auto"/>
            </w:pPr>
            <w:r>
              <w:rPr>
                <w:rFonts w:ascii="Calibri" w:hAnsi="Calibri" w:eastAsia="Calibri"/>
                <w:color w:val="161B21"/>
                <w:sz w:val="16"/>
              </w:rPr>
              <w:t>3. Dashboard and portability</w:t>
            </w:r>
          </w:p>
        </w:tc>
        <w:tc>
          <w:tcPr>
            <w:tcW w:type="dxa" w:w="1200"/>
          </w:tcPr>
          <w:p>
            <w:pPr>
              <w:spacing w:after="0" w:line="252" w:lineRule="auto"/>
            </w:pPr>
            <w:r>
              <w:rPr>
                <w:rFonts w:ascii="Calibri" w:hAnsi="Calibri" w:eastAsia="Calibri"/>
                <w:color w:val="161B21"/>
                <w:sz w:val="16"/>
              </w:rPr>
              <w:t>3 weeks</w:t>
            </w:r>
          </w:p>
        </w:tc>
        <w:tc>
          <w:tcPr>
            <w:tcW w:type="dxa" w:w="4400"/>
          </w:tcPr>
          <w:p>
            <w:pPr>
              <w:spacing w:after="0" w:line="252" w:lineRule="auto"/>
            </w:pPr>
            <w:r>
              <w:rPr>
                <w:rFonts w:ascii="Calibri" w:hAnsi="Calibri" w:eastAsia="Calibri"/>
                <w:color w:val="161B21"/>
                <w:sz w:val="16"/>
              </w:rPr>
              <w:t>Dashboard, budgets, correction memory, search, XLSX import/export.</w:t>
            </w:r>
          </w:p>
        </w:tc>
        <w:tc>
          <w:tcPr>
            <w:tcW w:type="dxa" w:w="2210"/>
          </w:tcPr>
          <w:p>
            <w:pPr>
              <w:spacing w:after="0" w:line="252" w:lineRule="auto"/>
            </w:pPr>
            <w:r>
              <w:rPr>
                <w:rFonts w:ascii="Calibri" w:hAnsi="Calibri" w:eastAsia="Calibri"/>
                <w:color w:val="161B21"/>
                <w:sz w:val="16"/>
              </w:rPr>
              <w:t>Round-trip and recalculation tests pass.</w:t>
            </w:r>
          </w:p>
        </w:tc>
      </w:tr>
      <w:tr>
        <w:trPr>
          <w:cantSplit/>
        </w:trPr>
        <w:tc>
          <w:tcPr>
            <w:tcW w:type="dxa" w:w="1550"/>
          </w:tcPr>
          <w:p>
            <w:pPr>
              <w:spacing w:after="0" w:line="252" w:lineRule="auto"/>
            </w:pPr>
            <w:r>
              <w:rPr>
                <w:rFonts w:ascii="Calibri" w:hAnsi="Calibri" w:eastAsia="Calibri"/>
                <w:color w:val="161B21"/>
                <w:sz w:val="16"/>
              </w:rPr>
              <w:t>4. BYOK and evaluation</w:t>
            </w:r>
          </w:p>
        </w:tc>
        <w:tc>
          <w:tcPr>
            <w:tcW w:type="dxa" w:w="1200"/>
          </w:tcPr>
          <w:p>
            <w:pPr>
              <w:spacing w:after="0" w:line="252" w:lineRule="auto"/>
            </w:pPr>
            <w:r>
              <w:rPr>
                <w:rFonts w:ascii="Calibri" w:hAnsi="Calibri" w:eastAsia="Calibri"/>
                <w:color w:val="161B21"/>
                <w:sz w:val="16"/>
              </w:rPr>
              <w:t>3 weeks</w:t>
            </w:r>
          </w:p>
        </w:tc>
        <w:tc>
          <w:tcPr>
            <w:tcW w:type="dxa" w:w="4400"/>
          </w:tcPr>
          <w:p>
            <w:pPr>
              <w:spacing w:after="0" w:line="252" w:lineRule="auto"/>
            </w:pPr>
            <w:r>
              <w:rPr>
                <w:rFonts w:ascii="Calibri" w:hAnsi="Calibri" w:eastAsia="Calibri"/>
                <w:color w:val="161B21"/>
                <w:sz w:val="16"/>
              </w:rPr>
              <w:t>Provider adapters, secure key lifecycle, DeepEval CI and held-out reporting.</w:t>
            </w:r>
          </w:p>
        </w:tc>
        <w:tc>
          <w:tcPr>
            <w:tcW w:type="dxa" w:w="2210"/>
          </w:tcPr>
          <w:p>
            <w:pPr>
              <w:spacing w:after="0" w:line="252" w:lineRule="auto"/>
            </w:pPr>
            <w:r>
              <w:rPr>
                <w:rFonts w:ascii="Calibri" w:hAnsi="Calibri" w:eastAsia="Calibri"/>
                <w:color w:val="161B21"/>
                <w:sz w:val="16"/>
              </w:rPr>
              <w:t>No secret/privacy findings; connected tests pass.</w:t>
            </w:r>
          </w:p>
        </w:tc>
      </w:tr>
      <w:tr>
        <w:trPr>
          <w:cantSplit/>
        </w:trPr>
        <w:tc>
          <w:tcPr>
            <w:tcW w:type="dxa" w:w="1550"/>
          </w:tcPr>
          <w:p>
            <w:pPr>
              <w:spacing w:after="0" w:line="252" w:lineRule="auto"/>
            </w:pPr>
            <w:r>
              <w:rPr>
                <w:rFonts w:ascii="Calibri" w:hAnsi="Calibri" w:eastAsia="Calibri"/>
                <w:color w:val="161B21"/>
                <w:sz w:val="16"/>
              </w:rPr>
              <w:t>5. Hardening and release</w:t>
            </w:r>
          </w:p>
        </w:tc>
        <w:tc>
          <w:tcPr>
            <w:tcW w:type="dxa" w:w="1200"/>
          </w:tcPr>
          <w:p>
            <w:pPr>
              <w:spacing w:after="0" w:line="252" w:lineRule="auto"/>
            </w:pPr>
            <w:r>
              <w:rPr>
                <w:rFonts w:ascii="Calibri" w:hAnsi="Calibri" w:eastAsia="Calibri"/>
                <w:color w:val="161B21"/>
                <w:sz w:val="16"/>
              </w:rPr>
              <w:t>2-4 weeks</w:t>
            </w:r>
          </w:p>
        </w:tc>
        <w:tc>
          <w:tcPr>
            <w:tcW w:type="dxa" w:w="4400"/>
          </w:tcPr>
          <w:p>
            <w:pPr>
              <w:spacing w:after="0" w:line="252" w:lineRule="auto"/>
            </w:pPr>
            <w:r>
              <w:rPr>
                <w:rFonts w:ascii="Calibri" w:hAnsi="Calibri" w:eastAsia="Calibri"/>
                <w:color w:val="161B21"/>
                <w:sz w:val="16"/>
              </w:rPr>
              <w:t>Physical-device QA, accessibility, security, beta fixes, documentation and store builds.</w:t>
            </w:r>
          </w:p>
        </w:tc>
        <w:tc>
          <w:tcPr>
            <w:tcW w:type="dxa" w:w="2210"/>
          </w:tcPr>
          <w:p>
            <w:pPr>
              <w:spacing w:after="0" w:line="252" w:lineRule="auto"/>
            </w:pPr>
            <w:r>
              <w:rPr>
                <w:rFonts w:ascii="Calibri" w:hAnsi="Calibri" w:eastAsia="Calibri"/>
                <w:color w:val="161B21"/>
                <w:sz w:val="16"/>
              </w:rPr>
              <w:t>All release gates pass and sign-off package delivered.</w:t>
            </w:r>
          </w:p>
        </w:tc>
      </w:tr>
    </w:tbl>
    <w:p>
      <w:pPr>
        <w:spacing w:after="40"/>
      </w:pPr>
    </w:p>
    <w:p>
      <w:r>
        <w:br w:type="page"/>
      </w:r>
    </w:p>
    <w:p>
      <w:pPr>
        <w:pStyle w:val="Heading2"/>
      </w:pPr>
      <w:r>
        <w:t>7.2 Supplier deliverables</w:t>
      </w:r>
    </w:p>
    <w:p>
      <w:pPr>
        <w:numPr>
          <w:ilvl w:val="0"/>
          <w:numId w:val="10"/>
        </w:numPr>
        <w:spacing w:after="160" w:line="280" w:lineRule="auto"/>
      </w:pPr>
      <w:r>
        <w:t>iOS and Android source code, dependency lockfiles and reproducible build instructions.</w:t>
      </w:r>
    </w:p>
    <w:p>
      <w:pPr>
        <w:numPr>
          <w:ilvl w:val="0"/>
          <w:numId w:val="10"/>
        </w:numPr>
        <w:spacing w:after="160" w:line="280" w:lineRule="auto"/>
      </w:pPr>
      <w:r>
        <w:t>Database schema, migrations, category seed data and transaction contract documentation.</w:t>
      </w:r>
    </w:p>
    <w:p>
      <w:pPr>
        <w:numPr>
          <w:ilvl w:val="0"/>
          <w:numId w:val="10"/>
        </w:numPr>
        <w:spacing w:after="160" w:line="280" w:lineRule="auto"/>
      </w:pPr>
      <w:r>
        <w:t>Local inference adapters, model manifest/compatibility logic and model package checksums or documented retrieval process.</w:t>
      </w:r>
    </w:p>
    <w:p>
      <w:pPr>
        <w:numPr>
          <w:ilvl w:val="0"/>
          <w:numId w:val="10"/>
        </w:numPr>
        <w:spacing w:after="160" w:line="280" w:lineRule="auto"/>
      </w:pPr>
      <w:r>
        <w:t>Manual, text, voice and image capture flows plus dashboard and XLSX functionality.</w:t>
      </w:r>
    </w:p>
    <w:p>
      <w:pPr>
        <w:numPr>
          <w:ilvl w:val="0"/>
          <w:numId w:val="10"/>
        </w:numPr>
        <w:spacing w:after="160" w:line="280" w:lineRule="auto"/>
      </w:pPr>
      <w:r>
        <w:t>OpenAI and Anthropic BYOK adapters with secrets redaction and schema validation.</w:t>
      </w:r>
    </w:p>
    <w:p>
      <w:pPr>
        <w:numPr>
          <w:ilvl w:val="0"/>
          <w:numId w:val="10"/>
        </w:numPr>
        <w:spacing w:after="160" w:line="280" w:lineRule="auto"/>
      </w:pPr>
      <w:r>
        <w:t>DeepEval test project, golden dataset, deterministic metric scripts, CI configuration and release evaluation report.</w:t>
      </w:r>
    </w:p>
    <w:p>
      <w:pPr>
        <w:numPr>
          <w:ilvl w:val="0"/>
          <w:numId w:val="10"/>
        </w:numPr>
        <w:spacing w:after="160" w:line="280" w:lineRule="auto"/>
      </w:pPr>
      <w:r>
        <w:t>Architecture, security/privacy, operations, user guide, model-qualification and known-limitations documents.</w:t>
      </w:r>
    </w:p>
    <w:p>
      <w:pPr>
        <w:numPr>
          <w:ilvl w:val="0"/>
          <w:numId w:val="10"/>
        </w:numPr>
        <w:spacing w:after="160" w:line="280" w:lineRule="auto"/>
      </w:pPr>
      <w:r>
        <w:t>Signed release builds suitable for Customer testing. Store listing assets/submission are included only if expressly assigned in the commercial agreement.</w:t>
      </w:r>
    </w:p>
    <w:p>
      <w:r>
        <w:br w:type="page"/>
      </w:r>
    </w:p>
    <w:p>
      <w:pPr>
        <w:pStyle w:val="Heading2"/>
      </w:pPr>
      <w:r>
        <w:t>7.3 Customer responsibilities</w:t>
      </w:r>
    </w:p>
    <w:p>
      <w:pPr>
        <w:numPr>
          <w:ilvl w:val="0"/>
          <w:numId w:val="10"/>
        </w:numPr>
        <w:spacing w:after="160" w:line="280" w:lineRule="auto"/>
      </w:pPr>
      <w:r>
        <w:t>Approve category taxonomy, reference devices, visual identity and acceptance dataset examples on schedule.</w:t>
      </w:r>
    </w:p>
    <w:p>
      <w:pPr>
        <w:numPr>
          <w:ilvl w:val="0"/>
          <w:numId w:val="10"/>
        </w:numPr>
        <w:spacing w:after="160" w:line="280" w:lineRule="auto"/>
      </w:pPr>
      <w:r>
        <w:t>Provide Apple and Google developer accounts, signing access and store compliance information where store delivery is required.</w:t>
      </w:r>
    </w:p>
    <w:p>
      <w:pPr>
        <w:numPr>
          <w:ilvl w:val="0"/>
          <w:numId w:val="10"/>
        </w:numPr>
        <w:spacing w:after="160" w:line="280" w:lineRule="auto"/>
      </w:pPr>
      <w:r>
        <w:t>Provide lawful test images/voice recordings and consent for any non-synthetic examples.</w:t>
      </w:r>
    </w:p>
    <w:p>
      <w:pPr>
        <w:numPr>
          <w:ilvl w:val="0"/>
          <w:numId w:val="10"/>
        </w:numPr>
        <w:spacing w:after="160" w:line="280" w:lineRule="auto"/>
      </w:pPr>
      <w:r>
        <w:t>Supply test API keys for hosted-provider acceptance; never send keys in tickets or documents.</w:t>
      </w:r>
    </w:p>
    <w:p>
      <w:pPr>
        <w:numPr>
          <w:ilvl w:val="0"/>
          <w:numId w:val="10"/>
        </w:numPr>
        <w:spacing w:after="160" w:line="280" w:lineRule="auto"/>
      </w:pPr>
      <w:r>
        <w:t>Execute acceptance within the stated window and provide reproducible reports with device/OS/build details.</w:t>
      </w:r>
    </w:p>
    <w:p>
      <w:pPr>
        <w:numPr>
          <w:ilvl w:val="0"/>
          <w:numId w:val="10"/>
        </w:numPr>
        <w:spacing w:after="160" w:line="280" w:lineRule="auto"/>
      </w:pPr>
      <w:r>
        <w:t>Own user-facing privacy policy, terms and regulatory/legal review unless separately contracted.</w:t>
      </w:r>
    </w:p>
    <w:p>
      <w:pPr>
        <w:pStyle w:val="Heading1"/>
      </w:pPr>
      <w:r>
        <w:t>8. Operational SLA and support commitments</w:t>
      </w:r>
    </w:p>
    <w:p>
      <w:pPr>
        <w:pStyle w:val="Heading2"/>
      </w:pPr>
      <w:r>
        <w:t>8.1 Service availability interpretation</w:t>
      </w:r>
    </w:p>
    <w:p>
      <w:pPr>
        <w:spacing w:before="120" w:after="200"/>
        <w:ind w:left="173" w:right="115"/>
        <w:shd w:fill="F4F6F9"/>
        <w:pBdr>
          <w:left w:val="single" w:sz="20" w:space="8" w:color="2E74B5"/>
        </w:pBdr>
      </w:pPr>
      <w:r>
        <w:rPr>
          <w:rFonts w:ascii="Calibri" w:hAnsi="Calibri" w:eastAsia="Calibri"/>
          <w:b/>
          <w:color w:val="1F4D78"/>
        </w:rPr>
        <w:t xml:space="preserve">No hosted uptime percentage. </w:t>
      </w:r>
      <w:r>
        <w:t>V1 operates locally and has no Supplier-hosted production service. A conventional 99.9% server-uptime commitment is therefore not applicable. Provider availability, internet connectivity and app-store review times are outside Supplier control.</w:t>
      </w:r>
    </w:p>
    <w:p>
      <w:r>
        <w:t>Operational quality is measured through supported-build stability, data integrity, incident response, vulnerability handling and maintenance releases.</w:t>
      </w:r>
    </w:p>
    <w:p>
      <w:pPr>
        <w:pStyle w:val="Heading2"/>
      </w:pPr>
      <w:r>
        <w:t>8.2 Support term and hours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Item</w:t>
            </w:r>
          </w:p>
        </w:tc>
        <w:tc>
          <w:tcPr>
            <w:tcW w:type="dxa" w:w="69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Commitment</w:t>
            </w:r>
          </w:p>
        </w:tc>
      </w:tr>
      <w:tr>
        <w:trPr>
          <w:cantSplit/>
        </w:trPr>
        <w:tc>
          <w:tcPr>
            <w:tcW w:type="dxa" w:w="2400"/>
          </w:tcPr>
          <w:p>
            <w:pPr>
              <w:spacing w:after="0" w:line="252" w:lineRule="auto"/>
            </w:pPr>
            <w:r>
              <w:rPr>
                <w:rFonts w:ascii="Calibri" w:hAnsi="Calibri" w:eastAsia="Calibri"/>
                <w:color w:val="161B21"/>
                <w:sz w:val="18"/>
              </w:rPr>
              <w:t>Included warranty</w:t>
            </w:r>
          </w:p>
        </w:tc>
        <w:tc>
          <w:tcPr>
            <w:tcW w:type="dxa" w:w="6960"/>
          </w:tcPr>
          <w:p>
            <w:pPr>
              <w:spacing w:after="0" w:line="252" w:lineRule="auto"/>
            </w:pPr>
            <w:r>
              <w:rPr>
                <w:rFonts w:ascii="Calibri" w:hAnsi="Calibri" w:eastAsia="Calibri"/>
                <w:color w:val="161B21"/>
                <w:sz w:val="18"/>
              </w:rPr>
              <w:t>90 calendar days from production acceptance.</w:t>
            </w:r>
          </w:p>
        </w:tc>
      </w:tr>
      <w:tr>
        <w:trPr>
          <w:cantSplit/>
        </w:trPr>
        <w:tc>
          <w:tcPr>
            <w:tcW w:type="dxa" w:w="2400"/>
          </w:tcPr>
          <w:p>
            <w:pPr>
              <w:spacing w:after="0" w:line="252" w:lineRule="auto"/>
            </w:pPr>
            <w:r>
              <w:rPr>
                <w:rFonts w:ascii="Calibri" w:hAnsi="Calibri" w:eastAsia="Calibri"/>
                <w:color w:val="161B21"/>
                <w:sz w:val="18"/>
              </w:rPr>
              <w:t>Support hours</w:t>
            </w:r>
          </w:p>
        </w:tc>
        <w:tc>
          <w:tcPr>
            <w:tcW w:type="dxa" w:w="6960"/>
          </w:tcPr>
          <w:p>
            <w:pPr>
              <w:spacing w:after="0" w:line="252" w:lineRule="auto"/>
            </w:pPr>
            <w:r>
              <w:rPr>
                <w:rFonts w:ascii="Calibri" w:hAnsi="Calibri" w:eastAsia="Calibri"/>
                <w:color w:val="161B21"/>
                <w:sz w:val="18"/>
              </w:rPr>
              <w:t>09:00-18:00 IST, Monday-Friday, excluding Indian public holidays.</w:t>
            </w:r>
          </w:p>
        </w:tc>
      </w:tr>
      <w:tr>
        <w:trPr>
          <w:cantSplit/>
        </w:trPr>
        <w:tc>
          <w:tcPr>
            <w:tcW w:type="dxa" w:w="2400"/>
          </w:tcPr>
          <w:p>
            <w:pPr>
              <w:spacing w:after="0" w:line="252" w:lineRule="auto"/>
            </w:pPr>
            <w:r>
              <w:rPr>
                <w:rFonts w:ascii="Calibri" w:hAnsi="Calibri" w:eastAsia="Calibri"/>
                <w:color w:val="161B21"/>
                <w:sz w:val="18"/>
              </w:rPr>
              <w:t>Channel</w:t>
            </w:r>
          </w:p>
        </w:tc>
        <w:tc>
          <w:tcPr>
            <w:tcW w:type="dxa" w:w="6960"/>
          </w:tcPr>
          <w:p>
            <w:pPr>
              <w:spacing w:after="0" w:line="252" w:lineRule="auto"/>
            </w:pPr>
            <w:r>
              <w:rPr>
                <w:rFonts w:ascii="Calibri" w:hAnsi="Calibri" w:eastAsia="Calibri"/>
                <w:color w:val="161B21"/>
                <w:sz w:val="18"/>
              </w:rPr>
              <w:t>Designated ticket/email channel with build, device, OS and reproducible steps.</w:t>
            </w:r>
          </w:p>
        </w:tc>
      </w:tr>
      <w:tr>
        <w:trPr>
          <w:cantSplit/>
        </w:trPr>
        <w:tc>
          <w:tcPr>
            <w:tcW w:type="dxa" w:w="2400"/>
          </w:tcPr>
          <w:p>
            <w:pPr>
              <w:spacing w:after="0" w:line="252" w:lineRule="auto"/>
            </w:pPr>
            <w:r>
              <w:rPr>
                <w:rFonts w:ascii="Calibri" w:hAnsi="Calibri" w:eastAsia="Calibri"/>
                <w:color w:val="161B21"/>
                <w:sz w:val="18"/>
              </w:rPr>
              <w:t>Extended maintenance</w:t>
            </w:r>
          </w:p>
        </w:tc>
        <w:tc>
          <w:tcPr>
            <w:tcW w:type="dxa" w:w="6960"/>
          </w:tcPr>
          <w:p>
            <w:pPr>
              <w:spacing w:after="0" w:line="252" w:lineRule="auto"/>
            </w:pPr>
            <w:r>
              <w:rPr>
                <w:rFonts w:ascii="Calibri" w:hAnsi="Calibri" w:eastAsia="Calibri"/>
                <w:color w:val="161B21"/>
                <w:sz w:val="18"/>
              </w:rPr>
              <w:t>Available under a separate monthly/annual agreement after the warranty term.</w:t>
            </w:r>
          </w:p>
        </w:tc>
      </w:tr>
      <w:tr>
        <w:trPr>
          <w:cantSplit/>
        </w:trPr>
        <w:tc>
          <w:tcPr>
            <w:tcW w:type="dxa" w:w="2400"/>
          </w:tcPr>
          <w:p>
            <w:pPr>
              <w:spacing w:after="0" w:line="252" w:lineRule="auto"/>
            </w:pPr>
            <w:r>
              <w:rPr>
                <w:rFonts w:ascii="Calibri" w:hAnsi="Calibri" w:eastAsia="Calibri"/>
                <w:color w:val="161B21"/>
                <w:sz w:val="18"/>
              </w:rPr>
              <w:t>Supported builds</w:t>
            </w:r>
          </w:p>
        </w:tc>
        <w:tc>
          <w:tcPr>
            <w:tcW w:type="dxa" w:w="6960"/>
          </w:tcPr>
          <w:p>
            <w:pPr>
              <w:spacing w:after="0" w:line="252" w:lineRule="auto"/>
            </w:pPr>
            <w:r>
              <w:rPr>
                <w:rFonts w:ascii="Calibri" w:hAnsi="Calibri" w:eastAsia="Calibri"/>
                <w:color w:val="161B21"/>
                <w:sz w:val="18"/>
              </w:rPr>
              <w:t>Current production release and immediately previous production release, unless a security issue requires forced upgrade.</w:t>
            </w:r>
          </w:p>
        </w:tc>
      </w:tr>
    </w:tbl>
    <w:p>
      <w:pPr>
        <w:spacing w:after="40"/>
      </w:pPr>
    </w:p>
    <w:p>
      <w:pPr>
        <w:pStyle w:val="Heading2"/>
      </w:pPr>
      <w:r>
        <w:t>8.3 Incident severity and response targets</w:t>
      </w:r>
    </w:p>
    <w:tbl>
      <w:tblPr>
        <w:tblStyle w:val="TableGrid"/>
        <w:tblW w:type="dxa" w:w="9360"/>
        <w:jc w:val="left"/>
        <w:tblLayout w:type="fixed"/>
        <w:tblLook w:firstColumn="1" w:firstRow="1" w:lastColumn="0" w:lastRow="0" w:noHBand="0" w:noVBand="1" w:val="04A0"/>
        <w:tblInd w:w="120" w:type="dxa"/>
      </w:tblPr>
      <w:tblGrid>
        <w:gridCol w:w="1050"/>
        <w:gridCol w:w="3550"/>
        <w:gridCol w:w="1400"/>
        <w:gridCol w:w="1450"/>
        <w:gridCol w:w="1910"/>
      </w:tblGrid>
      <w:tr>
        <w:trPr>
          <w:tblHeader w:val="true"/>
        </w:trPr>
        <w:tc>
          <w:tcPr>
            <w:tcW w:type="dxa" w:w="105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Severity</w:t>
            </w:r>
          </w:p>
        </w:tc>
        <w:tc>
          <w:tcPr>
            <w:tcW w:type="dxa" w:w="355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Definition</w:t>
            </w:r>
          </w:p>
        </w:tc>
        <w:tc>
          <w:tcPr>
            <w:tcW w:type="dxa" w:w="140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Acknowledge</w:t>
            </w:r>
          </w:p>
        </w:tc>
        <w:tc>
          <w:tcPr>
            <w:tcW w:type="dxa" w:w="145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Target workaround</w:t>
            </w:r>
          </w:p>
        </w:tc>
        <w:tc>
          <w:tcPr>
            <w:tcW w:type="dxa" w:w="1910"/>
            <w:tcMar>
              <w:top w:w="80" w:type="dxa"/>
              <w:start w:w="120" w:type="dxa"/>
              <w:bottom w:w="80" w:type="dxa"/>
              <w:end w:w="120" w:type="dxa"/>
            </w:tcMar>
            <w:vAlign w:val="center"/>
            <w:shd w:fill="F2F4F7"/>
          </w:tcPr>
          <w:p>
            <w:pPr>
              <w:spacing w:after="0"/>
              <w:jc w:val="left"/>
            </w:pPr>
            <w:r>
              <w:rPr>
                <w:rFonts w:ascii="Calibri" w:hAnsi="Calibri" w:eastAsia="Calibri"/>
                <w:b/>
                <w:color w:val="0B2545"/>
                <w:sz w:val="16"/>
              </w:rPr>
              <w:t>Target correction</w:t>
            </w:r>
          </w:p>
        </w:tc>
      </w:tr>
      <w:tr>
        <w:trPr>
          <w:cantSplit/>
        </w:trPr>
        <w:tc>
          <w:tcPr>
            <w:tcW w:type="dxa" w:w="1050"/>
          </w:tcPr>
          <w:p>
            <w:pPr>
              <w:spacing w:after="0" w:line="252" w:lineRule="auto"/>
            </w:pPr>
            <w:r>
              <w:rPr>
                <w:rFonts w:ascii="Calibri" w:hAnsi="Calibri" w:eastAsia="Calibri"/>
                <w:color w:val="161B21"/>
                <w:sz w:val="16"/>
              </w:rPr>
              <w:t>S1 Critical</w:t>
            </w:r>
          </w:p>
        </w:tc>
        <w:tc>
          <w:tcPr>
            <w:tcW w:type="dxa" w:w="3550"/>
          </w:tcPr>
          <w:p>
            <w:pPr>
              <w:spacing w:after="0" w:line="252" w:lineRule="auto"/>
            </w:pPr>
            <w:r>
              <w:rPr>
                <w:rFonts w:ascii="Calibri" w:hAnsi="Calibri" w:eastAsia="Calibri"/>
                <w:color w:val="161B21"/>
                <w:sz w:val="16"/>
              </w:rPr>
              <w:t>Confirmed data loss/corruption, exposed API key, app cannot open for most supported users, or security vulnerability with active exploitation.</w:t>
            </w:r>
          </w:p>
        </w:tc>
        <w:tc>
          <w:tcPr>
            <w:tcW w:type="dxa" w:w="1400"/>
          </w:tcPr>
          <w:p>
            <w:pPr>
              <w:spacing w:after="0" w:line="252" w:lineRule="auto"/>
            </w:pPr>
            <w:r>
              <w:rPr>
                <w:rFonts w:ascii="Calibri" w:hAnsi="Calibri" w:eastAsia="Calibri"/>
                <w:color w:val="161B21"/>
                <w:sz w:val="16"/>
              </w:rPr>
              <w:t>4 business hours</w:t>
            </w:r>
          </w:p>
        </w:tc>
        <w:tc>
          <w:tcPr>
            <w:tcW w:type="dxa" w:w="1450"/>
          </w:tcPr>
          <w:p>
            <w:pPr>
              <w:spacing w:after="0" w:line="252" w:lineRule="auto"/>
            </w:pPr>
            <w:r>
              <w:rPr>
                <w:rFonts w:ascii="Calibri" w:hAnsi="Calibri" w:eastAsia="Calibri"/>
                <w:color w:val="161B21"/>
                <w:sz w:val="16"/>
              </w:rPr>
              <w:t>1 business day</w:t>
            </w:r>
          </w:p>
        </w:tc>
        <w:tc>
          <w:tcPr>
            <w:tcW w:type="dxa" w:w="1910"/>
          </w:tcPr>
          <w:p>
            <w:pPr>
              <w:spacing w:after="0" w:line="252" w:lineRule="auto"/>
            </w:pPr>
            <w:r>
              <w:rPr>
                <w:rFonts w:ascii="Calibri" w:hAnsi="Calibri" w:eastAsia="Calibri"/>
                <w:color w:val="161B21"/>
                <w:sz w:val="16"/>
              </w:rPr>
              <w:t>3 business days*</w:t>
            </w:r>
          </w:p>
        </w:tc>
      </w:tr>
      <w:tr>
        <w:trPr>
          <w:cantSplit/>
        </w:trPr>
        <w:tc>
          <w:tcPr>
            <w:tcW w:type="dxa" w:w="1050"/>
          </w:tcPr>
          <w:p>
            <w:pPr>
              <w:spacing w:after="0" w:line="252" w:lineRule="auto"/>
            </w:pPr>
            <w:r>
              <w:rPr>
                <w:rFonts w:ascii="Calibri" w:hAnsi="Calibri" w:eastAsia="Calibri"/>
                <w:color w:val="161B21"/>
                <w:sz w:val="16"/>
              </w:rPr>
              <w:t>S2 High</w:t>
            </w:r>
          </w:p>
        </w:tc>
        <w:tc>
          <w:tcPr>
            <w:tcW w:type="dxa" w:w="3550"/>
          </w:tcPr>
          <w:p>
            <w:pPr>
              <w:spacing w:after="0" w:line="252" w:lineRule="auto"/>
            </w:pPr>
            <w:r>
              <w:rPr>
                <w:rFonts w:ascii="Calibri" w:hAnsi="Calibri" w:eastAsia="Calibri"/>
                <w:color w:val="161B21"/>
                <w:sz w:val="16"/>
              </w:rPr>
              <w:t>Primary capture/save/export flow unavailable on a supported configuration with no reasonable alternative.</w:t>
            </w:r>
          </w:p>
        </w:tc>
        <w:tc>
          <w:tcPr>
            <w:tcW w:type="dxa" w:w="1400"/>
          </w:tcPr>
          <w:p>
            <w:pPr>
              <w:spacing w:after="0" w:line="252" w:lineRule="auto"/>
            </w:pPr>
            <w:r>
              <w:rPr>
                <w:rFonts w:ascii="Calibri" w:hAnsi="Calibri" w:eastAsia="Calibri"/>
                <w:color w:val="161B21"/>
                <w:sz w:val="16"/>
              </w:rPr>
              <w:t>1 business day</w:t>
            </w:r>
          </w:p>
        </w:tc>
        <w:tc>
          <w:tcPr>
            <w:tcW w:type="dxa" w:w="1450"/>
          </w:tcPr>
          <w:p>
            <w:pPr>
              <w:spacing w:after="0" w:line="252" w:lineRule="auto"/>
            </w:pPr>
            <w:r>
              <w:rPr>
                <w:rFonts w:ascii="Calibri" w:hAnsi="Calibri" w:eastAsia="Calibri"/>
                <w:color w:val="161B21"/>
                <w:sz w:val="16"/>
              </w:rPr>
              <w:t>3 business days</w:t>
            </w:r>
          </w:p>
        </w:tc>
        <w:tc>
          <w:tcPr>
            <w:tcW w:type="dxa" w:w="1910"/>
          </w:tcPr>
          <w:p>
            <w:pPr>
              <w:spacing w:after="0" w:line="252" w:lineRule="auto"/>
            </w:pPr>
            <w:r>
              <w:rPr>
                <w:rFonts w:ascii="Calibri" w:hAnsi="Calibri" w:eastAsia="Calibri"/>
                <w:color w:val="161B21"/>
                <w:sz w:val="16"/>
              </w:rPr>
              <w:t>10 business days*</w:t>
            </w:r>
          </w:p>
        </w:tc>
      </w:tr>
      <w:tr>
        <w:trPr>
          <w:cantSplit/>
        </w:trPr>
        <w:tc>
          <w:tcPr>
            <w:tcW w:type="dxa" w:w="1050"/>
          </w:tcPr>
          <w:p>
            <w:pPr>
              <w:spacing w:after="0" w:line="252" w:lineRule="auto"/>
            </w:pPr>
            <w:r>
              <w:rPr>
                <w:rFonts w:ascii="Calibri" w:hAnsi="Calibri" w:eastAsia="Calibri"/>
                <w:color w:val="161B21"/>
                <w:sz w:val="16"/>
              </w:rPr>
              <w:t>S3 Medium</w:t>
            </w:r>
          </w:p>
        </w:tc>
        <w:tc>
          <w:tcPr>
            <w:tcW w:type="dxa" w:w="3550"/>
          </w:tcPr>
          <w:p>
            <w:pPr>
              <w:spacing w:after="0" w:line="252" w:lineRule="auto"/>
            </w:pPr>
            <w:r>
              <w:rPr>
                <w:rFonts w:ascii="Calibri" w:hAnsi="Calibri" w:eastAsia="Calibri"/>
                <w:color w:val="161B21"/>
                <w:sz w:val="16"/>
              </w:rPr>
              <w:t>Material defect with a usable workaround; incorrect AI proposal that is caught by mandatory review.</w:t>
            </w:r>
          </w:p>
        </w:tc>
        <w:tc>
          <w:tcPr>
            <w:tcW w:type="dxa" w:w="1400"/>
          </w:tcPr>
          <w:p>
            <w:pPr>
              <w:spacing w:after="0" w:line="252" w:lineRule="auto"/>
            </w:pPr>
            <w:r>
              <w:rPr>
                <w:rFonts w:ascii="Calibri" w:hAnsi="Calibri" w:eastAsia="Calibri"/>
                <w:color w:val="161B21"/>
                <w:sz w:val="16"/>
              </w:rPr>
              <w:t>2 business days</w:t>
            </w:r>
          </w:p>
        </w:tc>
        <w:tc>
          <w:tcPr>
            <w:tcW w:type="dxa" w:w="1450"/>
          </w:tcPr>
          <w:p>
            <w:pPr>
              <w:spacing w:after="0" w:line="252" w:lineRule="auto"/>
            </w:pPr>
            <w:r>
              <w:rPr>
                <w:rFonts w:ascii="Calibri" w:hAnsi="Calibri" w:eastAsia="Calibri"/>
                <w:color w:val="161B21"/>
                <w:sz w:val="16"/>
              </w:rPr>
              <w:t>Best effort</w:t>
            </w:r>
          </w:p>
        </w:tc>
        <w:tc>
          <w:tcPr>
            <w:tcW w:type="dxa" w:w="1910"/>
          </w:tcPr>
          <w:p>
            <w:pPr>
              <w:spacing w:after="0" w:line="252" w:lineRule="auto"/>
            </w:pPr>
            <w:r>
              <w:rPr>
                <w:rFonts w:ascii="Calibri" w:hAnsi="Calibri" w:eastAsia="Calibri"/>
                <w:color w:val="161B21"/>
                <w:sz w:val="16"/>
              </w:rPr>
              <w:t>Next planned maintenance release</w:t>
            </w:r>
          </w:p>
        </w:tc>
      </w:tr>
      <w:tr>
        <w:trPr>
          <w:cantSplit/>
        </w:trPr>
        <w:tc>
          <w:tcPr>
            <w:tcW w:type="dxa" w:w="1050"/>
          </w:tcPr>
          <w:p>
            <w:pPr>
              <w:spacing w:after="0" w:line="252" w:lineRule="auto"/>
            </w:pPr>
            <w:r>
              <w:rPr>
                <w:rFonts w:ascii="Calibri" w:hAnsi="Calibri" w:eastAsia="Calibri"/>
                <w:color w:val="161B21"/>
                <w:sz w:val="16"/>
              </w:rPr>
              <w:t>S4 Low</w:t>
            </w:r>
          </w:p>
        </w:tc>
        <w:tc>
          <w:tcPr>
            <w:tcW w:type="dxa" w:w="3550"/>
          </w:tcPr>
          <w:p>
            <w:pPr>
              <w:spacing w:after="0" w:line="252" w:lineRule="auto"/>
            </w:pPr>
            <w:r>
              <w:rPr>
                <w:rFonts w:ascii="Calibri" w:hAnsi="Calibri" w:eastAsia="Calibri"/>
                <w:color w:val="161B21"/>
                <w:sz w:val="16"/>
              </w:rPr>
              <w:t>Cosmetic issue, documentation defect or enhancement request.</w:t>
            </w:r>
          </w:p>
        </w:tc>
        <w:tc>
          <w:tcPr>
            <w:tcW w:type="dxa" w:w="1400"/>
          </w:tcPr>
          <w:p>
            <w:pPr>
              <w:spacing w:after="0" w:line="252" w:lineRule="auto"/>
            </w:pPr>
            <w:r>
              <w:rPr>
                <w:rFonts w:ascii="Calibri" w:hAnsi="Calibri" w:eastAsia="Calibri"/>
                <w:color w:val="161B21"/>
                <w:sz w:val="16"/>
              </w:rPr>
              <w:t>3 business days</w:t>
            </w:r>
          </w:p>
        </w:tc>
        <w:tc>
          <w:tcPr>
            <w:tcW w:type="dxa" w:w="1450"/>
          </w:tcPr>
          <w:p>
            <w:pPr>
              <w:spacing w:after="0" w:line="252" w:lineRule="auto"/>
            </w:pPr>
            <w:r>
              <w:rPr>
                <w:rFonts w:ascii="Calibri" w:hAnsi="Calibri" w:eastAsia="Calibri"/>
                <w:color w:val="161B21"/>
                <w:sz w:val="16"/>
              </w:rPr>
              <w:t>Not applicable</w:t>
            </w:r>
          </w:p>
        </w:tc>
        <w:tc>
          <w:tcPr>
            <w:tcW w:type="dxa" w:w="1910"/>
          </w:tcPr>
          <w:p>
            <w:pPr>
              <w:spacing w:after="0" w:line="252" w:lineRule="auto"/>
            </w:pPr>
            <w:r>
              <w:rPr>
                <w:rFonts w:ascii="Calibri" w:hAnsi="Calibri" w:eastAsia="Calibri"/>
                <w:color w:val="161B21"/>
                <w:sz w:val="16"/>
              </w:rPr>
              <w:t>Backlog/change order</w:t>
            </w:r>
          </w:p>
        </w:tc>
      </w:tr>
    </w:tbl>
    <w:p>
      <w:pPr>
        <w:spacing w:after="40"/>
      </w:pPr>
    </w:p>
    <w:p>
      <w:pPr>
        <w:spacing w:before="80" w:after="160"/>
      </w:pPr>
      <w:r>
        <w:rPr>
          <w:rFonts w:ascii="Calibri" w:hAnsi="Calibri" w:eastAsia="Calibri"/>
          <w:i/>
          <w:color w:val="5A6470"/>
          <w:sz w:val="17"/>
        </w:rPr>
        <w:t>*Targets exclude app-store review delay, third-party outage and Customer-caused access delay. Acknowledge means triage has begun; correction is a target, not an unconditional guarantee where root cause depends on third parties or device defects.</w:t>
      </w:r>
    </w:p>
    <w:p>
      <w:pPr>
        <w:pStyle w:val="Heading2"/>
      </w:pPr>
      <w:r>
        <w:t>8.4 Reliability and recovery objectives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Objective</w:t>
            </w:r>
          </w:p>
        </w:tc>
        <w:tc>
          <w:tcPr>
            <w:tcW w:type="dxa" w:w="67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Commitment/limitation</w:t>
            </w:r>
          </w:p>
        </w:tc>
      </w:tr>
      <w:tr>
        <w:trPr>
          <w:cantSplit/>
        </w:trPr>
        <w:tc>
          <w:tcPr>
            <w:tcW w:type="dxa" w:w="2600"/>
          </w:tcPr>
          <w:p>
            <w:pPr>
              <w:spacing w:after="0" w:line="252" w:lineRule="auto"/>
            </w:pPr>
            <w:r>
              <w:rPr>
                <w:rFonts w:ascii="Calibri" w:hAnsi="Calibri" w:eastAsia="Calibri"/>
                <w:color w:val="161B21"/>
                <w:sz w:val="18"/>
              </w:rPr>
              <w:t>Atomic durability</w:t>
            </w:r>
          </w:p>
        </w:tc>
        <w:tc>
          <w:tcPr>
            <w:tcW w:type="dxa" w:w="6760"/>
          </w:tcPr>
          <w:p>
            <w:pPr>
              <w:spacing w:after="0" w:line="252" w:lineRule="auto"/>
            </w:pPr>
            <w:r>
              <w:rPr>
                <w:rFonts w:ascii="Calibri" w:hAnsi="Calibri" w:eastAsia="Calibri"/>
                <w:color w:val="161B21"/>
                <w:sz w:val="18"/>
              </w:rPr>
              <w:t>A confirmed transaction either commits completely or does not commit; no partial ledger entry.</w:t>
            </w:r>
          </w:p>
        </w:tc>
      </w:tr>
      <w:tr>
        <w:trPr>
          <w:cantSplit/>
        </w:trPr>
        <w:tc>
          <w:tcPr>
            <w:tcW w:type="dxa" w:w="2600"/>
          </w:tcPr>
          <w:p>
            <w:pPr>
              <w:spacing w:after="0" w:line="252" w:lineRule="auto"/>
            </w:pPr>
            <w:r>
              <w:rPr>
                <w:rFonts w:ascii="Calibri" w:hAnsi="Calibri" w:eastAsia="Calibri"/>
                <w:color w:val="161B21"/>
                <w:sz w:val="18"/>
              </w:rPr>
              <w:t>Crash recovery</w:t>
            </w:r>
          </w:p>
        </w:tc>
        <w:tc>
          <w:tcPr>
            <w:tcW w:type="dxa" w:w="6760"/>
          </w:tcPr>
          <w:p>
            <w:pPr>
              <w:spacing w:after="0" w:line="252" w:lineRule="auto"/>
            </w:pPr>
            <w:r>
              <w:rPr>
                <w:rFonts w:ascii="Calibri" w:hAnsi="Calibri" w:eastAsia="Calibri"/>
                <w:color w:val="161B21"/>
                <w:sz w:val="18"/>
              </w:rPr>
              <w:t>On restart, the app restores the last committed local state and discards incomplete temporary proposals/import work.</w:t>
            </w:r>
          </w:p>
        </w:tc>
      </w:tr>
      <w:tr>
        <w:trPr>
          <w:cantSplit/>
        </w:trPr>
        <w:tc>
          <w:tcPr>
            <w:tcW w:type="dxa" w:w="2600"/>
          </w:tcPr>
          <w:p>
            <w:pPr>
              <w:spacing w:after="0" w:line="252" w:lineRule="auto"/>
            </w:pPr>
            <w:r>
              <w:rPr>
                <w:rFonts w:ascii="Calibri" w:hAnsi="Calibri" w:eastAsia="Calibri"/>
                <w:color w:val="161B21"/>
                <w:sz w:val="18"/>
              </w:rPr>
              <w:t>RPO under normal app failure</w:t>
            </w:r>
          </w:p>
        </w:tc>
        <w:tc>
          <w:tcPr>
            <w:tcW w:type="dxa" w:w="6760"/>
          </w:tcPr>
          <w:p>
            <w:pPr>
              <w:spacing w:after="0" w:line="252" w:lineRule="auto"/>
            </w:pPr>
            <w:r>
              <w:rPr>
                <w:rFonts w:ascii="Calibri" w:hAnsi="Calibri" w:eastAsia="Calibri"/>
                <w:color w:val="161B21"/>
                <w:sz w:val="18"/>
              </w:rPr>
              <w:t>0 committed transactions, subject to healthy device storage and OS guarantees.</w:t>
            </w:r>
          </w:p>
        </w:tc>
      </w:tr>
      <w:tr>
        <w:trPr>
          <w:cantSplit/>
        </w:trPr>
        <w:tc>
          <w:tcPr>
            <w:tcW w:type="dxa" w:w="2600"/>
          </w:tcPr>
          <w:p>
            <w:pPr>
              <w:spacing w:after="0" w:line="252" w:lineRule="auto"/>
            </w:pPr>
            <w:r>
              <w:rPr>
                <w:rFonts w:ascii="Calibri" w:hAnsi="Calibri" w:eastAsia="Calibri"/>
                <w:color w:val="161B21"/>
                <w:sz w:val="18"/>
              </w:rPr>
              <w:t>RTO under recoverable app crash</w:t>
            </w:r>
          </w:p>
        </w:tc>
        <w:tc>
          <w:tcPr>
            <w:tcW w:type="dxa" w:w="6760"/>
          </w:tcPr>
          <w:p>
            <w:pPr>
              <w:spacing w:after="0" w:line="252" w:lineRule="auto"/>
            </w:pPr>
            <w:r>
              <w:rPr>
                <w:rFonts w:ascii="Calibri" w:hAnsi="Calibri" w:eastAsia="Calibri"/>
                <w:color w:val="161B21"/>
                <w:sz w:val="18"/>
              </w:rPr>
              <w:t>User can reopen and access committed data within 1 minute on the reference matrix.</w:t>
            </w:r>
          </w:p>
        </w:tc>
      </w:tr>
      <w:tr>
        <w:trPr>
          <w:cantSplit/>
        </w:trPr>
        <w:tc>
          <w:tcPr>
            <w:tcW w:type="dxa" w:w="2600"/>
          </w:tcPr>
          <w:p>
            <w:pPr>
              <w:spacing w:after="0" w:line="252" w:lineRule="auto"/>
            </w:pPr>
            <w:r>
              <w:rPr>
                <w:rFonts w:ascii="Calibri" w:hAnsi="Calibri" w:eastAsia="Calibri"/>
                <w:color w:val="161B21"/>
                <w:sz w:val="18"/>
              </w:rPr>
              <w:t>Device loss/uninstall</w:t>
            </w:r>
          </w:p>
        </w:tc>
        <w:tc>
          <w:tcPr>
            <w:tcW w:type="dxa" w:w="6760"/>
          </w:tcPr>
          <w:p>
            <w:pPr>
              <w:spacing w:after="0" w:line="252" w:lineRule="auto"/>
            </w:pPr>
            <w:r>
              <w:rPr>
                <w:rFonts w:ascii="Calibri" w:hAnsi="Calibri" w:eastAsia="Calibri"/>
                <w:color w:val="161B21"/>
                <w:sz w:val="18"/>
              </w:rPr>
              <w:t>No Supplier recovery commitment; restore is limited to the user's latest usable export.</w:t>
            </w:r>
          </w:p>
        </w:tc>
      </w:tr>
      <w:tr>
        <w:trPr>
          <w:cantSplit/>
        </w:trPr>
        <w:tc>
          <w:tcPr>
            <w:tcW w:type="dxa" w:w="2600"/>
          </w:tcPr>
          <w:p>
            <w:pPr>
              <w:spacing w:after="0" w:line="252" w:lineRule="auto"/>
            </w:pPr>
            <w:r>
              <w:rPr>
                <w:rFonts w:ascii="Calibri" w:hAnsi="Calibri" w:eastAsia="Calibri"/>
                <w:color w:val="161B21"/>
                <w:sz w:val="18"/>
              </w:rPr>
              <w:t>AI outage/failure</w:t>
            </w:r>
          </w:p>
        </w:tc>
        <w:tc>
          <w:tcPr>
            <w:tcW w:type="dxa" w:w="6760"/>
          </w:tcPr>
          <w:p>
            <w:pPr>
              <w:spacing w:after="0" w:line="252" w:lineRule="auto"/>
            </w:pPr>
            <w:r>
              <w:rPr>
                <w:rFonts w:ascii="Calibri" w:hAnsi="Calibri" w:eastAsia="Calibri"/>
                <w:color w:val="161B21"/>
                <w:sz w:val="18"/>
              </w:rPr>
              <w:t>Manual entry and deterministic ledger remain available; hosted-provider failure never blocks core offline use.</w:t>
            </w:r>
          </w:p>
        </w:tc>
      </w:tr>
    </w:tbl>
    <w:p>
      <w:pPr>
        <w:spacing w:after="40"/>
      </w:pPr>
    </w:p>
    <w:p>
      <w:pPr>
        <w:pStyle w:val="Heading2"/>
      </w:pPr>
      <w:r>
        <w:t>8.5 Security remediation</w:t>
      </w:r>
    </w:p>
    <w:p>
      <w:pPr>
        <w:numPr>
          <w:ilvl w:val="0"/>
          <w:numId w:val="10"/>
        </w:numPr>
        <w:spacing w:after="160" w:line="280" w:lineRule="auto"/>
      </w:pPr>
      <w:r>
        <w:t>Confirmed critical secret exposure or exploitable local-data vulnerability is treated as S1.</w:t>
      </w:r>
    </w:p>
    <w:p>
      <w:pPr>
        <w:numPr>
          <w:ilvl w:val="0"/>
          <w:numId w:val="10"/>
        </w:numPr>
        <w:spacing w:after="160" w:line="280" w:lineRule="auto"/>
      </w:pPr>
      <w:r>
        <w:t>Supplier may disable a vulnerable model/provider adapter through a signed configuration update when technically available.</w:t>
      </w:r>
    </w:p>
    <w:p>
      <w:pPr>
        <w:numPr>
          <w:ilvl w:val="0"/>
          <w:numId w:val="10"/>
        </w:numPr>
        <w:spacing w:after="160" w:line="280" w:lineRule="auto"/>
      </w:pPr>
      <w:r>
        <w:t>Security fixes are prioritised over feature work. Customer must install critical updates within the communicated safe-use window.</w:t>
      </w:r>
    </w:p>
    <w:p>
      <w:pPr>
        <w:numPr>
          <w:ilvl w:val="0"/>
          <w:numId w:val="10"/>
        </w:numPr>
        <w:spacing w:after="160" w:line="280" w:lineRule="auto"/>
      </w:pPr>
      <w:r>
        <w:t>No service credits apply because v1 has no hosted paid service; commercial remedies, liability and indemnity require a signed master agreement.</w:t>
      </w:r>
    </w:p>
    <w:p>
      <w:r>
        <w:br w:type="page"/>
      </w:r>
    </w:p>
    <w:p>
      <w:pPr>
        <w:pStyle w:val="Heading1"/>
      </w:pPr>
      <w:r>
        <w:t>9. Exclusions, dependencies and change control</w:t>
      </w:r>
    </w:p>
    <w:p>
      <w:pPr>
        <w:pStyle w:val="Heading2"/>
      </w:pPr>
      <w:r>
        <w:t>9.1 Explicit v1 exclusions</w:t>
      </w:r>
    </w:p>
    <w:p>
      <w:pPr>
        <w:numPr>
          <w:ilvl w:val="0"/>
          <w:numId w:val="10"/>
        </w:numPr>
        <w:spacing w:after="160" w:line="280" w:lineRule="auto"/>
      </w:pPr>
      <w:r>
        <w:t>Bank/open-banking/UPI integration, automatic SMS/notification ingestion and autonomous transaction creation.</w:t>
      </w:r>
    </w:p>
    <w:p>
      <w:pPr>
        <w:numPr>
          <w:ilvl w:val="0"/>
          <w:numId w:val="10"/>
        </w:numPr>
        <w:spacing w:after="160" w:line="280" w:lineRule="auto"/>
      </w:pPr>
      <w:r>
        <w:t>Login, Supplier-hosted backend, multi-device sync, shared/family wallets and cloud backup.</w:t>
      </w:r>
    </w:p>
    <w:p>
      <w:pPr>
        <w:numPr>
          <w:ilvl w:val="0"/>
          <w:numId w:val="10"/>
        </w:numPr>
        <w:spacing w:after="160" w:line="280" w:lineRule="auto"/>
      </w:pPr>
      <w:r>
        <w:t>Hindi or other multilingual UI/model support and currencies other than INR.</w:t>
      </w:r>
    </w:p>
    <w:p>
      <w:pPr>
        <w:numPr>
          <w:ilvl w:val="0"/>
          <w:numId w:val="10"/>
        </w:numPr>
        <w:spacing w:after="160" w:line="280" w:lineRule="auto"/>
      </w:pPr>
      <w:r>
        <w:t>Investment portfolio, lending, tax filing, GST accounting, credit scoring or regulated financial advice.</w:t>
      </w:r>
    </w:p>
    <w:p>
      <w:pPr>
        <w:numPr>
          <w:ilvl w:val="0"/>
          <w:numId w:val="10"/>
        </w:numPr>
        <w:spacing w:after="160" w:line="280" w:lineRule="auto"/>
      </w:pPr>
      <w:r>
        <w:t>Payment initiation, card storage, custody of funds or financial-institution connectivity.</w:t>
      </w:r>
    </w:p>
    <w:p>
      <w:pPr>
        <w:numPr>
          <w:ilvl w:val="0"/>
          <w:numId w:val="10"/>
        </w:numPr>
        <w:spacing w:after="160" w:line="280" w:lineRule="auto"/>
      </w:pPr>
      <w:r>
        <w:t>Always-on production telemetry, Confident AI production tracing or raw user-content upload for evaluation.</w:t>
      </w:r>
    </w:p>
    <w:p>
      <w:pPr>
        <w:numPr>
          <w:ilvl w:val="0"/>
          <w:numId w:val="10"/>
        </w:numPr>
        <w:spacing w:after="160" w:line="280" w:lineRule="auto"/>
      </w:pPr>
      <w:r>
        <w:t>Guaranteed AI availability on every Supported Device or guaranteed accuracy on unreadable/ambiguous inputs.</w:t>
      </w:r>
    </w:p>
    <w:p>
      <w:pPr>
        <w:numPr>
          <w:ilvl w:val="0"/>
          <w:numId w:val="10"/>
        </w:numPr>
        <w:spacing w:after="160" w:line="280" w:lineRule="auto"/>
      </w:pPr>
      <w:r>
        <w:t>Provider fees, API credits, model licences outside the agreed packages, app-store fees and third-party outage remedies.</w:t>
      </w:r>
    </w:p>
    <w:p>
      <w:pPr>
        <w:pStyle w:val="Heading2"/>
      </w:pPr>
      <w:r>
        <w:t>9.2 Technical dependencies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Dependency</w:t>
            </w:r>
          </w:p>
        </w:tc>
        <w:tc>
          <w:tcPr>
            <w:tcW w:type="dxa" w:w="65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Risk treatment</w:t>
            </w:r>
          </w:p>
        </w:tc>
      </w:tr>
      <w:tr>
        <w:trPr>
          <w:cantSplit/>
        </w:trPr>
        <w:tc>
          <w:tcPr>
            <w:tcW w:type="dxa" w:w="2800"/>
          </w:tcPr>
          <w:p>
            <w:pPr>
              <w:spacing w:after="0" w:line="252" w:lineRule="auto"/>
            </w:pPr>
            <w:r>
              <w:rPr>
                <w:rFonts w:ascii="Calibri" w:hAnsi="Calibri" w:eastAsia="Calibri"/>
                <w:color w:val="161B21"/>
                <w:sz w:val="18"/>
              </w:rPr>
              <w:t>LiteRT-LM iOS maturity</w:t>
            </w:r>
          </w:p>
        </w:tc>
        <w:tc>
          <w:tcPr>
            <w:tcW w:type="dxa" w:w="6560"/>
          </w:tcPr>
          <w:p>
            <w:pPr>
              <w:spacing w:after="0" w:line="252" w:lineRule="auto"/>
            </w:pPr>
            <w:r>
              <w:rPr>
                <w:rFonts w:ascii="Calibri" w:hAnsi="Calibri" w:eastAsia="Calibri"/>
                <w:color w:val="161B21"/>
                <w:sz w:val="18"/>
              </w:rPr>
              <w:t>Mandatory Phase 0 Swift/C++ integration spike; preserve adapter boundary and fallback runtime option.</w:t>
            </w:r>
          </w:p>
        </w:tc>
      </w:tr>
      <w:tr>
        <w:trPr>
          <w:cantSplit/>
        </w:trPr>
        <w:tc>
          <w:tcPr>
            <w:tcW w:type="dxa" w:w="2800"/>
          </w:tcPr>
          <w:p>
            <w:pPr>
              <w:spacing w:after="0" w:line="252" w:lineRule="auto"/>
            </w:pPr>
            <w:r>
              <w:rPr>
                <w:rFonts w:ascii="Calibri" w:hAnsi="Calibri" w:eastAsia="Calibri"/>
                <w:color w:val="161B21"/>
                <w:sz w:val="18"/>
              </w:rPr>
              <w:t>Model licences/package availability</w:t>
            </w:r>
          </w:p>
        </w:tc>
        <w:tc>
          <w:tcPr>
            <w:tcW w:type="dxa" w:w="6560"/>
          </w:tcPr>
          <w:p>
            <w:pPr>
              <w:spacing w:after="0" w:line="252" w:lineRule="auto"/>
            </w:pPr>
            <w:r>
              <w:rPr>
                <w:rFonts w:ascii="Calibri" w:hAnsi="Calibri" w:eastAsia="Calibri"/>
                <w:color w:val="161B21"/>
                <w:sz w:val="18"/>
              </w:rPr>
              <w:t>Record licence and checksum per release; replace candidate if distribution is unsuitable.</w:t>
            </w:r>
          </w:p>
        </w:tc>
      </w:tr>
      <w:tr>
        <w:trPr>
          <w:cantSplit/>
        </w:trPr>
        <w:tc>
          <w:tcPr>
            <w:tcW w:type="dxa" w:w="2800"/>
          </w:tcPr>
          <w:p>
            <w:pPr>
              <w:spacing w:after="0" w:line="252" w:lineRule="auto"/>
            </w:pPr>
            <w:r>
              <w:rPr>
                <w:rFonts w:ascii="Calibri" w:hAnsi="Calibri" w:eastAsia="Calibri"/>
                <w:color w:val="161B21"/>
                <w:sz w:val="18"/>
              </w:rPr>
              <w:t>OS OCR/ASR capability</w:t>
            </w:r>
          </w:p>
        </w:tc>
        <w:tc>
          <w:tcPr>
            <w:tcW w:type="dxa" w:w="6560"/>
          </w:tcPr>
          <w:p>
            <w:pPr>
              <w:spacing w:after="0" w:line="252" w:lineRule="auto"/>
            </w:pPr>
            <w:r>
              <w:rPr>
                <w:rFonts w:ascii="Calibri" w:hAnsi="Calibri" w:eastAsia="Calibri"/>
                <w:color w:val="161B21"/>
                <w:sz w:val="18"/>
              </w:rPr>
              <w:t>Use adapter and capability tests; retain manual correction/fallback.</w:t>
            </w:r>
          </w:p>
        </w:tc>
      </w:tr>
      <w:tr>
        <w:trPr>
          <w:cantSplit/>
        </w:trPr>
        <w:tc>
          <w:tcPr>
            <w:tcW w:type="dxa" w:w="2800"/>
          </w:tcPr>
          <w:p>
            <w:pPr>
              <w:spacing w:after="0" w:line="252" w:lineRule="auto"/>
            </w:pPr>
            <w:r>
              <w:rPr>
                <w:rFonts w:ascii="Calibri" w:hAnsi="Calibri" w:eastAsia="Calibri"/>
                <w:color w:val="161B21"/>
                <w:sz w:val="18"/>
              </w:rPr>
              <w:t>Device fragmentation</w:t>
            </w:r>
          </w:p>
        </w:tc>
        <w:tc>
          <w:tcPr>
            <w:tcW w:type="dxa" w:w="6560"/>
          </w:tcPr>
          <w:p>
            <w:pPr>
              <w:spacing w:after="0" w:line="252" w:lineRule="auto"/>
            </w:pPr>
            <w:r>
              <w:rPr>
                <w:rFonts w:ascii="Calibri" w:hAnsi="Calibri" w:eastAsia="Calibri"/>
                <w:color w:val="161B21"/>
                <w:sz w:val="18"/>
              </w:rPr>
              <w:t>Reference matrix plus runtime benchmark; model only shown after capability pass.</w:t>
            </w:r>
          </w:p>
        </w:tc>
      </w:tr>
      <w:tr>
        <w:trPr>
          <w:cantSplit/>
        </w:trPr>
        <w:tc>
          <w:tcPr>
            <w:tcW w:type="dxa" w:w="2800"/>
          </w:tcPr>
          <w:p>
            <w:pPr>
              <w:spacing w:after="0" w:line="252" w:lineRule="auto"/>
            </w:pPr>
            <w:r>
              <w:rPr>
                <w:rFonts w:ascii="Calibri" w:hAnsi="Calibri" w:eastAsia="Calibri"/>
                <w:color w:val="161B21"/>
                <w:sz w:val="18"/>
              </w:rPr>
              <w:t>Hosted provider API changes</w:t>
            </w:r>
          </w:p>
        </w:tc>
        <w:tc>
          <w:tcPr>
            <w:tcW w:type="dxa" w:w="6560"/>
          </w:tcPr>
          <w:p>
            <w:pPr>
              <w:spacing w:after="0" w:line="252" w:lineRule="auto"/>
            </w:pPr>
            <w:r>
              <w:rPr>
                <w:rFonts w:ascii="Calibri" w:hAnsi="Calibri" w:eastAsia="Calibri"/>
                <w:color w:val="161B21"/>
                <w:sz w:val="18"/>
              </w:rPr>
              <w:t>Versioned adapters, contract tests and provider-specific feature flags.</w:t>
            </w:r>
          </w:p>
        </w:tc>
      </w:tr>
      <w:tr>
        <w:trPr>
          <w:cantSplit/>
        </w:trPr>
        <w:tc>
          <w:tcPr>
            <w:tcW w:type="dxa" w:w="2800"/>
          </w:tcPr>
          <w:p>
            <w:pPr>
              <w:spacing w:after="0" w:line="252" w:lineRule="auto"/>
            </w:pPr>
            <w:r>
              <w:rPr>
                <w:rFonts w:ascii="Calibri" w:hAnsi="Calibri" w:eastAsia="Calibri"/>
                <w:color w:val="161B21"/>
                <w:sz w:val="18"/>
              </w:rPr>
              <w:t>App stores</w:t>
            </w:r>
          </w:p>
        </w:tc>
        <w:tc>
          <w:tcPr>
            <w:tcW w:type="dxa" w:w="6560"/>
          </w:tcPr>
          <w:p>
            <w:pPr>
              <w:spacing w:after="0" w:line="252" w:lineRule="auto"/>
            </w:pPr>
            <w:r>
              <w:rPr>
                <w:rFonts w:ascii="Calibri" w:hAnsi="Calibri" w:eastAsia="Calibri"/>
                <w:color w:val="161B21"/>
                <w:sz w:val="18"/>
              </w:rPr>
              <w:t>Submission/review timing and policy changes excluded from response/correction clocks.</w:t>
            </w:r>
          </w:p>
        </w:tc>
      </w:tr>
    </w:tbl>
    <w:p>
      <w:pPr>
        <w:spacing w:after="40"/>
      </w:pPr>
    </w:p>
    <w:p>
      <w:pPr>
        <w:pStyle w:val="Heading2"/>
      </w:pPr>
      <w:r>
        <w:t>9.3 Change control</w:t>
      </w:r>
    </w:p>
    <w:p>
      <w:r>
        <w:t>Any addition or material change to language, currency, input source, bank connection, sync, production telemetry, model family, device floor, acceptance threshold, schedule or support term requires a written change request. The request must state scope, architecture impact, privacy impact, cost, schedule and revised acceptance gates. Work begins only after written approval by authorised representatives.</w:t>
      </w:r>
    </w:p>
    <w:p>
      <w:r>
        <w:br w:type="page"/>
      </w:r>
    </w:p>
    <w:p>
      <w:pPr>
        <w:pStyle w:val="Heading2"/>
      </w:pPr>
      <w:r>
        <w:t>9.4 Assumptions requiring commercial completion</w:t>
      </w:r>
    </w:p>
    <w:p>
      <w:pPr>
        <w:numPr>
          <w:ilvl w:val="0"/>
          <w:numId w:val="10"/>
        </w:numPr>
        <w:spacing w:after="160" w:line="280" w:lineRule="auto"/>
      </w:pPr>
      <w:r>
        <w:t>Fees, taxes, invoicing and payment milestones.</w:t>
      </w:r>
    </w:p>
    <w:p>
      <w:pPr>
        <w:numPr>
          <w:ilvl w:val="0"/>
          <w:numId w:val="10"/>
        </w:numPr>
        <w:spacing w:after="160" w:line="280" w:lineRule="auto"/>
      </w:pPr>
      <w:r>
        <w:t>Ownership of source code, custom datasets, prompts, model adapters and pre-existing components.</w:t>
      </w:r>
    </w:p>
    <w:p>
      <w:pPr>
        <w:numPr>
          <w:ilvl w:val="0"/>
          <w:numId w:val="10"/>
        </w:numPr>
        <w:spacing w:after="160" w:line="280" w:lineRule="auto"/>
      </w:pPr>
      <w:r>
        <w:t>Confidentiality, governing law, dispute resolution, liability cap, indemnities and insurance.</w:t>
      </w:r>
    </w:p>
    <w:p>
      <w:pPr>
        <w:numPr>
          <w:ilvl w:val="0"/>
          <w:numId w:val="10"/>
        </w:numPr>
        <w:spacing w:after="160" w:line="280" w:lineRule="auto"/>
      </w:pPr>
      <w:r>
        <w:t>Whether app-store submission and post-warranty maintenance are purchased.</w:t>
      </w:r>
    </w:p>
    <w:p>
      <w:pPr>
        <w:numPr>
          <w:ilvl w:val="0"/>
          <w:numId w:val="10"/>
        </w:numPr>
        <w:spacing w:after="160" w:line="280" w:lineRule="auto"/>
      </w:pPr>
      <w:r>
        <w:t>Named Customer and Supplier project managers and escalation contacts.</w:t>
      </w:r>
    </w:p>
    <w:p>
      <w:r>
        <w:br w:type="page"/>
      </w:r>
    </w:p>
    <w:p>
      <w:pPr>
        <w:pStyle w:val="Heading1"/>
      </w:pPr>
      <w:r>
        <w:t>10. Approval and signatures</w:t>
      </w:r>
    </w:p>
    <w:p>
      <w:r>
        <w:t>By signing, each party confirms that it has reviewed and accepts the product baseline, exclusions, acceptance procedure and operational service levels stated in this document, subject to the completed commercial and legal terms.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tcPr>
          <w:p>
            <w:pPr>
              <w:spacing w:after="360"/>
            </w:pPr>
            <w:r>
              <w:rPr>
                <w:rFonts w:ascii="Calibri" w:hAnsi="Calibri" w:eastAsia="Calibri"/>
                <w:b/>
                <w:color w:val="0B2545"/>
              </w:rPr>
              <w:t>For the Customer</w:t>
            </w:r>
          </w:p>
          <w:p>
            <w:pPr>
              <w:spacing w:after="160"/>
            </w:pPr>
            <w:r>
              <w:t>Name: ______________________________</w:t>
            </w:r>
          </w:p>
          <w:p>
            <w:pPr>
              <w:spacing w:after="160"/>
            </w:pPr>
            <w:r>
              <w:t>Title: _______________________________</w:t>
            </w:r>
          </w:p>
          <w:p>
            <w:pPr>
              <w:spacing w:after="160"/>
            </w:pPr>
            <w:r>
              <w:t>Signature: ___________________________</w:t>
            </w:r>
          </w:p>
          <w:p>
            <w:pPr>
              <w:spacing w:after="160"/>
            </w:pPr>
            <w:r>
              <w:t>Date: ________________________________</w:t>
            </w:r>
          </w:p>
        </w:tc>
        <w:tc>
          <w:tcPr>
            <w:tcW w:type="dxa" w:w="4680"/>
            <w:tcMar>
              <w:top w:w="80" w:type="dxa"/>
              <w:start w:w="120" w:type="dxa"/>
              <w:bottom w:w="80" w:type="dxa"/>
              <w:end w:w="120" w:type="dxa"/>
            </w:tcMar>
            <w:vAlign w:val="center"/>
          </w:tcPr>
          <w:p>
            <w:pPr>
              <w:spacing w:after="360"/>
            </w:pPr>
            <w:r>
              <w:rPr>
                <w:rFonts w:ascii="Calibri" w:hAnsi="Calibri" w:eastAsia="Calibri"/>
                <w:b/>
                <w:color w:val="0B2545"/>
              </w:rPr>
              <w:t>For the Supplier</w:t>
            </w:r>
          </w:p>
          <w:p>
            <w:pPr>
              <w:spacing w:after="160"/>
            </w:pPr>
            <w:r>
              <w:t>Name: ______________________________</w:t>
            </w:r>
          </w:p>
          <w:p>
            <w:pPr>
              <w:spacing w:after="160"/>
            </w:pPr>
            <w:r>
              <w:t>Title: _______________________________</w:t>
            </w:r>
          </w:p>
          <w:p>
            <w:pPr>
              <w:spacing w:after="160"/>
            </w:pPr>
            <w:r>
              <w:t>Signature: ___________________________</w:t>
            </w:r>
          </w:p>
          <w:p>
            <w:pPr>
              <w:spacing w:after="160"/>
            </w:pPr>
            <w:r>
              <w:t>Date: ________________________________</w:t>
            </w:r>
          </w:p>
        </w:tc>
      </w:tr>
    </w:tbl>
    <w:p>
      <w:r>
        <w:br w:type="page"/>
      </w:r>
    </w:p>
    <w:p>
      <w:pPr>
        <w:pStyle w:val="Heading1"/>
      </w:pPr>
      <w:r>
        <w:t>Appendix A - Transaction Proposal contract</w:t>
      </w:r>
    </w:p>
    <w:tbl>
      <w:tblPr>
        <w:tblStyle w:val="TableGrid"/>
        <w:tblW w:type="dxa" w:w="9360"/>
        <w:jc w:val="left"/>
        <w:tblLayout w:type="fixed"/>
        <w:tblLook w:firstColumn="1" w:firstRow="1" w:lastColumn="0" w:lastRow="0" w:noHBand="0" w:noVBand="1" w:val="04A0"/>
        <w:tblInd w:w="120" w:type="dxa"/>
      </w:tblPr>
      <w:tblGrid>
        <w:gridCol w:w="1900"/>
        <w:gridCol w:w="1500"/>
        <w:gridCol w:w="5960"/>
      </w:tblGrid>
      <w:tr>
        <w:trPr>
          <w:tblHeader w:val="true"/>
        </w:trPr>
        <w:tc>
          <w:tcPr>
            <w:tcW w:type="dxa" w:w="190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Field</w:t>
            </w:r>
          </w:p>
        </w:tc>
        <w:tc>
          <w:tcPr>
            <w:tcW w:type="dxa" w:w="150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Type</w:t>
            </w:r>
          </w:p>
        </w:tc>
        <w:tc>
          <w:tcPr>
            <w:tcW w:type="dxa" w:w="5960"/>
            <w:tcMar>
              <w:top w:w="80" w:type="dxa"/>
              <w:start w:w="120" w:type="dxa"/>
              <w:bottom w:w="80" w:type="dxa"/>
              <w:end w:w="120" w:type="dxa"/>
            </w:tcMar>
            <w:vAlign w:val="center"/>
            <w:shd w:fill="F2F4F7"/>
          </w:tcPr>
          <w:p>
            <w:pPr>
              <w:spacing w:after="0"/>
              <w:jc w:val="left"/>
            </w:pPr>
            <w:r>
              <w:rPr>
                <w:rFonts w:ascii="Calibri" w:hAnsi="Calibri" w:eastAsia="Calibri"/>
                <w:b/>
                <w:color w:val="0B2545"/>
                <w:sz w:val="17"/>
              </w:rPr>
              <w:t>Rule</w:t>
            </w:r>
          </w:p>
        </w:tc>
      </w:tr>
      <w:tr>
        <w:trPr>
          <w:cantSplit/>
        </w:trPr>
        <w:tc>
          <w:tcPr>
            <w:tcW w:type="dxa" w:w="1900"/>
          </w:tcPr>
          <w:p>
            <w:pPr>
              <w:spacing w:after="0" w:line="252" w:lineRule="auto"/>
            </w:pPr>
            <w:r>
              <w:rPr>
                <w:rFonts w:ascii="Calibri" w:hAnsi="Calibri" w:eastAsia="Calibri"/>
                <w:color w:val="161B21"/>
                <w:sz w:val="17"/>
              </w:rPr>
              <w:t>schema_version</w:t>
            </w:r>
          </w:p>
        </w:tc>
        <w:tc>
          <w:tcPr>
            <w:tcW w:type="dxa" w:w="1500"/>
          </w:tcPr>
          <w:p>
            <w:pPr>
              <w:spacing w:after="0" w:line="252" w:lineRule="auto"/>
            </w:pPr>
            <w:r>
              <w:rPr>
                <w:rFonts w:ascii="Calibri" w:hAnsi="Calibri" w:eastAsia="Calibri"/>
                <w:color w:val="161B21"/>
                <w:sz w:val="17"/>
              </w:rPr>
              <w:t>string</w:t>
            </w:r>
          </w:p>
        </w:tc>
        <w:tc>
          <w:tcPr>
            <w:tcW w:type="dxa" w:w="5960"/>
          </w:tcPr>
          <w:p>
            <w:pPr>
              <w:spacing w:after="0" w:line="252" w:lineRule="auto"/>
            </w:pPr>
            <w:r>
              <w:rPr>
                <w:rFonts w:ascii="Calibri" w:hAnsi="Calibri" w:eastAsia="Calibri"/>
                <w:color w:val="161B21"/>
                <w:sz w:val="17"/>
              </w:rPr>
              <w:t>Required; versioned compatibility contract.</w:t>
            </w:r>
          </w:p>
        </w:tc>
      </w:tr>
      <w:tr>
        <w:trPr>
          <w:cantSplit/>
        </w:trPr>
        <w:tc>
          <w:tcPr>
            <w:tcW w:type="dxa" w:w="1900"/>
          </w:tcPr>
          <w:p>
            <w:pPr>
              <w:spacing w:after="0" w:line="252" w:lineRule="auto"/>
            </w:pPr>
            <w:r>
              <w:rPr>
                <w:rFonts w:ascii="Calibri" w:hAnsi="Calibri" w:eastAsia="Calibri"/>
                <w:color w:val="161B21"/>
                <w:sz w:val="17"/>
              </w:rPr>
              <w:t>transaction_type</w:t>
            </w:r>
          </w:p>
        </w:tc>
        <w:tc>
          <w:tcPr>
            <w:tcW w:type="dxa" w:w="1500"/>
          </w:tcPr>
          <w:p>
            <w:pPr>
              <w:spacing w:after="0" w:line="252" w:lineRule="auto"/>
            </w:pPr>
            <w:r>
              <w:rPr>
                <w:rFonts w:ascii="Calibri" w:hAnsi="Calibri" w:eastAsia="Calibri"/>
                <w:color w:val="161B21"/>
                <w:sz w:val="17"/>
              </w:rPr>
              <w:t>enum</w:t>
            </w:r>
          </w:p>
        </w:tc>
        <w:tc>
          <w:tcPr>
            <w:tcW w:type="dxa" w:w="5960"/>
          </w:tcPr>
          <w:p>
            <w:pPr>
              <w:spacing w:after="0" w:line="252" w:lineRule="auto"/>
            </w:pPr>
            <w:r>
              <w:rPr>
                <w:rFonts w:ascii="Calibri" w:hAnsi="Calibri" w:eastAsia="Calibri"/>
                <w:color w:val="161B21"/>
                <w:sz w:val="17"/>
              </w:rPr>
              <w:t>expense, income, transfer or refund.</w:t>
            </w:r>
          </w:p>
        </w:tc>
      </w:tr>
      <w:tr>
        <w:trPr>
          <w:cantSplit/>
        </w:trPr>
        <w:tc>
          <w:tcPr>
            <w:tcW w:type="dxa" w:w="1900"/>
          </w:tcPr>
          <w:p>
            <w:pPr>
              <w:spacing w:after="0" w:line="252" w:lineRule="auto"/>
            </w:pPr>
            <w:r>
              <w:rPr>
                <w:rFonts w:ascii="Calibri" w:hAnsi="Calibri" w:eastAsia="Calibri"/>
                <w:color w:val="161B21"/>
                <w:sz w:val="17"/>
              </w:rPr>
              <w:t>amount_minor</w:t>
            </w:r>
          </w:p>
        </w:tc>
        <w:tc>
          <w:tcPr>
            <w:tcW w:type="dxa" w:w="1500"/>
          </w:tcPr>
          <w:p>
            <w:pPr>
              <w:spacing w:after="0" w:line="252" w:lineRule="auto"/>
            </w:pPr>
            <w:r>
              <w:rPr>
                <w:rFonts w:ascii="Calibri" w:hAnsi="Calibri" w:eastAsia="Calibri"/>
                <w:color w:val="161B21"/>
                <w:sz w:val="17"/>
              </w:rPr>
              <w:t>integer</w:t>
            </w:r>
          </w:p>
        </w:tc>
        <w:tc>
          <w:tcPr>
            <w:tcW w:type="dxa" w:w="5960"/>
          </w:tcPr>
          <w:p>
            <w:pPr>
              <w:spacing w:after="0" w:line="252" w:lineRule="auto"/>
            </w:pPr>
            <w:r>
              <w:rPr>
                <w:rFonts w:ascii="Calibri" w:hAnsi="Calibri" w:eastAsia="Calibri"/>
                <w:color w:val="161B21"/>
                <w:sz w:val="17"/>
              </w:rPr>
              <w:t>Paise; positive integer; no floating point.</w:t>
            </w:r>
          </w:p>
        </w:tc>
      </w:tr>
      <w:tr>
        <w:trPr>
          <w:cantSplit/>
        </w:trPr>
        <w:tc>
          <w:tcPr>
            <w:tcW w:type="dxa" w:w="1900"/>
          </w:tcPr>
          <w:p>
            <w:pPr>
              <w:spacing w:after="0" w:line="252" w:lineRule="auto"/>
            </w:pPr>
            <w:r>
              <w:rPr>
                <w:rFonts w:ascii="Calibri" w:hAnsi="Calibri" w:eastAsia="Calibri"/>
                <w:color w:val="161B21"/>
                <w:sz w:val="17"/>
              </w:rPr>
              <w:t>currency</w:t>
            </w:r>
          </w:p>
        </w:tc>
        <w:tc>
          <w:tcPr>
            <w:tcW w:type="dxa" w:w="1500"/>
          </w:tcPr>
          <w:p>
            <w:pPr>
              <w:spacing w:after="0" w:line="252" w:lineRule="auto"/>
            </w:pPr>
            <w:r>
              <w:rPr>
                <w:rFonts w:ascii="Calibri" w:hAnsi="Calibri" w:eastAsia="Calibri"/>
                <w:color w:val="161B21"/>
                <w:sz w:val="17"/>
              </w:rPr>
              <w:t>enum</w:t>
            </w:r>
          </w:p>
        </w:tc>
        <w:tc>
          <w:tcPr>
            <w:tcW w:type="dxa" w:w="5960"/>
          </w:tcPr>
          <w:p>
            <w:pPr>
              <w:spacing w:after="0" w:line="252" w:lineRule="auto"/>
            </w:pPr>
            <w:r>
              <w:rPr>
                <w:rFonts w:ascii="Calibri" w:hAnsi="Calibri" w:eastAsia="Calibri"/>
                <w:color w:val="161B21"/>
                <w:sz w:val="17"/>
              </w:rPr>
              <w:t>INR in v1.</w:t>
            </w:r>
          </w:p>
        </w:tc>
      </w:tr>
      <w:tr>
        <w:trPr>
          <w:cantSplit/>
        </w:trPr>
        <w:tc>
          <w:tcPr>
            <w:tcW w:type="dxa" w:w="1900"/>
          </w:tcPr>
          <w:p>
            <w:pPr>
              <w:spacing w:after="0" w:line="252" w:lineRule="auto"/>
            </w:pPr>
            <w:r>
              <w:rPr>
                <w:rFonts w:ascii="Calibri" w:hAnsi="Calibri" w:eastAsia="Calibri"/>
                <w:color w:val="161B21"/>
                <w:sz w:val="17"/>
              </w:rPr>
              <w:t>merchant</w:t>
            </w:r>
          </w:p>
        </w:tc>
        <w:tc>
          <w:tcPr>
            <w:tcW w:type="dxa" w:w="1500"/>
          </w:tcPr>
          <w:p>
            <w:pPr>
              <w:spacing w:after="0" w:line="252" w:lineRule="auto"/>
            </w:pPr>
            <w:r>
              <w:rPr>
                <w:rFonts w:ascii="Calibri" w:hAnsi="Calibri" w:eastAsia="Calibri"/>
                <w:color w:val="161B21"/>
                <w:sz w:val="17"/>
              </w:rPr>
              <w:t>string/null</w:t>
            </w:r>
          </w:p>
        </w:tc>
        <w:tc>
          <w:tcPr>
            <w:tcW w:type="dxa" w:w="5960"/>
          </w:tcPr>
          <w:p>
            <w:pPr>
              <w:spacing w:after="0" w:line="252" w:lineRule="auto"/>
            </w:pPr>
            <w:r>
              <w:rPr>
                <w:rFonts w:ascii="Calibri" w:hAnsi="Calibri" w:eastAsia="Calibri"/>
                <w:color w:val="161B21"/>
                <w:sz w:val="17"/>
              </w:rPr>
              <w:t>Normalised display value; may be null when unknown.</w:t>
            </w:r>
          </w:p>
        </w:tc>
      </w:tr>
      <w:tr>
        <w:trPr>
          <w:cantSplit/>
        </w:trPr>
        <w:tc>
          <w:tcPr>
            <w:tcW w:type="dxa" w:w="1900"/>
          </w:tcPr>
          <w:p>
            <w:pPr>
              <w:spacing w:after="0" w:line="252" w:lineRule="auto"/>
            </w:pPr>
            <w:r>
              <w:rPr>
                <w:rFonts w:ascii="Calibri" w:hAnsi="Calibri" w:eastAsia="Calibri"/>
                <w:color w:val="161B21"/>
                <w:sz w:val="17"/>
              </w:rPr>
              <w:t>category_id</w:t>
            </w:r>
          </w:p>
        </w:tc>
        <w:tc>
          <w:tcPr>
            <w:tcW w:type="dxa" w:w="1500"/>
          </w:tcPr>
          <w:p>
            <w:pPr>
              <w:spacing w:after="0" w:line="252" w:lineRule="auto"/>
            </w:pPr>
            <w:r>
              <w:rPr>
                <w:rFonts w:ascii="Calibri" w:hAnsi="Calibri" w:eastAsia="Calibri"/>
                <w:color w:val="161B21"/>
                <w:sz w:val="17"/>
              </w:rPr>
              <w:t>ID/null</w:t>
            </w:r>
          </w:p>
        </w:tc>
        <w:tc>
          <w:tcPr>
            <w:tcW w:type="dxa" w:w="5960"/>
          </w:tcPr>
          <w:p>
            <w:pPr>
              <w:spacing w:after="0" w:line="252" w:lineRule="auto"/>
            </w:pPr>
            <w:r>
              <w:rPr>
                <w:rFonts w:ascii="Calibri" w:hAnsi="Calibri" w:eastAsia="Calibri"/>
                <w:color w:val="161B21"/>
                <w:sz w:val="17"/>
              </w:rPr>
              <w:t>Must exist in active category allow-list.</w:t>
            </w:r>
          </w:p>
        </w:tc>
      </w:tr>
      <w:tr>
        <w:trPr>
          <w:cantSplit/>
        </w:trPr>
        <w:tc>
          <w:tcPr>
            <w:tcW w:type="dxa" w:w="1900"/>
          </w:tcPr>
          <w:p>
            <w:pPr>
              <w:spacing w:after="0" w:line="252" w:lineRule="auto"/>
            </w:pPr>
            <w:r>
              <w:rPr>
                <w:rFonts w:ascii="Calibri" w:hAnsi="Calibri" w:eastAsia="Calibri"/>
                <w:color w:val="161B21"/>
                <w:sz w:val="17"/>
              </w:rPr>
              <w:t>occurred_at</w:t>
            </w:r>
          </w:p>
        </w:tc>
        <w:tc>
          <w:tcPr>
            <w:tcW w:type="dxa" w:w="1500"/>
          </w:tcPr>
          <w:p>
            <w:pPr>
              <w:spacing w:after="0" w:line="252" w:lineRule="auto"/>
            </w:pPr>
            <w:r>
              <w:rPr>
                <w:rFonts w:ascii="Calibri" w:hAnsi="Calibri" w:eastAsia="Calibri"/>
                <w:color w:val="161B21"/>
                <w:sz w:val="17"/>
              </w:rPr>
              <w:t>timestamp/null</w:t>
            </w:r>
          </w:p>
        </w:tc>
        <w:tc>
          <w:tcPr>
            <w:tcW w:type="dxa" w:w="5960"/>
          </w:tcPr>
          <w:p>
            <w:pPr>
              <w:spacing w:after="0" w:line="252" w:lineRule="auto"/>
            </w:pPr>
            <w:r>
              <w:rPr>
                <w:rFonts w:ascii="Calibri" w:hAnsi="Calibri" w:eastAsia="Calibri"/>
                <w:color w:val="161B21"/>
                <w:sz w:val="17"/>
              </w:rPr>
              <w:t>ISO 8601 with local timezone; uncertainty flagged.</w:t>
            </w:r>
          </w:p>
        </w:tc>
      </w:tr>
      <w:tr>
        <w:trPr>
          <w:cantSplit/>
        </w:trPr>
        <w:tc>
          <w:tcPr>
            <w:tcW w:type="dxa" w:w="1900"/>
          </w:tcPr>
          <w:p>
            <w:pPr>
              <w:spacing w:after="0" w:line="252" w:lineRule="auto"/>
            </w:pPr>
            <w:r>
              <w:rPr>
                <w:rFonts w:ascii="Calibri" w:hAnsi="Calibri" w:eastAsia="Calibri"/>
                <w:color w:val="161B21"/>
                <w:sz w:val="17"/>
              </w:rPr>
              <w:t>payment_account_id</w:t>
            </w:r>
          </w:p>
        </w:tc>
        <w:tc>
          <w:tcPr>
            <w:tcW w:type="dxa" w:w="1500"/>
          </w:tcPr>
          <w:p>
            <w:pPr>
              <w:spacing w:after="0" w:line="252" w:lineRule="auto"/>
            </w:pPr>
            <w:r>
              <w:rPr>
                <w:rFonts w:ascii="Calibri" w:hAnsi="Calibri" w:eastAsia="Calibri"/>
                <w:color w:val="161B21"/>
                <w:sz w:val="17"/>
              </w:rPr>
              <w:t>ID/null</w:t>
            </w:r>
          </w:p>
        </w:tc>
        <w:tc>
          <w:tcPr>
            <w:tcW w:type="dxa" w:w="5960"/>
          </w:tcPr>
          <w:p>
            <w:pPr>
              <w:spacing w:after="0" w:line="252" w:lineRule="auto"/>
            </w:pPr>
            <w:r>
              <w:rPr>
                <w:rFonts w:ascii="Calibri" w:hAnsi="Calibri" w:eastAsia="Calibri"/>
                <w:color w:val="161B21"/>
                <w:sz w:val="17"/>
              </w:rPr>
              <w:t>Must exist locally; required before confirmation.</w:t>
            </w:r>
          </w:p>
        </w:tc>
      </w:tr>
      <w:tr>
        <w:trPr>
          <w:cantSplit/>
        </w:trPr>
        <w:tc>
          <w:tcPr>
            <w:tcW w:type="dxa" w:w="1900"/>
          </w:tcPr>
          <w:p>
            <w:pPr>
              <w:spacing w:after="0" w:line="252" w:lineRule="auto"/>
            </w:pPr>
            <w:r>
              <w:rPr>
                <w:rFonts w:ascii="Calibri" w:hAnsi="Calibri" w:eastAsia="Calibri"/>
                <w:color w:val="161B21"/>
                <w:sz w:val="17"/>
              </w:rPr>
              <w:t>note</w:t>
            </w:r>
          </w:p>
        </w:tc>
        <w:tc>
          <w:tcPr>
            <w:tcW w:type="dxa" w:w="1500"/>
          </w:tcPr>
          <w:p>
            <w:pPr>
              <w:spacing w:after="0" w:line="252" w:lineRule="auto"/>
            </w:pPr>
            <w:r>
              <w:rPr>
                <w:rFonts w:ascii="Calibri" w:hAnsi="Calibri" w:eastAsia="Calibri"/>
                <w:color w:val="161B21"/>
                <w:sz w:val="17"/>
              </w:rPr>
              <w:t>string/null</w:t>
            </w:r>
          </w:p>
        </w:tc>
        <w:tc>
          <w:tcPr>
            <w:tcW w:type="dxa" w:w="5960"/>
          </w:tcPr>
          <w:p>
            <w:pPr>
              <w:spacing w:after="0" w:line="252" w:lineRule="auto"/>
            </w:pPr>
            <w:r>
              <w:rPr>
                <w:rFonts w:ascii="Calibri" w:hAnsi="Calibri" w:eastAsia="Calibri"/>
                <w:color w:val="161B21"/>
                <w:sz w:val="17"/>
              </w:rPr>
              <w:t>User-visible; sanitised and length limited.</w:t>
            </w:r>
          </w:p>
        </w:tc>
      </w:tr>
      <w:tr>
        <w:trPr>
          <w:cantSplit/>
        </w:trPr>
        <w:tc>
          <w:tcPr>
            <w:tcW w:type="dxa" w:w="1900"/>
          </w:tcPr>
          <w:p>
            <w:pPr>
              <w:spacing w:after="0" w:line="252" w:lineRule="auto"/>
            </w:pPr>
            <w:r>
              <w:rPr>
                <w:rFonts w:ascii="Calibri" w:hAnsi="Calibri" w:eastAsia="Calibri"/>
                <w:color w:val="161B21"/>
                <w:sz w:val="17"/>
              </w:rPr>
              <w:t>confidence</w:t>
            </w:r>
          </w:p>
        </w:tc>
        <w:tc>
          <w:tcPr>
            <w:tcW w:type="dxa" w:w="1500"/>
          </w:tcPr>
          <w:p>
            <w:pPr>
              <w:spacing w:after="0" w:line="252" w:lineRule="auto"/>
            </w:pPr>
            <w:r>
              <w:rPr>
                <w:rFonts w:ascii="Calibri" w:hAnsi="Calibri" w:eastAsia="Calibri"/>
                <w:color w:val="161B21"/>
                <w:sz w:val="17"/>
              </w:rPr>
              <w:t>0..1</w:t>
            </w:r>
          </w:p>
        </w:tc>
        <w:tc>
          <w:tcPr>
            <w:tcW w:type="dxa" w:w="5960"/>
          </w:tcPr>
          <w:p>
            <w:pPr>
              <w:spacing w:after="0" w:line="252" w:lineRule="auto"/>
            </w:pPr>
            <w:r>
              <w:rPr>
                <w:rFonts w:ascii="Calibri" w:hAnsi="Calibri" w:eastAsia="Calibri"/>
                <w:color w:val="161B21"/>
                <w:sz w:val="17"/>
              </w:rPr>
              <w:t>Calibrated proposal confidence; never overrides validation.</w:t>
            </w:r>
          </w:p>
        </w:tc>
      </w:tr>
      <w:tr>
        <w:trPr>
          <w:cantSplit/>
        </w:trPr>
        <w:tc>
          <w:tcPr>
            <w:tcW w:type="dxa" w:w="1900"/>
          </w:tcPr>
          <w:p>
            <w:pPr>
              <w:spacing w:after="0" w:line="252" w:lineRule="auto"/>
            </w:pPr>
            <w:r>
              <w:rPr>
                <w:rFonts w:ascii="Calibri" w:hAnsi="Calibri" w:eastAsia="Calibri"/>
                <w:color w:val="161B21"/>
                <w:sz w:val="17"/>
              </w:rPr>
              <w:t>uncertain_fields</w:t>
            </w:r>
          </w:p>
        </w:tc>
        <w:tc>
          <w:tcPr>
            <w:tcW w:type="dxa" w:w="1500"/>
          </w:tcPr>
          <w:p>
            <w:pPr>
              <w:spacing w:after="0" w:line="252" w:lineRule="auto"/>
            </w:pPr>
            <w:r>
              <w:rPr>
                <w:rFonts w:ascii="Calibri" w:hAnsi="Calibri" w:eastAsia="Calibri"/>
                <w:color w:val="161B21"/>
                <w:sz w:val="17"/>
              </w:rPr>
              <w:t>array</w:t>
            </w:r>
          </w:p>
        </w:tc>
        <w:tc>
          <w:tcPr>
            <w:tcW w:type="dxa" w:w="5960"/>
          </w:tcPr>
          <w:p>
            <w:pPr>
              <w:spacing w:after="0" w:line="252" w:lineRule="auto"/>
            </w:pPr>
            <w:r>
              <w:rPr>
                <w:rFonts w:ascii="Calibri" w:hAnsi="Calibri" w:eastAsia="Calibri"/>
                <w:color w:val="161B21"/>
                <w:sz w:val="17"/>
              </w:rPr>
              <w:t>Fields requiring visible user attention.</w:t>
            </w:r>
          </w:p>
        </w:tc>
      </w:tr>
      <w:tr>
        <w:trPr>
          <w:cantSplit/>
        </w:trPr>
        <w:tc>
          <w:tcPr>
            <w:tcW w:type="dxa" w:w="1900"/>
          </w:tcPr>
          <w:p>
            <w:pPr>
              <w:spacing w:after="0" w:line="252" w:lineRule="auto"/>
            </w:pPr>
            <w:r>
              <w:rPr>
                <w:rFonts w:ascii="Calibri" w:hAnsi="Calibri" w:eastAsia="Calibri"/>
                <w:color w:val="161B21"/>
                <w:sz w:val="17"/>
              </w:rPr>
              <w:t>source</w:t>
            </w:r>
          </w:p>
        </w:tc>
        <w:tc>
          <w:tcPr>
            <w:tcW w:type="dxa" w:w="1500"/>
          </w:tcPr>
          <w:p>
            <w:pPr>
              <w:spacing w:after="0" w:line="252" w:lineRule="auto"/>
            </w:pPr>
            <w:r>
              <w:rPr>
                <w:rFonts w:ascii="Calibri" w:hAnsi="Calibri" w:eastAsia="Calibri"/>
                <w:color w:val="161B21"/>
                <w:sz w:val="17"/>
              </w:rPr>
              <w:t>enum</w:t>
            </w:r>
          </w:p>
        </w:tc>
        <w:tc>
          <w:tcPr>
            <w:tcW w:type="dxa" w:w="5960"/>
          </w:tcPr>
          <w:p>
            <w:pPr>
              <w:spacing w:after="0" w:line="252" w:lineRule="auto"/>
            </w:pPr>
            <w:r>
              <w:rPr>
                <w:rFonts w:ascii="Calibri" w:hAnsi="Calibri" w:eastAsia="Calibri"/>
                <w:color w:val="161B21"/>
                <w:sz w:val="17"/>
              </w:rPr>
              <w:t>manual, text, voice, image or connected_byok.</w:t>
            </w:r>
          </w:p>
        </w:tc>
      </w:tr>
      <w:tr>
        <w:trPr>
          <w:cantSplit/>
        </w:trPr>
        <w:tc>
          <w:tcPr>
            <w:tcW w:type="dxa" w:w="1900"/>
          </w:tcPr>
          <w:p>
            <w:pPr>
              <w:spacing w:after="0" w:line="252" w:lineRule="auto"/>
            </w:pPr>
            <w:r>
              <w:rPr>
                <w:rFonts w:ascii="Calibri" w:hAnsi="Calibri" w:eastAsia="Calibri"/>
                <w:color w:val="161B21"/>
                <w:sz w:val="17"/>
              </w:rPr>
              <w:t>model_runtime</w:t>
            </w:r>
          </w:p>
        </w:tc>
        <w:tc>
          <w:tcPr>
            <w:tcW w:type="dxa" w:w="1500"/>
          </w:tcPr>
          <w:p>
            <w:pPr>
              <w:spacing w:after="0" w:line="252" w:lineRule="auto"/>
            </w:pPr>
            <w:r>
              <w:rPr>
                <w:rFonts w:ascii="Calibri" w:hAnsi="Calibri" w:eastAsia="Calibri"/>
                <w:color w:val="161B21"/>
                <w:sz w:val="17"/>
              </w:rPr>
              <w:t>metadata</w:t>
            </w:r>
          </w:p>
        </w:tc>
        <w:tc>
          <w:tcPr>
            <w:tcW w:type="dxa" w:w="5960"/>
          </w:tcPr>
          <w:p>
            <w:pPr>
              <w:spacing w:after="0" w:line="252" w:lineRule="auto"/>
            </w:pPr>
            <w:r>
              <w:rPr>
                <w:rFonts w:ascii="Calibri" w:hAnsi="Calibri" w:eastAsia="Calibri"/>
                <w:color w:val="161B21"/>
                <w:sz w:val="17"/>
              </w:rPr>
              <w:t>Provider/runtime/model/version; excluded from financial export by default.</w:t>
            </w:r>
          </w:p>
        </w:tc>
      </w:tr>
    </w:tbl>
    <w:p>
      <w:pPr>
        <w:spacing w:after="40"/>
      </w:pPr>
    </w:p>
    <w:p>
      <w:r>
        <w:br w:type="page"/>
      </w:r>
    </w:p>
    <w:p>
      <w:pPr>
        <w:pStyle w:val="Heading1"/>
      </w:pPr>
      <w:r>
        <w:t>Appendix B - Reference sources</w:t>
      </w:r>
    </w:p>
    <w:p>
      <w:pPr>
        <w:numPr>
          <w:ilvl w:val="0"/>
          <w:numId w:val="10"/>
        </w:numPr>
        <w:spacing w:after="160"/>
      </w:pPr>
      <w:hyperlink r:id="rId11">
        <w:r>
          <w:rPr>
            <w:color w:val="2E74B5"/>
            <w:u w:val="single"/>
          </w:rPr>
          <w:t>Google AI Edge - LiteRT-LM overview</w:t>
        </w:r>
      </w:hyperlink>
    </w:p>
    <w:p>
      <w:pPr>
        <w:numPr>
          <w:ilvl w:val="0"/>
          <w:numId w:val="10"/>
        </w:numPr>
        <w:spacing w:after="160"/>
      </w:pPr>
      <w:hyperlink r:id="rId12">
        <w:r>
          <w:rPr>
            <w:color w:val="2E74B5"/>
            <w:u w:val="single"/>
          </w:rPr>
          <w:t>Gemma 4 E2B LiteRT-LM model card</w:t>
        </w:r>
      </w:hyperlink>
    </w:p>
    <w:p>
      <w:pPr>
        <w:numPr>
          <w:ilvl w:val="0"/>
          <w:numId w:val="10"/>
        </w:numPr>
        <w:spacing w:after="160"/>
      </w:pPr>
      <w:hyperlink r:id="rId13">
        <w:r>
          <w:rPr>
            <w:color w:val="2E74B5"/>
            <w:u w:val="single"/>
          </w:rPr>
          <w:t>DeepEval introduction</w:t>
        </w:r>
      </w:hyperlink>
    </w:p>
    <w:p>
      <w:pPr>
        <w:numPr>
          <w:ilvl w:val="0"/>
          <w:numId w:val="10"/>
        </w:numPr>
        <w:spacing w:after="160"/>
      </w:pPr>
      <w:hyperlink r:id="rId14">
        <w:r>
          <w:rPr>
            <w:color w:val="2E74B5"/>
            <w:u w:val="single"/>
          </w:rPr>
          <w:t>DeepEval getting started and online evals</w:t>
        </w:r>
      </w:hyperlink>
    </w:p>
    <w:p>
      <w:pPr>
        <w:numPr>
          <w:ilvl w:val="0"/>
          <w:numId w:val="10"/>
        </w:numPr>
        <w:spacing w:after="160"/>
      </w:pPr>
      <w:hyperlink r:id="rId15">
        <w:r>
          <w:rPr>
            <w:color w:val="2E74B5"/>
            <w:u w:val="single"/>
          </w:rPr>
          <w:t>OpenAI Responses API text generation</w:t>
        </w:r>
      </w:hyperlink>
    </w:p>
    <w:p>
      <w:pPr>
        <w:numPr>
          <w:ilvl w:val="0"/>
          <w:numId w:val="10"/>
        </w:numPr>
        <w:spacing w:after="160"/>
      </w:pPr>
      <w:hyperlink r:id="rId16">
        <w:r>
          <w:rPr>
            <w:color w:val="2E74B5"/>
            <w:u w:val="single"/>
          </w:rPr>
          <w:t>OpenAI Structured Outputs</w:t>
        </w:r>
      </w:hyperlink>
    </w:p>
    <w:p>
      <w:pPr>
        <w:numPr>
          <w:ilvl w:val="0"/>
          <w:numId w:val="10"/>
        </w:numPr>
        <w:spacing w:after="160"/>
      </w:pPr>
      <w:hyperlink r:id="rId17">
        <w:r>
          <w:rPr>
            <w:color w:val="2E74B5"/>
            <w:u w:val="single"/>
          </w:rPr>
          <w:t>OpenAI data controls</w:t>
        </w:r>
      </w:hyperlink>
    </w:p>
    <w:p>
      <w:pPr>
        <w:numPr>
          <w:ilvl w:val="0"/>
          <w:numId w:val="10"/>
        </w:numPr>
        <w:spacing w:after="160"/>
      </w:pPr>
      <w:hyperlink r:id="rId18">
        <w:r>
          <w:rPr>
            <w:color w:val="2E74B5"/>
            <w:u w:val="single"/>
          </w:rPr>
          <w:t>Anthropic output consistency and Structured Outputs</w:t>
        </w:r>
      </w:hyperlink>
    </w:p>
    <w:p>
      <w:r>
        <w:br w:type="page"/>
      </w:r>
    </w:p>
    <w:p>
      <w:pPr>
        <w:pStyle w:val="Heading1"/>
      </w:pPr>
      <w:r>
        <w:t>Appendix C - Final architecture decisions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Decision</w:t>
            </w:r>
          </w:p>
        </w:tc>
        <w:tc>
          <w:tcPr>
            <w:tcW w:type="dxa" w:w="6560"/>
            <w:tcMar>
              <w:top w:w="80" w:type="dxa"/>
              <w:start w:w="120" w:type="dxa"/>
              <w:bottom w:w="80" w:type="dxa"/>
              <w:end w:w="120" w:type="dxa"/>
            </w:tcMar>
            <w:vAlign w:val="center"/>
            <w:shd w:fill="F2F4F7"/>
          </w:tcPr>
          <w:p>
            <w:pPr>
              <w:spacing w:after="0"/>
              <w:jc w:val="left"/>
            </w:pPr>
            <w:r>
              <w:rPr>
                <w:rFonts w:ascii="Calibri" w:hAnsi="Calibri" w:eastAsia="Calibri"/>
                <w:b/>
                <w:color w:val="0B2545"/>
                <w:sz w:val="18"/>
              </w:rPr>
              <w:t>Approved baseline</w:t>
            </w:r>
          </w:p>
        </w:tc>
      </w:tr>
      <w:tr>
        <w:trPr>
          <w:cantSplit/>
        </w:trPr>
        <w:tc>
          <w:tcPr>
            <w:tcW w:type="dxa" w:w="2800"/>
          </w:tcPr>
          <w:p>
            <w:pPr>
              <w:spacing w:after="0" w:line="252" w:lineRule="auto"/>
            </w:pPr>
            <w:r>
              <w:rPr>
                <w:rFonts w:ascii="Calibri" w:hAnsi="Calibri" w:eastAsia="Calibri"/>
                <w:color w:val="161B21"/>
                <w:sz w:val="18"/>
              </w:rPr>
              <w:t>Input sources</w:t>
            </w:r>
          </w:p>
        </w:tc>
        <w:tc>
          <w:tcPr>
            <w:tcW w:type="dxa" w:w="6560"/>
          </w:tcPr>
          <w:p>
            <w:pPr>
              <w:spacing w:after="0" w:line="252" w:lineRule="auto"/>
            </w:pPr>
            <w:r>
              <w:rPr>
                <w:rFonts w:ascii="Calibri" w:hAnsi="Calibri" w:eastAsia="Calibri"/>
                <w:color w:val="161B21"/>
                <w:sz w:val="18"/>
              </w:rPr>
              <w:t>Text, voice and general pictures containing expense details; manual entry remains available.</w:t>
            </w:r>
          </w:p>
        </w:tc>
      </w:tr>
      <w:tr>
        <w:trPr>
          <w:cantSplit/>
        </w:trPr>
        <w:tc>
          <w:tcPr>
            <w:tcW w:type="dxa" w:w="2800"/>
          </w:tcPr>
          <w:p>
            <w:pPr>
              <w:spacing w:after="0" w:line="252" w:lineRule="auto"/>
            </w:pPr>
            <w:r>
              <w:rPr>
                <w:rFonts w:ascii="Calibri" w:hAnsi="Calibri" w:eastAsia="Calibri"/>
                <w:color w:val="161B21"/>
                <w:sz w:val="18"/>
              </w:rPr>
              <w:t>Data model</w:t>
            </w:r>
          </w:p>
        </w:tc>
        <w:tc>
          <w:tcPr>
            <w:tcW w:type="dxa" w:w="6560"/>
          </w:tcPr>
          <w:p>
            <w:pPr>
              <w:spacing w:after="0" w:line="252" w:lineRule="auto"/>
            </w:pPr>
            <w:r>
              <w:rPr>
                <w:rFonts w:ascii="Calibri" w:hAnsi="Calibri" w:eastAsia="Calibri"/>
                <w:color w:val="161B21"/>
                <w:sz w:val="18"/>
              </w:rPr>
              <w:t>Fully offline on one device.</w:t>
            </w:r>
          </w:p>
        </w:tc>
      </w:tr>
      <w:tr>
        <w:trPr>
          <w:cantSplit/>
        </w:trPr>
        <w:tc>
          <w:tcPr>
            <w:tcW w:type="dxa" w:w="2800"/>
          </w:tcPr>
          <w:p>
            <w:pPr>
              <w:spacing w:after="0" w:line="252" w:lineRule="auto"/>
            </w:pPr>
            <w:r>
              <w:rPr>
                <w:rFonts w:ascii="Calibri" w:hAnsi="Calibri" w:eastAsia="Calibri"/>
                <w:color w:val="161B21"/>
                <w:sz w:val="18"/>
              </w:rPr>
              <w:t>Deliverable</w:t>
            </w:r>
          </w:p>
        </w:tc>
        <w:tc>
          <w:tcPr>
            <w:tcW w:type="dxa" w:w="6560"/>
          </w:tcPr>
          <w:p>
            <w:pPr>
              <w:spacing w:after="0" w:line="252" w:lineRule="auto"/>
            </w:pPr>
            <w:r>
              <w:rPr>
                <w:rFonts w:ascii="Calibri" w:hAnsi="Calibri" w:eastAsia="Calibri"/>
                <w:color w:val="161B21"/>
                <w:sz w:val="18"/>
              </w:rPr>
              <w:t>Combined product scope/acceptance and operational SLA.</w:t>
            </w:r>
          </w:p>
        </w:tc>
      </w:tr>
      <w:tr>
        <w:trPr>
          <w:cantSplit/>
        </w:trPr>
        <w:tc>
          <w:tcPr>
            <w:tcW w:type="dxa" w:w="2800"/>
          </w:tcPr>
          <w:p>
            <w:pPr>
              <w:spacing w:after="0" w:line="252" w:lineRule="auto"/>
            </w:pPr>
            <w:r>
              <w:rPr>
                <w:rFonts w:ascii="Calibri" w:hAnsi="Calibri" w:eastAsia="Calibri"/>
                <w:color w:val="161B21"/>
                <w:sz w:val="18"/>
              </w:rPr>
              <w:t>Market</w:t>
            </w:r>
          </w:p>
        </w:tc>
        <w:tc>
          <w:tcPr>
            <w:tcW w:type="dxa" w:w="6560"/>
          </w:tcPr>
          <w:p>
            <w:pPr>
              <w:spacing w:after="0" w:line="252" w:lineRule="auto"/>
            </w:pPr>
            <w:r>
              <w:rPr>
                <w:rFonts w:ascii="Calibri" w:hAnsi="Calibri" w:eastAsia="Calibri"/>
                <w:color w:val="161B21"/>
                <w:sz w:val="18"/>
              </w:rPr>
              <w:t>India.</w:t>
            </w:r>
          </w:p>
        </w:tc>
      </w:tr>
      <w:tr>
        <w:trPr>
          <w:cantSplit/>
        </w:trPr>
        <w:tc>
          <w:tcPr>
            <w:tcW w:type="dxa" w:w="2800"/>
          </w:tcPr>
          <w:p>
            <w:pPr>
              <w:spacing w:after="0" w:line="252" w:lineRule="auto"/>
            </w:pPr>
            <w:r>
              <w:rPr>
                <w:rFonts w:ascii="Calibri" w:hAnsi="Calibri" w:eastAsia="Calibri"/>
                <w:color w:val="161B21"/>
                <w:sz w:val="18"/>
              </w:rPr>
              <w:t>Language/currency</w:t>
            </w:r>
          </w:p>
        </w:tc>
        <w:tc>
          <w:tcPr>
            <w:tcW w:type="dxa" w:w="6560"/>
          </w:tcPr>
          <w:p>
            <w:pPr>
              <w:spacing w:after="0" w:line="252" w:lineRule="auto"/>
            </w:pPr>
            <w:r>
              <w:rPr>
                <w:rFonts w:ascii="Calibri" w:hAnsi="Calibri" w:eastAsia="Calibri"/>
                <w:color w:val="161B21"/>
                <w:sz w:val="18"/>
              </w:rPr>
              <w:t>English and INR.</w:t>
            </w:r>
          </w:p>
        </w:tc>
      </w:tr>
      <w:tr>
        <w:trPr>
          <w:cantSplit/>
        </w:trPr>
        <w:tc>
          <w:tcPr>
            <w:tcW w:type="dxa" w:w="2800"/>
          </w:tcPr>
          <w:p>
            <w:pPr>
              <w:spacing w:after="0" w:line="252" w:lineRule="auto"/>
            </w:pPr>
            <w:r>
              <w:rPr>
                <w:rFonts w:ascii="Calibri" w:hAnsi="Calibri" w:eastAsia="Calibri"/>
                <w:color w:val="161B21"/>
                <w:sz w:val="18"/>
              </w:rPr>
              <w:t>Device policy</w:t>
            </w:r>
          </w:p>
        </w:tc>
        <w:tc>
          <w:tcPr>
            <w:tcW w:type="dxa" w:w="6560"/>
          </w:tcPr>
          <w:p>
            <w:pPr>
              <w:spacing w:after="0" w:line="252" w:lineRule="auto"/>
            </w:pPr>
            <w:r>
              <w:rPr>
                <w:rFonts w:ascii="Calibri" w:hAnsi="Calibri" w:eastAsia="Calibri"/>
                <w:color w:val="161B21"/>
                <w:sz w:val="18"/>
              </w:rPr>
              <w:t>Wide core-app support; local AI enabled only on capable phones.</w:t>
            </w:r>
          </w:p>
        </w:tc>
      </w:tr>
      <w:tr>
        <w:trPr>
          <w:cantSplit/>
        </w:trPr>
        <w:tc>
          <w:tcPr>
            <w:tcW w:type="dxa" w:w="2800"/>
          </w:tcPr>
          <w:p>
            <w:pPr>
              <w:spacing w:after="0" w:line="252" w:lineRule="auto"/>
            </w:pPr>
            <w:r>
              <w:rPr>
                <w:rFonts w:ascii="Calibri" w:hAnsi="Calibri" w:eastAsia="Calibri"/>
                <w:color w:val="161B21"/>
                <w:sz w:val="18"/>
              </w:rPr>
              <w:t>AI commit policy</w:t>
            </w:r>
          </w:p>
        </w:tc>
        <w:tc>
          <w:tcPr>
            <w:tcW w:type="dxa" w:w="6560"/>
          </w:tcPr>
          <w:p>
            <w:pPr>
              <w:spacing w:after="0" w:line="252" w:lineRule="auto"/>
            </w:pPr>
            <w:r>
              <w:rPr>
                <w:rFonts w:ascii="Calibri" w:hAnsi="Calibri" w:eastAsia="Calibri"/>
                <w:color w:val="161B21"/>
                <w:sz w:val="18"/>
              </w:rPr>
              <w:t>Mandatory user review and confirmation for every AI-derived transaction in v1.</w:t>
            </w:r>
          </w:p>
        </w:tc>
      </w:tr>
      <w:tr>
        <w:trPr>
          <w:cantSplit/>
        </w:trPr>
        <w:tc>
          <w:tcPr>
            <w:tcW w:type="dxa" w:w="2800"/>
          </w:tcPr>
          <w:p>
            <w:pPr>
              <w:spacing w:after="0" w:line="252" w:lineRule="auto"/>
            </w:pPr>
            <w:r>
              <w:rPr>
                <w:rFonts w:ascii="Calibri" w:hAnsi="Calibri" w:eastAsia="Calibri"/>
                <w:color w:val="161B21"/>
                <w:sz w:val="18"/>
              </w:rPr>
              <w:t>Production online evals</w:t>
            </w:r>
          </w:p>
        </w:tc>
        <w:tc>
          <w:tcPr>
            <w:tcW w:type="dxa" w:w="6560"/>
          </w:tcPr>
          <w:p>
            <w:pPr>
              <w:spacing w:after="0" w:line="252" w:lineRule="auto"/>
            </w:pPr>
            <w:r>
              <w:rPr>
                <w:rFonts w:ascii="Calibri" w:hAnsi="Calibri" w:eastAsia="Calibri"/>
                <w:color w:val="161B21"/>
                <w:sz w:val="18"/>
              </w:rPr>
              <w:t>Excluded; controlled connected evals use synthetic/approved test data.</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47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A6470"/>
        <w:sz w:val="17"/>
      </w:rPr>
      <w:t>LOCAL-FIRST AI WALLET TRACKER  |  PRODUCT SCOPE &amp; SLA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61B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edge/litert-lm/overview" TargetMode="External"/><Relationship Id="rId12" Type="http://schemas.openxmlformats.org/officeDocument/2006/relationships/hyperlink" Target="https://huggingface.co/litert-community/gemma-4-E2B-it-litert-lm" TargetMode="External"/><Relationship Id="rId13" Type="http://schemas.openxmlformats.org/officeDocument/2006/relationships/hyperlink" Target="https://deepeval.com/docs/introduction" TargetMode="External"/><Relationship Id="rId14" Type="http://schemas.openxmlformats.org/officeDocument/2006/relationships/hyperlink" Target="https://deepeval.com/docs/getting-started" TargetMode="External"/><Relationship Id="rId15" Type="http://schemas.openxmlformats.org/officeDocument/2006/relationships/hyperlink" Target="https://developers.openai.com/api/docs/guides/text" TargetMode="External"/><Relationship Id="rId16" Type="http://schemas.openxmlformats.org/officeDocument/2006/relationships/hyperlink" Target="https://developers.openai.com/api/docs/guides/structured-outputs" TargetMode="External"/><Relationship Id="rId17" Type="http://schemas.openxmlformats.org/officeDocument/2006/relationships/hyperlink" Target="https://developers.openai.com/api/docs/guides/your-data" TargetMode="External"/><Relationship Id="rId18" Type="http://schemas.openxmlformats.org/officeDocument/2006/relationships/hyperlink" Target="https://docs.anthropic.com/en/docs/test-and-evaluate/strengthen-guardrails/increase-consist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Local-First AI Wallet Tracker - Product Scope, Architecture and Operational SLA</dc:title>
  <dc:subject>Final proposed v1 product baseline and operational service levels</dc:subject>
  <dc:creator>Product Architecture Team</dc:creator>
  <cp:keywords>AI wallet, mobile, offline AI, SLA, iOS, Android, DeepEval</cp:keywords>
  <dc:description>Prepared from confirmed product requirements.</dc:description>
  <cp:lastModifiedBy/>
  <cp:revision>1</cp:revision>
  <dcterms:created xsi:type="dcterms:W3CDTF">2013-12-23T23:15:00Z</dcterms:created>
  <dcterms:modified xsi:type="dcterms:W3CDTF">2013-12-23T23:15:00Z</dcterms:modified>
  <cp:category/>
</cp:coreProperties>
</file>