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FFFFF" w:val="clear"/>
        <w:spacing w:lineRule="atLeast" w:line="348" w:before="0" w:after="0"/>
        <w:rPr/>
      </w:pPr>
      <w:hyperlink r:id="rId2">
        <w:r>
          <w:rPr>
            <w:rStyle w:val="Hyperlink"/>
            <w:rFonts w:eastAsia="Times New Roman" w:cs="Arial" w:ascii="Arial" w:hAnsi="Arial"/>
            <w:color w:val="660066"/>
            <w:sz w:val="20"/>
            <w:u w:val="single"/>
            <w:lang w:val="en-US" w:eastAsia="it-IT"/>
          </w:rPr>
          <w:t>Rinsho Shinkeigaku.</w:t>
        </w:r>
      </w:hyperlink>
      <w:r>
        <w:rPr>
          <w:rFonts w:eastAsia="Times New Roman" w:cs="Arial" w:ascii="Arial" w:hAnsi="Arial"/>
          <w:color w:val="000000"/>
          <w:sz w:val="20"/>
          <w:szCs w:val="20"/>
          <w:lang w:val="en-US" w:eastAsia="it-IT"/>
        </w:rPr>
        <w:t> 2008 Mar;48(3):196-201.</w:t>
      </w:r>
    </w:p>
    <w:p>
      <w:pPr>
        <w:pStyle w:val="Normal"/>
        <w:numPr>
          <w:ilvl w:val="0"/>
          <w:numId w:val="0"/>
        </w:numPr>
        <w:shd w:fill="FFFFFF" w:val="clear"/>
        <w:spacing w:lineRule="atLeast" w:line="300" w:before="120" w:after="120"/>
        <w:outlineLvl w:val="0"/>
        <w:rPr/>
      </w:pPr>
      <w:r>
        <w:rPr>
          <w:rFonts w:eastAsia="Times New Roman" w:cs="Arial" w:ascii="Arial" w:hAnsi="Arial"/>
          <w:b/>
          <w:bCs/>
          <w:color w:val="000000"/>
          <w:kern w:val="2"/>
          <w:sz w:val="34"/>
          <w:szCs w:val="34"/>
          <w:lang w:val="en-US" w:eastAsia="it-IT"/>
        </w:rPr>
        <w:t>[Subacute 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lang w:val="en-US" w:eastAsia="it-IT"/>
        </w:rPr>
        <w:t>encephalitis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szCs w:val="34"/>
          <w:lang w:val="en-US" w:eastAsia="it-IT"/>
        </w:rPr>
        <w:t> associated with 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lang w:val="en-US" w:eastAsia="it-IT"/>
        </w:rPr>
        <w:t>anti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szCs w:val="34"/>
          <w:lang w:val="en-US" w:eastAsia="it-IT"/>
        </w:rPr>
        <w:t>-glutamate 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lang w:val="en-US" w:eastAsia="it-IT"/>
        </w:rPr>
        <w:t>receptor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szCs w:val="34"/>
          <w:lang w:val="en-US" w:eastAsia="it-IT"/>
        </w:rPr>
        <w:t> 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lang w:val="en-US" w:eastAsia="it-IT"/>
        </w:rPr>
        <w:t>antibodies</w:t>
      </w:r>
      <w:r>
        <w:rPr>
          <w:rFonts w:eastAsia="Times New Roman" w:cs="Arial" w:ascii="Arial" w:hAnsi="Arial"/>
          <w:b/>
          <w:bCs/>
          <w:color w:val="000000"/>
          <w:kern w:val="2"/>
          <w:sz w:val="34"/>
          <w:szCs w:val="34"/>
          <w:lang w:val="en-US" w:eastAsia="it-IT"/>
        </w:rPr>
        <w:t>: serial studies of MRI, 1H-MRS and SPECT].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>[Article in Japanese]</w:t>
      </w:r>
    </w:p>
    <w:p>
      <w:pPr>
        <w:pStyle w:val="Normal"/>
        <w:shd w:fill="FFFFFF" w:val="clear"/>
        <w:spacing w:lineRule="auto" w:line="240" w:before="0" w:after="0"/>
        <w:rPr/>
      </w:pPr>
      <w:hyperlink r:id="rId3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Yamamoto S</w:t>
        </w:r>
      </w:hyperlink>
      <w:r>
        <w:rPr>
          <w:rFonts w:eastAsia="Times New Roman" w:cs="Arial" w:ascii="Arial" w:hAnsi="Arial"/>
          <w:color w:val="000000"/>
          <w:sz w:val="19"/>
          <w:szCs w:val="19"/>
          <w:vertAlign w:val="superscript"/>
          <w:lang w:val="en-US" w:eastAsia="it-IT"/>
        </w:rPr>
        <w:t>1</w:t>
      </w:r>
      <w:r>
        <w:rPr>
          <w:rFonts w:eastAsia="Times New Roman" w:cs="Arial" w:ascii="Arial" w:hAnsi="Arial"/>
          <w:color w:val="000000"/>
          <w:lang w:val="en-US" w:eastAsia="it-IT"/>
        </w:rPr>
        <w:t>, </w:t>
      </w:r>
      <w:hyperlink r:id="rId4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Koide Y</w:t>
        </w:r>
      </w:hyperlink>
      <w:r>
        <w:rPr>
          <w:rFonts w:eastAsia="Times New Roman" w:cs="Arial" w:ascii="Arial" w:hAnsi="Arial"/>
          <w:color w:val="000000"/>
          <w:lang w:val="en-US" w:eastAsia="it-IT"/>
        </w:rPr>
        <w:t>, </w:t>
      </w:r>
      <w:hyperlink r:id="rId5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Fujiwara M</w:t>
        </w:r>
      </w:hyperlink>
      <w:r>
        <w:rPr>
          <w:rFonts w:eastAsia="Times New Roman" w:cs="Arial" w:ascii="Arial" w:hAnsi="Arial"/>
          <w:color w:val="000000"/>
          <w:lang w:val="en-US" w:eastAsia="it-IT"/>
        </w:rPr>
        <w:t>, </w:t>
      </w:r>
      <w:hyperlink r:id="rId6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Nakazawa K</w:t>
        </w:r>
      </w:hyperlink>
      <w:r>
        <w:rPr>
          <w:rFonts w:eastAsia="Times New Roman" w:cs="Arial" w:ascii="Arial" w:hAnsi="Arial"/>
          <w:color w:val="000000"/>
          <w:lang w:val="en-US" w:eastAsia="it-IT"/>
        </w:rPr>
        <w:t>, </w:t>
      </w:r>
      <w:hyperlink r:id="rId7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Takahashi Y</w:t>
        </w:r>
      </w:hyperlink>
      <w:r>
        <w:rPr>
          <w:rFonts w:eastAsia="Times New Roman" w:cs="Arial" w:ascii="Arial" w:hAnsi="Arial"/>
          <w:color w:val="000000"/>
          <w:lang w:val="en-US" w:eastAsia="it-IT"/>
        </w:rPr>
        <w:t>, </w:t>
      </w:r>
      <w:hyperlink r:id="rId8" w:tgtFrame="_blank">
        <w:r>
          <w:rPr>
            <w:rStyle w:val="Hyperlink"/>
            <w:rFonts w:eastAsia="Times New Roman" w:cs="Arial" w:ascii="Arial" w:hAnsi="Arial"/>
            <w:color w:val="660066"/>
            <w:u w:val="single"/>
            <w:lang w:val="en-US" w:eastAsia="it-IT"/>
          </w:rPr>
          <w:t>Hara H</w:t>
        </w:r>
      </w:hyperlink>
      <w:r>
        <w:rPr>
          <w:rFonts w:eastAsia="Times New Roman" w:cs="Arial" w:ascii="Arial" w:hAnsi="Arial"/>
          <w:color w:val="000000"/>
          <w:lang w:val="en-US" w:eastAsia="it-IT"/>
        </w:rPr>
        <w:t>.</w:t>
      </w:r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0"/>
        <w:outlineLvl w:val="2"/>
        <w:rPr>
          <w:rFonts w:ascii="Arial" w:hAnsi="Arial" w:eastAsia="Times New Roman" w:cs="Arial"/>
          <w:b/>
          <w:bCs/>
          <w:color w:val="724128"/>
          <w:sz w:val="24"/>
          <w:szCs w:val="24"/>
          <w:lang w:val="en-US" w:eastAsia="it-IT"/>
        </w:rPr>
      </w:pPr>
      <w:hyperlink r:id="rId9">
        <w:r>
          <w:rPr>
            <w:rStyle w:val="Hyperlink"/>
            <w:rFonts w:eastAsia="Times New Roman" w:cs="Arial" w:ascii="Arial" w:hAnsi="Arial"/>
            <w:b/>
            <w:bCs/>
            <w:color w:val="660066"/>
            <w:sz w:val="23"/>
            <w:u w:val="single"/>
            <w:lang w:val="en-US" w:eastAsia="it-IT"/>
          </w:rPr>
          <w:t>Author information</w:t>
        </w:r>
      </w:hyperlink>
    </w:p>
    <w:p>
      <w:pPr>
        <w:pStyle w:val="Normal"/>
        <w:numPr>
          <w:ilvl w:val="0"/>
          <w:numId w:val="0"/>
        </w:numPr>
        <w:shd w:fill="FFFFFF" w:val="clear"/>
        <w:spacing w:lineRule="auto" w:line="240" w:before="0" w:after="0"/>
        <w:outlineLvl w:val="2"/>
        <w:rPr>
          <w:rFonts w:ascii="Arial" w:hAnsi="Arial" w:eastAsia="Times New Roman" w:cs="Arial"/>
          <w:b/>
          <w:bCs/>
          <w:color w:val="985735"/>
          <w:sz w:val="24"/>
          <w:szCs w:val="24"/>
          <w:lang w:val="en-US" w:eastAsia="it-IT"/>
        </w:rPr>
      </w:pPr>
      <w:r>
        <w:rPr>
          <w:rFonts w:eastAsia="Times New Roman" w:cs="Arial" w:ascii="Arial" w:hAnsi="Arial"/>
          <w:b/>
          <w:bCs/>
          <w:color w:val="985735"/>
          <w:sz w:val="24"/>
          <w:szCs w:val="24"/>
          <w:lang w:val="en-US" w:eastAsia="it-IT"/>
        </w:rPr>
        <w:t>Abstract</w:t>
      </w:r>
    </w:p>
    <w:p>
      <w:pPr>
        <w:pStyle w:val="Normal"/>
        <w:shd w:fill="FFFFFF" w:val="clear"/>
        <w:spacing w:lineRule="atLeast" w:line="369" w:before="0" w:after="120"/>
        <w:rPr/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  <w:t>A 32-year-old man who had experienced fever and a pulsating headache of the right occipital region for a month and a transient left hemianopia and numbness in the left arm two weeks prior to presentation was admitted to our hospital because of a seizure. Fluid-attenuated inversion recovery and diffusion-weighted magnetic resonance imaging (MRI) showed high-intensity signals, without reduction of apparent diffusion coefficient value, in the right temporo-occipital cortices. Proton MR spectroscopy (1H-MRS) indicated a decrease in N-acetylaspartate, and single-photon emission CT (SPECT) showed hyperperfusion in the right temporo-occipital territory. An examination of the cerebrospinal fluid showed an elevation of mononuclear cells and the presence of </w:t>
      </w:r>
      <w:r>
        <w:rPr>
          <w:rFonts w:eastAsia="Times New Roman" w:cs="Arial" w:ascii="Arial" w:hAnsi="Arial"/>
          <w:color w:val="000000"/>
          <w:sz w:val="23"/>
          <w:lang w:val="en-US" w:eastAsia="it-IT"/>
        </w:rPr>
        <w:t>anti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  <w:t>-glutamate epsilon2 </w:t>
      </w:r>
      <w:r>
        <w:rPr>
          <w:rFonts w:eastAsia="Times New Roman" w:cs="Arial" w:ascii="Arial" w:hAnsi="Arial"/>
          <w:color w:val="000000"/>
          <w:sz w:val="23"/>
          <w:lang w:val="en-US" w:eastAsia="it-IT"/>
        </w:rPr>
        <w:t>receptor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  <w:t> </w:t>
      </w:r>
      <w:r>
        <w:rPr>
          <w:rFonts w:eastAsia="Times New Roman" w:cs="Arial" w:ascii="Arial" w:hAnsi="Arial"/>
          <w:color w:val="000000"/>
          <w:sz w:val="23"/>
          <w:lang w:val="en-US" w:eastAsia="it-IT"/>
        </w:rPr>
        <w:t>antibodies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  <w:t>. All abnormalities shown by these imaging techniques were normalized in the clinical course. This report suggests that MRI, 1H-MRS and SPECT studies were useful in understanding the pathogenesis of </w:t>
      </w:r>
      <w:r>
        <w:rPr>
          <w:rFonts w:eastAsia="Times New Roman" w:cs="Arial" w:ascii="Arial" w:hAnsi="Arial"/>
          <w:color w:val="000000"/>
          <w:sz w:val="23"/>
          <w:lang w:val="en-US" w:eastAsia="it-IT"/>
        </w:rPr>
        <w:t>encephalitis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  <w:t> associated with glutamate </w:t>
      </w:r>
      <w:r>
        <w:rPr>
          <w:rFonts w:eastAsia="Times New Roman" w:cs="Arial" w:ascii="Arial" w:hAnsi="Arial"/>
          <w:color w:val="000000"/>
          <w:sz w:val="23"/>
          <w:lang w:val="en-US" w:eastAsia="it-IT"/>
        </w:rPr>
        <w:t>receptor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  <w:t> </w:t>
      </w:r>
      <w:r>
        <w:rPr>
          <w:rFonts w:eastAsia="Times New Roman" w:cs="Arial" w:ascii="Arial" w:hAnsi="Arial"/>
          <w:color w:val="000000"/>
          <w:sz w:val="23"/>
          <w:lang w:val="en-US" w:eastAsia="it-IT"/>
        </w:rPr>
        <w:t>antibodies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  <w:t>.</w:t>
      </w:r>
    </w:p>
    <w:p>
      <w:pPr>
        <w:pStyle w:val="Normal"/>
        <w:spacing w:before="0" w:after="200"/>
        <w:rPr>
          <w:rFonts w:ascii="Arial" w:hAnsi="Arial" w:eastAsia="Times New Roman" w:cs="Arial"/>
          <w:color w:val="000000"/>
          <w:sz w:val="23"/>
          <w:szCs w:val="23"/>
          <w:lang w:val="en-US" w:eastAsia="it-IT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it-IT"/>
        </w:rPr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it-IT" w:bidi="ar-SA" w:eastAsia="zh-CN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arpredefinitoparagrafo">
    <w:name w:val="Car. predefinito paragrafo"/>
    <w:qFormat/>
    <w:rPr/>
  </w:style>
  <w:style w:type="character" w:styleId="Titolo1Carattere">
    <w:name w:val="Titolo 1 Carattere"/>
    <w:basedOn w:val="Carpredefinitoparagrafo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Titolo3Carattere">
    <w:name w:val="Titolo 3 Carattere"/>
    <w:basedOn w:val="Carpredefinitoparagrafo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Carpredefinitoparagrafo"/>
    <w:rPr>
      <w:color w:val="0000FF"/>
      <w:u w:val="single"/>
    </w:rPr>
  </w:style>
  <w:style w:type="character" w:styleId="highlight">
    <w:name w:val="highlight"/>
    <w:basedOn w:val="Carpredefinitoparagrafo"/>
    <w:qFormat/>
    <w:rPr/>
  </w:style>
  <w:style w:type="character" w:styleId="ui-ncbitoggler-master-text">
    <w:name w:val="ui-ncbitoggler-master-text"/>
    <w:basedOn w:val="Carpredefinitoparagrafo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eWeb">
    <w:name w:val="Normale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pubmed/18409540" TargetMode="External"/><Relationship Id="rId3" Type="http://schemas.openxmlformats.org/officeDocument/2006/relationships/hyperlink" Target="http://www.ncbi.nlm.nih.gov/pubmed/18409540" TargetMode="External"/><Relationship Id="rId4" Type="http://schemas.openxmlformats.org/officeDocument/2006/relationships/hyperlink" Target="http://www.ncbi.nlm.nih.gov/pubmed/18409540" TargetMode="External"/><Relationship Id="rId5" Type="http://schemas.openxmlformats.org/officeDocument/2006/relationships/hyperlink" Target="http://www.ncbi.nlm.nih.gov/pubmed/18409540" TargetMode="External"/><Relationship Id="rId6" Type="http://schemas.openxmlformats.org/officeDocument/2006/relationships/hyperlink" Target="http://www.ncbi.nlm.nih.gov/pubmed/18409540" TargetMode="External"/><Relationship Id="rId7" Type="http://schemas.openxmlformats.org/officeDocument/2006/relationships/hyperlink" Target="http://www.ncbi.nlm.nih.gov/pubmed/18409540" TargetMode="External"/><Relationship Id="rId8" Type="http://schemas.openxmlformats.org/officeDocument/2006/relationships/hyperlink" Target="http://www.ncbi.nlm.nih.gov/pubmed/18409540" TargetMode="External"/><Relationship Id="rId9" Type="http://schemas.openxmlformats.org/officeDocument/2006/relationships/hyperlink" Target="https://www.ncbi.nlm.nih.gov/pubmed/18409540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LibreOffice/25.2.5.2$MacOSX_AARCH64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2018-05-14T14:57:00Z</dcterms:created>
  <dc:creator>Margherita Nosadini</dc:creator>
  <dc:description/>
  <dc:language>en-US</dc:language>
  <cp:lastModifiedBy>Margherita Nosadini</cp:lastModifiedBy>
  <dcterms:modified xsi:type="dcterms:W3CDTF">2018-05-14T14:57:00Z</dcterms:modified>
  <cp:revision>1</cp:revision>
  <dc:subject/>
  <dc:title/>
</cp:coreProperties>
</file>