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pacing w:lineRule="atLeast" w:line="348" w:before="0" w:after="0"/>
        <w:rPr/>
      </w:pPr>
      <w:hyperlink r:id="rId2">
        <w:r>
          <w:rPr>
            <w:rStyle w:val="Hyperlink"/>
            <w:rFonts w:eastAsia="Times New Roman" w:cs="Arial" w:ascii="Arial" w:hAnsi="Arial"/>
            <w:color w:val="660066"/>
            <w:sz w:val="20"/>
            <w:u w:val="single"/>
            <w:lang w:val="en-US" w:eastAsia="it-IT"/>
          </w:rPr>
          <w:t>Rinsho Shinkeigaku.</w:t>
        </w:r>
      </w:hyperlink>
      <w:r>
        <w:rPr>
          <w:rFonts w:eastAsia="Times New Roman" w:cs="Arial" w:ascii="Arial" w:hAnsi="Arial"/>
          <w:color w:val="000000"/>
          <w:sz w:val="20"/>
          <w:szCs w:val="20"/>
          <w:lang w:val="en-US" w:eastAsia="it-IT"/>
        </w:rPr>
        <w:t> 2010 Aug;50(8):585-8.</w:t>
      </w:r>
    </w:p>
    <w:p>
      <w:pPr>
        <w:pStyle w:val="Normal"/>
        <w:numPr>
          <w:ilvl w:val="0"/>
          <w:numId w:val="0"/>
        </w:numPr>
        <w:shd w:fill="FFFFFF" w:val="clear"/>
        <w:spacing w:lineRule="atLeast" w:line="300" w:before="120" w:after="120"/>
        <w:outlineLvl w:val="0"/>
        <w:rPr/>
      </w:pPr>
      <w:r>
        <w:rPr>
          <w:rFonts w:eastAsia="Times New Roman" w:cs="Arial" w:ascii="Arial" w:hAnsi="Arial"/>
          <w:b/>
          <w:bCs/>
          <w:color w:val="000000"/>
          <w:kern w:val="2"/>
          <w:sz w:val="34"/>
          <w:szCs w:val="34"/>
          <w:lang w:val="en-US" w:eastAsia="it-IT"/>
        </w:rPr>
        <w:t>[</w:t>
      </w:r>
      <w:r>
        <w:rPr>
          <w:rFonts w:eastAsia="Times New Roman" w:cs="Arial" w:ascii="Arial" w:hAnsi="Arial"/>
          <w:b/>
          <w:bCs/>
          <w:color w:val="000000"/>
          <w:kern w:val="2"/>
          <w:sz w:val="34"/>
          <w:lang w:val="en-US" w:eastAsia="it-IT"/>
        </w:rPr>
        <w:t>Anti</w:t>
      </w:r>
      <w:r>
        <w:rPr>
          <w:rFonts w:eastAsia="Times New Roman" w:cs="Arial" w:ascii="Arial" w:hAnsi="Arial"/>
          <w:b/>
          <w:bCs/>
          <w:color w:val="000000"/>
          <w:kern w:val="2"/>
          <w:sz w:val="34"/>
          <w:szCs w:val="34"/>
          <w:lang w:val="en-US" w:eastAsia="it-IT"/>
        </w:rPr>
        <w:t>-</w:t>
      </w:r>
      <w:r>
        <w:rPr>
          <w:rFonts w:eastAsia="Times New Roman" w:cs="Arial" w:ascii="Arial" w:hAnsi="Arial"/>
          <w:b/>
          <w:bCs/>
          <w:color w:val="000000"/>
          <w:kern w:val="2"/>
          <w:sz w:val="34"/>
          <w:lang w:val="en-US" w:eastAsia="it-IT"/>
        </w:rPr>
        <w:t>NMDA receptor antibody</w:t>
      </w:r>
      <w:r>
        <w:rPr>
          <w:rFonts w:eastAsia="Times New Roman" w:cs="Arial" w:ascii="Arial" w:hAnsi="Arial"/>
          <w:b/>
          <w:bCs/>
          <w:color w:val="000000"/>
          <w:kern w:val="2"/>
          <w:sz w:val="34"/>
          <w:szCs w:val="34"/>
          <w:lang w:val="en-US" w:eastAsia="it-IT"/>
        </w:rPr>
        <w:t> </w:t>
      </w:r>
      <w:r>
        <w:rPr>
          <w:rFonts w:eastAsia="Times New Roman" w:cs="Arial" w:ascii="Arial" w:hAnsi="Arial"/>
          <w:b/>
          <w:bCs/>
          <w:color w:val="000000"/>
          <w:kern w:val="2"/>
          <w:sz w:val="34"/>
          <w:lang w:val="en-US" w:eastAsia="it-IT"/>
        </w:rPr>
        <w:t>encephalitis</w:t>
      </w:r>
      <w:r>
        <w:rPr>
          <w:rFonts w:eastAsia="Times New Roman" w:cs="Arial" w:ascii="Arial" w:hAnsi="Arial"/>
          <w:b/>
          <w:bCs/>
          <w:color w:val="000000"/>
          <w:kern w:val="2"/>
          <w:sz w:val="34"/>
          <w:szCs w:val="34"/>
          <w:lang w:val="en-US" w:eastAsia="it-IT"/>
        </w:rPr>
        <w:t> with recurrent optic neuritis and epilepsy].</w:t>
      </w:r>
    </w:p>
    <w:p>
      <w:pPr>
        <w:pStyle w:val="Normal"/>
        <w:shd w:fill="FFFFFF" w:val="clear"/>
        <w:spacing w:lineRule="auto" w:line="240" w:before="0" w:after="0"/>
        <w:rPr>
          <w:rFonts w:ascii="Arial" w:hAnsi="Arial" w:eastAsia="Times New Roman" w:cs="Arial"/>
          <w:color w:val="000000"/>
          <w:lang w:val="en-US" w:eastAsia="it-IT"/>
        </w:rPr>
      </w:pPr>
      <w:r>
        <w:rPr>
          <w:rFonts w:eastAsia="Times New Roman" w:cs="Arial" w:ascii="Arial" w:hAnsi="Arial"/>
          <w:color w:val="000000"/>
          <w:lang w:val="en-US" w:eastAsia="it-IT"/>
        </w:rPr>
        <w:t>[Article in Japanese]</w:t>
      </w:r>
    </w:p>
    <w:p>
      <w:pPr>
        <w:pStyle w:val="Normal"/>
        <w:shd w:fill="FFFFFF" w:val="clear"/>
        <w:spacing w:lineRule="auto" w:line="240" w:before="0" w:after="0"/>
        <w:rPr/>
      </w:pPr>
      <w:hyperlink r:id="rId3" w:tgtFrame="_blank">
        <w:r>
          <w:rPr>
            <w:rStyle w:val="Hyperlink"/>
            <w:rFonts w:eastAsia="Times New Roman" w:cs="Arial" w:ascii="Arial" w:hAnsi="Arial"/>
            <w:color w:val="660066"/>
            <w:u w:val="single"/>
            <w:lang w:val="en-US" w:eastAsia="it-IT"/>
          </w:rPr>
          <w:t>Motoyama R</w:t>
        </w:r>
      </w:hyperlink>
      <w:r>
        <w:rPr>
          <w:rFonts w:eastAsia="Times New Roman" w:cs="Arial" w:ascii="Arial" w:hAnsi="Arial"/>
          <w:color w:val="000000"/>
          <w:sz w:val="19"/>
          <w:szCs w:val="19"/>
          <w:vertAlign w:val="superscript"/>
          <w:lang w:val="en-US" w:eastAsia="it-IT"/>
        </w:rPr>
        <w:t>1</w:t>
      </w:r>
      <w:r>
        <w:rPr>
          <w:rFonts w:eastAsia="Times New Roman" w:cs="Arial" w:ascii="Arial" w:hAnsi="Arial"/>
          <w:color w:val="000000"/>
          <w:lang w:val="en-US" w:eastAsia="it-IT"/>
        </w:rPr>
        <w:t>, </w:t>
      </w:r>
      <w:hyperlink r:id="rId4" w:tgtFrame="_blank">
        <w:r>
          <w:rPr>
            <w:rStyle w:val="Hyperlink"/>
            <w:rFonts w:eastAsia="Times New Roman" w:cs="Arial" w:ascii="Arial" w:hAnsi="Arial"/>
            <w:color w:val="660066"/>
            <w:u w:val="single"/>
            <w:lang w:val="en-US" w:eastAsia="it-IT"/>
          </w:rPr>
          <w:t>Shiraishi K</w:t>
        </w:r>
      </w:hyperlink>
      <w:r>
        <w:rPr>
          <w:rFonts w:eastAsia="Times New Roman" w:cs="Arial" w:ascii="Arial" w:hAnsi="Arial"/>
          <w:color w:val="000000"/>
          <w:lang w:val="en-US" w:eastAsia="it-IT"/>
        </w:rPr>
        <w:t>, </w:t>
      </w:r>
      <w:hyperlink r:id="rId5" w:tgtFrame="_blank">
        <w:r>
          <w:rPr>
            <w:rStyle w:val="Hyperlink"/>
            <w:rFonts w:eastAsia="Times New Roman" w:cs="Arial" w:ascii="Arial" w:hAnsi="Arial"/>
            <w:color w:val="660066"/>
            <w:u w:val="single"/>
            <w:lang w:val="en-US" w:eastAsia="it-IT"/>
          </w:rPr>
          <w:t>Tanaka K</w:t>
        </w:r>
      </w:hyperlink>
      <w:r>
        <w:rPr>
          <w:rFonts w:eastAsia="Times New Roman" w:cs="Arial" w:ascii="Arial" w:hAnsi="Arial"/>
          <w:color w:val="000000"/>
          <w:lang w:val="en-US" w:eastAsia="it-IT"/>
        </w:rPr>
        <w:t>, </w:t>
      </w:r>
      <w:hyperlink r:id="rId6" w:tgtFrame="_blank">
        <w:r>
          <w:rPr>
            <w:rStyle w:val="Hyperlink"/>
            <w:rFonts w:eastAsia="Times New Roman" w:cs="Arial" w:ascii="Arial" w:hAnsi="Arial"/>
            <w:color w:val="660066"/>
            <w:u w:val="single"/>
            <w:lang w:val="en-US" w:eastAsia="it-IT"/>
          </w:rPr>
          <w:t>Kinoshita M</w:t>
        </w:r>
      </w:hyperlink>
      <w:r>
        <w:rPr>
          <w:rFonts w:eastAsia="Times New Roman" w:cs="Arial" w:ascii="Arial" w:hAnsi="Arial"/>
          <w:color w:val="000000"/>
          <w:lang w:val="en-US" w:eastAsia="it-IT"/>
        </w:rPr>
        <w:t>, </w:t>
      </w:r>
      <w:hyperlink r:id="rId7" w:tgtFrame="_blank">
        <w:r>
          <w:rPr>
            <w:rStyle w:val="Hyperlink"/>
            <w:rFonts w:eastAsia="Times New Roman" w:cs="Arial" w:ascii="Arial" w:hAnsi="Arial"/>
            <w:color w:val="660066"/>
            <w:u w:val="single"/>
            <w:lang w:val="en-US" w:eastAsia="it-IT"/>
          </w:rPr>
          <w:t>Tanaka M</w:t>
        </w:r>
      </w:hyperlink>
      <w:r>
        <w:rPr>
          <w:rFonts w:eastAsia="Times New Roman" w:cs="Arial" w:ascii="Arial" w:hAnsi="Arial"/>
          <w:color w:val="000000"/>
          <w:lang w:val="en-US" w:eastAsia="it-IT"/>
        </w:rPr>
        <w:t>.</w:t>
      </w:r>
    </w:p>
    <w:p>
      <w:pPr>
        <w:pStyle w:val="Normal"/>
        <w:numPr>
          <w:ilvl w:val="0"/>
          <w:numId w:val="0"/>
        </w:numPr>
        <w:shd w:fill="FFFFFF" w:val="clear"/>
        <w:spacing w:lineRule="auto" w:line="240" w:before="0" w:after="0"/>
        <w:outlineLvl w:val="2"/>
        <w:rPr>
          <w:rFonts w:ascii="Arial" w:hAnsi="Arial" w:eastAsia="Times New Roman" w:cs="Arial"/>
          <w:b/>
          <w:bCs/>
          <w:color w:val="724128"/>
          <w:sz w:val="24"/>
          <w:szCs w:val="24"/>
          <w:lang w:val="en-US" w:eastAsia="it-IT"/>
        </w:rPr>
      </w:pPr>
      <w:r>
        <w:rPr>
          <w:rFonts w:eastAsia="Times New Roman" w:cs="Arial" w:ascii="Arial" w:hAnsi="Arial"/>
          <w:b/>
          <w:bCs/>
          <w:color w:val="724128"/>
          <w:sz w:val="24"/>
          <w:szCs w:val="24"/>
          <w:lang w:val="en-US" w:eastAsia="it-IT"/>
        </w:rPr>
      </w:r>
    </w:p>
    <w:p>
      <w:pPr>
        <w:pStyle w:val="Normal"/>
        <w:numPr>
          <w:ilvl w:val="0"/>
          <w:numId w:val="0"/>
        </w:numPr>
        <w:shd w:fill="FFFFFF" w:val="clear"/>
        <w:spacing w:lineRule="auto" w:line="240" w:before="0" w:after="0"/>
        <w:outlineLvl w:val="2"/>
        <w:rPr>
          <w:rFonts w:ascii="Arial" w:hAnsi="Arial" w:eastAsia="Times New Roman" w:cs="Arial"/>
          <w:b/>
          <w:bCs/>
          <w:color w:val="985735"/>
          <w:sz w:val="24"/>
          <w:szCs w:val="24"/>
          <w:lang w:val="en-US" w:eastAsia="it-IT"/>
        </w:rPr>
      </w:pPr>
      <w:r>
        <w:rPr>
          <w:rFonts w:eastAsia="Times New Roman" w:cs="Arial" w:ascii="Arial" w:hAnsi="Arial"/>
          <w:b/>
          <w:bCs/>
          <w:color w:val="985735"/>
          <w:sz w:val="24"/>
          <w:szCs w:val="24"/>
          <w:lang w:val="en-US" w:eastAsia="it-IT"/>
        </w:rPr>
        <w:t>Abstract</w:t>
      </w:r>
    </w:p>
    <w:p>
      <w:pPr>
        <w:pStyle w:val="Normal"/>
        <w:shd w:fill="FFFFFF" w:val="clear"/>
        <w:spacing w:lineRule="atLeast" w:line="369" w:before="0" w:after="120"/>
        <w:rPr/>
      </w:pPr>
      <w:r>
        <w:rPr>
          <w:rFonts w:eastAsia="Times New Roman" w:cs="Arial" w:ascii="Arial" w:hAnsi="Arial"/>
          <w:color w:val="000000"/>
          <w:sz w:val="23"/>
          <w:szCs w:val="23"/>
          <w:lang w:val="en-US" w:eastAsia="it-IT"/>
        </w:rPr>
        <w:t>A previously healthy, 10-year-old girl developed left optic neuritis that treated with oral prednisolon (PSL). During the following 8 months, the patient exhibited right optic neuritis 3 days after discontinuation of PSL therapy and three episodes of epileptic seizures 3 weeks after PSL withdrawal Cerebrospinal fluid (CSF) examination revealed pleocytosis (mononuclear cells), increased IgG index, and positive oligoclonal IgG expression. Brain MRI showed multiple cortical, subcortical, and leptomeningeal enhanced lesions. However, spinal cord MRI revealed no lesions. Neither autoantibodies to nuclear, thyroid, alpha-enolase, glutamic acid decarboxylase, nor aquaporin 4 was detected. However, </w:t>
      </w:r>
      <w:r>
        <w:rPr>
          <w:rFonts w:eastAsia="Times New Roman" w:cs="Arial" w:ascii="Arial" w:hAnsi="Arial"/>
          <w:color w:val="000000"/>
          <w:sz w:val="23"/>
          <w:lang w:val="en-US" w:eastAsia="it-IT"/>
        </w:rPr>
        <w:t>anti</w:t>
      </w:r>
      <w:r>
        <w:rPr>
          <w:rFonts w:eastAsia="Times New Roman" w:cs="Arial" w:ascii="Arial" w:hAnsi="Arial"/>
          <w:color w:val="000000"/>
          <w:sz w:val="23"/>
          <w:szCs w:val="23"/>
          <w:lang w:val="en-US" w:eastAsia="it-IT"/>
        </w:rPr>
        <w:t>-</w:t>
      </w:r>
      <w:r>
        <w:rPr>
          <w:rFonts w:eastAsia="Times New Roman" w:cs="Arial" w:ascii="Arial" w:hAnsi="Arial"/>
          <w:color w:val="000000"/>
          <w:sz w:val="23"/>
          <w:lang w:val="en-US" w:eastAsia="it-IT"/>
        </w:rPr>
        <w:t>NMDA receptor</w:t>
      </w:r>
      <w:r>
        <w:rPr>
          <w:rFonts w:eastAsia="Times New Roman" w:cs="Arial" w:ascii="Arial" w:hAnsi="Arial"/>
          <w:color w:val="000000"/>
          <w:sz w:val="23"/>
          <w:szCs w:val="23"/>
          <w:lang w:val="en-US" w:eastAsia="it-IT"/>
        </w:rPr>
        <w:t> </w:t>
      </w:r>
      <w:r>
        <w:rPr>
          <w:rFonts w:eastAsia="Times New Roman" w:cs="Arial" w:ascii="Arial" w:hAnsi="Arial"/>
          <w:color w:val="000000"/>
          <w:sz w:val="23"/>
          <w:lang w:val="en-US" w:eastAsia="it-IT"/>
        </w:rPr>
        <w:t>antibodies</w:t>
      </w:r>
      <w:r>
        <w:rPr>
          <w:rFonts w:eastAsia="Times New Roman" w:cs="Arial" w:ascii="Arial" w:hAnsi="Arial"/>
          <w:color w:val="000000"/>
          <w:sz w:val="23"/>
          <w:szCs w:val="23"/>
          <w:lang w:val="en-US" w:eastAsia="it-IT"/>
        </w:rPr>
        <w:t> (</w:t>
      </w:r>
      <w:r>
        <w:rPr>
          <w:rFonts w:eastAsia="Times New Roman" w:cs="Arial" w:ascii="Arial" w:hAnsi="Arial"/>
          <w:color w:val="000000"/>
          <w:sz w:val="23"/>
          <w:lang w:val="en-US" w:eastAsia="it-IT"/>
        </w:rPr>
        <w:t>NMDAR</w:t>
      </w:r>
      <w:r>
        <w:rPr>
          <w:rFonts w:eastAsia="Times New Roman" w:cs="Arial" w:ascii="Arial" w:hAnsi="Arial"/>
          <w:color w:val="000000"/>
          <w:sz w:val="23"/>
          <w:szCs w:val="23"/>
          <w:lang w:val="en-US" w:eastAsia="it-IT"/>
        </w:rPr>
        <w:t>-Ab) were present in her CSF. This patient is the second reported case of </w:t>
      </w:r>
      <w:r>
        <w:rPr>
          <w:rFonts w:eastAsia="Times New Roman" w:cs="Arial" w:ascii="Arial" w:hAnsi="Arial"/>
          <w:color w:val="000000"/>
          <w:sz w:val="23"/>
          <w:lang w:val="en-US" w:eastAsia="it-IT"/>
        </w:rPr>
        <w:t>NMDAR</w:t>
      </w:r>
      <w:r>
        <w:rPr>
          <w:rFonts w:eastAsia="Times New Roman" w:cs="Arial" w:ascii="Arial" w:hAnsi="Arial"/>
          <w:color w:val="000000"/>
          <w:sz w:val="23"/>
          <w:szCs w:val="23"/>
          <w:lang w:val="en-US" w:eastAsia="it-IT"/>
        </w:rPr>
        <w:t>-related </w:t>
      </w:r>
      <w:r>
        <w:rPr>
          <w:rFonts w:eastAsia="Times New Roman" w:cs="Arial" w:ascii="Arial" w:hAnsi="Arial"/>
          <w:color w:val="000000"/>
          <w:sz w:val="23"/>
          <w:lang w:val="en-US" w:eastAsia="it-IT"/>
        </w:rPr>
        <w:t>encephalitis</w:t>
      </w:r>
      <w:r>
        <w:rPr>
          <w:rFonts w:eastAsia="Times New Roman" w:cs="Arial" w:ascii="Arial" w:hAnsi="Arial"/>
          <w:color w:val="000000"/>
          <w:sz w:val="23"/>
          <w:szCs w:val="23"/>
          <w:lang w:val="en-US" w:eastAsia="it-IT"/>
        </w:rPr>
        <w:t>with recurrent optic neuritis. The possibility of seronegative neuromyelitis optica (NMO) could not be ruled out for the symptom of recurrent optic neuritis. However, the presence of </w:t>
      </w:r>
      <w:r>
        <w:rPr>
          <w:rFonts w:eastAsia="Times New Roman" w:cs="Arial" w:ascii="Arial" w:hAnsi="Arial"/>
          <w:color w:val="000000"/>
          <w:sz w:val="23"/>
          <w:lang w:val="en-US" w:eastAsia="it-IT"/>
        </w:rPr>
        <w:t>NMDAR</w:t>
      </w:r>
      <w:r>
        <w:rPr>
          <w:rFonts w:eastAsia="Times New Roman" w:cs="Arial" w:ascii="Arial" w:hAnsi="Arial"/>
          <w:color w:val="000000"/>
          <w:sz w:val="23"/>
          <w:szCs w:val="23"/>
          <w:lang w:val="en-US" w:eastAsia="it-IT"/>
        </w:rPr>
        <w:t>-Ab in the CSF together with increased IgG index and oligoclonal IgG bands, which are usually negative in NMO suggested that this patient is </w:t>
      </w:r>
      <w:r>
        <w:rPr>
          <w:rFonts w:eastAsia="Times New Roman" w:cs="Arial" w:ascii="Arial" w:hAnsi="Arial"/>
          <w:color w:val="000000"/>
          <w:sz w:val="23"/>
          <w:lang w:val="en-US" w:eastAsia="it-IT"/>
        </w:rPr>
        <w:t>NMDAR</w:t>
      </w:r>
      <w:r>
        <w:rPr>
          <w:rFonts w:eastAsia="Times New Roman" w:cs="Arial" w:ascii="Arial" w:hAnsi="Arial"/>
          <w:color w:val="000000"/>
          <w:sz w:val="23"/>
          <w:szCs w:val="23"/>
          <w:lang w:val="en-US" w:eastAsia="it-IT"/>
        </w:rPr>
        <w:t>-related </w:t>
      </w:r>
      <w:r>
        <w:rPr>
          <w:rFonts w:eastAsia="Times New Roman" w:cs="Arial" w:ascii="Arial" w:hAnsi="Arial"/>
          <w:color w:val="000000"/>
          <w:sz w:val="23"/>
          <w:lang w:val="en-US" w:eastAsia="it-IT"/>
        </w:rPr>
        <w:t>encephalitis</w:t>
      </w:r>
      <w:r>
        <w:rPr>
          <w:rFonts w:eastAsia="Times New Roman" w:cs="Arial" w:ascii="Arial" w:hAnsi="Arial"/>
          <w:color w:val="000000"/>
          <w:sz w:val="23"/>
          <w:szCs w:val="23"/>
          <w:lang w:val="en-US" w:eastAsia="it-IT"/>
        </w:rPr>
        <w:t> combined with rare symptom of optic neuritis for this type of </w:t>
      </w:r>
      <w:r>
        <w:rPr>
          <w:rFonts w:eastAsia="Times New Roman" w:cs="Arial" w:ascii="Arial" w:hAnsi="Arial"/>
          <w:color w:val="000000"/>
          <w:sz w:val="23"/>
          <w:lang w:val="en-US" w:eastAsia="it-IT"/>
        </w:rPr>
        <w:t>encephalitis</w:t>
      </w:r>
      <w:r>
        <w:rPr>
          <w:rFonts w:eastAsia="Times New Roman" w:cs="Arial" w:ascii="Arial" w:hAnsi="Arial"/>
          <w:color w:val="000000"/>
          <w:sz w:val="23"/>
          <w:szCs w:val="23"/>
          <w:lang w:val="en-US" w:eastAsia="it-IT"/>
        </w:rPr>
        <w:t>, though we need to wait larger number of patients' accumulation to conclude that the optic neuritis could be one of the features of </w:t>
      </w:r>
      <w:r>
        <w:rPr>
          <w:rFonts w:eastAsia="Times New Roman" w:cs="Arial" w:ascii="Arial" w:hAnsi="Arial"/>
          <w:color w:val="000000"/>
          <w:sz w:val="23"/>
          <w:lang w:val="en-US" w:eastAsia="it-IT"/>
        </w:rPr>
        <w:t>NMDAR</w:t>
      </w:r>
      <w:r>
        <w:rPr>
          <w:rFonts w:eastAsia="Times New Roman" w:cs="Arial" w:ascii="Arial" w:hAnsi="Arial"/>
          <w:color w:val="000000"/>
          <w:sz w:val="23"/>
          <w:szCs w:val="23"/>
          <w:lang w:val="en-US" w:eastAsia="it-IT"/>
        </w:rPr>
        <w:t>-related </w:t>
      </w:r>
      <w:r>
        <w:rPr>
          <w:rFonts w:eastAsia="Times New Roman" w:cs="Arial" w:ascii="Arial" w:hAnsi="Arial"/>
          <w:color w:val="000000"/>
          <w:sz w:val="23"/>
          <w:lang w:val="en-US" w:eastAsia="it-IT"/>
        </w:rPr>
        <w:t>encephalitis</w:t>
      </w:r>
      <w:r>
        <w:rPr>
          <w:rFonts w:eastAsia="Times New Roman" w:cs="Arial" w:ascii="Arial" w:hAnsi="Arial"/>
          <w:color w:val="000000"/>
          <w:sz w:val="23"/>
          <w:szCs w:val="23"/>
          <w:lang w:val="en-US" w:eastAsia="it-IT"/>
        </w:rPr>
        <w:t>.</w:t>
      </w:r>
    </w:p>
    <w:p>
      <w:pPr>
        <w:pStyle w:val="Normal"/>
        <w:spacing w:before="0" w:after="200"/>
        <w:rPr>
          <w:rFonts w:ascii="Arial" w:hAnsi="Arial" w:eastAsia="Times New Roman" w:cs="Arial"/>
          <w:color w:val="000000"/>
          <w:sz w:val="23"/>
          <w:szCs w:val="23"/>
          <w:lang w:val="en-US" w:eastAsia="it-IT"/>
        </w:rPr>
      </w:pPr>
      <w:r>
        <w:rPr>
          <w:rFonts w:eastAsia="Times New Roman" w:cs="Arial" w:ascii="Arial" w:hAnsi="Arial"/>
          <w:color w:val="000000"/>
          <w:sz w:val="23"/>
          <w:szCs w:val="23"/>
          <w:lang w:val="en-US" w:eastAsia="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character" w:styleId="jrnl">
    <w:name w:val="jrnl"/>
    <w:basedOn w:val="Carpredefinitoparagrafo"/>
    <w:qFormat/>
    <w:rPr/>
  </w:style>
  <w:style w:type="character" w:styleId="Titolo1Carattere">
    <w:name w:val="Titolo 1 Carattere"/>
    <w:basedOn w:val="Carpredefinitoparagrafo"/>
    <w:qFormat/>
    <w:rPr>
      <w:rFonts w:ascii="Times New Roman" w:hAnsi="Times New Roman" w:eastAsia="Times New Roman" w:cs="Times New Roman"/>
      <w:b/>
      <w:bCs/>
      <w:kern w:val="2"/>
      <w:sz w:val="48"/>
      <w:szCs w:val="48"/>
    </w:rPr>
  </w:style>
  <w:style w:type="character" w:styleId="Titolo3Carattere">
    <w:name w:val="Titolo 3 Carattere"/>
    <w:basedOn w:val="Carpredefinitoparagrafo"/>
    <w:qFormat/>
    <w:rPr>
      <w:rFonts w:ascii="Times New Roman" w:hAnsi="Times New Roman" w:eastAsia="Times New Roman" w:cs="Times New Roman"/>
      <w:b/>
      <w:bCs/>
      <w:sz w:val="27"/>
      <w:szCs w:val="27"/>
    </w:rPr>
  </w:style>
  <w:style w:type="character" w:styleId="highlight">
    <w:name w:val="highlight"/>
    <w:basedOn w:val="Carpredefinitoparagrafo"/>
    <w:qFormat/>
    <w:rPr/>
  </w:style>
  <w:style w:type="character" w:styleId="ui-ncbitoggler-master-text">
    <w:name w:val="ui-ncbitoggler-master-text"/>
    <w:basedOn w:val="Carpredefinitoparagrafo"/>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qFormat/>
    <w:pPr>
      <w:spacing w:lineRule="auto" w:line="240" w:before="280" w:after="280"/>
    </w:pPr>
    <w:rPr>
      <w:rFonts w:ascii="Times New Roman" w:hAnsi="Times New Roman" w:eastAsia="Times New Roman" w:cs="Times New Roman"/>
      <w:sz w:val="24"/>
      <w:szCs w:val="24"/>
    </w:rPr>
  </w:style>
  <w:style w:type="paragraph" w:styleId="desc">
    <w:name w:val="desc"/>
    <w:basedOn w:val="Normal"/>
    <w:qFormat/>
    <w:pPr>
      <w:spacing w:lineRule="auto" w:line="240" w:before="280" w:after="280"/>
    </w:pPr>
    <w:rPr>
      <w:rFonts w:ascii="Times New Roman" w:hAnsi="Times New Roman" w:eastAsia="Times New Roman" w:cs="Times New Roman"/>
      <w:sz w:val="24"/>
      <w:szCs w:val="24"/>
    </w:rPr>
  </w:style>
  <w:style w:type="paragraph" w:styleId="details">
    <w:name w:val="details"/>
    <w:basedOn w:val="Normal"/>
    <w:qFormat/>
    <w:pPr>
      <w:spacing w:lineRule="auto" w:line="240" w:before="280" w:after="280"/>
    </w:pPr>
    <w:rPr>
      <w:rFonts w:ascii="Times New Roman" w:hAnsi="Times New Roman" w:eastAsia="Times New Roman" w:cs="Times New Roman"/>
      <w:sz w:val="24"/>
      <w:szCs w:val="24"/>
    </w:rPr>
  </w:style>
  <w:style w:type="paragraph" w:styleId="NormaleWeb">
    <w:name w:val="Normale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0803970" TargetMode="External"/><Relationship Id="rId3" Type="http://schemas.openxmlformats.org/officeDocument/2006/relationships/hyperlink" Target="http://www.ncbi.nlm.nih.gov/pubmed/20803970" TargetMode="External"/><Relationship Id="rId4" Type="http://schemas.openxmlformats.org/officeDocument/2006/relationships/hyperlink" Target="http://www.ncbi.nlm.nih.gov/pubmed/20803970" TargetMode="External"/><Relationship Id="rId5" Type="http://schemas.openxmlformats.org/officeDocument/2006/relationships/hyperlink" Target="http://www.ncbi.nlm.nih.gov/pubmed/20803970" TargetMode="External"/><Relationship Id="rId6" Type="http://schemas.openxmlformats.org/officeDocument/2006/relationships/hyperlink" Target="http://www.ncbi.nlm.nih.gov/pubmed/20803970" TargetMode="External"/><Relationship Id="rId7" Type="http://schemas.openxmlformats.org/officeDocument/2006/relationships/hyperlink" Target="http://www.ncbi.nlm.nih.gov/pubmed/20803970"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2018-06-07T13:34:00Z</dcterms:created>
  <dc:creator>Margherita Nosadini</dc:creator>
  <dc:description/>
  <dc:language>en-US</dc:language>
  <cp:lastModifiedBy>Margherita Nosadini</cp:lastModifiedBy>
  <dcterms:modified xsi:type="dcterms:W3CDTF">2018-06-07T13:35:00Z</dcterms:modified>
  <cp:revision>1</cp:revision>
  <dc:subject/>
  <dc:title/>
</cp:coreProperties>
</file>