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u w:val="single"/>
            <w:lang w:val="en-US" w:eastAsia="it-IT"/>
          </w:rPr>
          <w:t>Rev Neurol (Paris).</w:t>
        </w:r>
      </w:hyperlink>
      <w:r>
        <w:rPr>
          <w:rFonts w:eastAsia="Times New Roman" w:cs="Arial" w:ascii="Arial" w:hAnsi="Arial"/>
          <w:color w:val="000000"/>
          <w:sz w:val="20"/>
          <w:szCs w:val="20"/>
          <w:lang w:val="en-US" w:eastAsia="it-IT"/>
        </w:rPr>
        <w:t> 2009 Jan;165(1):70-5. doi: </w:t>
      </w:r>
      <w:hyperlink r:id="rId3" w:tgtFrame="_blank">
        <w:r>
          <w:rPr>
            <w:rStyle w:val="Hyperlink"/>
            <w:rFonts w:eastAsia="Times New Roman" w:cs="Arial" w:ascii="Arial" w:hAnsi="Arial"/>
            <w:color w:val="660066"/>
            <w:sz w:val="20"/>
            <w:u w:val="single"/>
            <w:lang w:val="en-US" w:eastAsia="it-IT"/>
          </w:rPr>
          <w:t>10.1016/j.neurol.2008.07.020</w:t>
        </w:r>
      </w:hyperlink>
      <w:r>
        <w:rPr>
          <w:rFonts w:eastAsia="Times New Roman" w:cs="Arial" w:ascii="Arial" w:hAnsi="Arial"/>
          <w:color w:val="000000"/>
          <w:sz w:val="20"/>
          <w:szCs w:val="20"/>
          <w:lang w:val="en-US" w:eastAsia="it-IT"/>
        </w:rPr>
        <w:t>. Epub 2008 Sep 21.</w:t>
      </w:r>
    </w:p>
    <w:p>
      <w:pPr>
        <w:pStyle w:val="Normal"/>
        <w:numPr>
          <w:ilvl w:val="0"/>
          <w:numId w:val="0"/>
        </w:numPr>
        <w:shd w:fill="FFFFFF" w:val="clear"/>
        <w:spacing w:lineRule="atLeast" w:line="300" w:before="120" w:after="120"/>
        <w:outlineLvl w:val="0"/>
        <w:rPr/>
      </w:pPr>
      <w:r>
        <w:rPr>
          <w:rFonts w:eastAsia="Times New Roman" w:cs="Arial" w:ascii="Arial" w:hAnsi="Arial"/>
          <w:b/>
          <w:bCs/>
          <w:color w:val="000000"/>
          <w:kern w:val="2"/>
          <w:sz w:val="34"/>
          <w:szCs w:val="34"/>
          <w:lang w:val="en-US" w:eastAsia="it-IT"/>
        </w:rPr>
        <w:t>[Autoimmune limbic </w:t>
      </w:r>
      <w:r>
        <w:rPr>
          <w:rFonts w:eastAsia="Times New Roman" w:cs="Arial" w:ascii="Arial" w:hAnsi="Arial"/>
          <w:b/>
          <w:bCs/>
          <w:color w:val="000000"/>
          <w:kern w:val="2"/>
          <w:sz w:val="34"/>
          <w:lang w:val="en-US" w:eastAsia="it-IT"/>
        </w:rPr>
        <w:t>encephalitis</w:t>
      </w:r>
      <w:r>
        <w:rPr>
          <w:rFonts w:eastAsia="Times New Roman" w:cs="Arial" w:ascii="Arial" w:hAnsi="Arial"/>
          <w:b/>
          <w:bCs/>
          <w:color w:val="000000"/>
          <w:kern w:val="2"/>
          <w:sz w:val="34"/>
          <w:szCs w:val="34"/>
          <w:lang w:val="en-US" w:eastAsia="it-IT"/>
        </w:rPr>
        <w:t> with </w:t>
      </w:r>
      <w:r>
        <w:rPr>
          <w:rFonts w:eastAsia="Times New Roman" w:cs="Arial" w:ascii="Arial" w:hAnsi="Arial"/>
          <w:b/>
          <w:bCs/>
          <w:color w:val="000000"/>
          <w:kern w:val="2"/>
          <w:sz w:val="34"/>
          <w:lang w:val="en-US" w:eastAsia="it-IT"/>
        </w:rPr>
        <w:t>anti</w:t>
      </w:r>
      <w:r>
        <w:rPr>
          <w:rFonts w:eastAsia="Times New Roman" w:cs="Arial" w:ascii="Arial" w:hAnsi="Arial"/>
          <w:b/>
          <w:bCs/>
          <w:color w:val="000000"/>
          <w:kern w:val="2"/>
          <w:sz w:val="34"/>
          <w:szCs w:val="34"/>
          <w:lang w:val="en-US" w:eastAsia="it-IT"/>
        </w:rPr>
        <w:t>-</w:t>
      </w:r>
      <w:r>
        <w:rPr>
          <w:rFonts w:eastAsia="Times New Roman" w:cs="Arial" w:ascii="Arial" w:hAnsi="Arial"/>
          <w:b/>
          <w:bCs/>
          <w:color w:val="000000"/>
          <w:kern w:val="2"/>
          <w:sz w:val="34"/>
          <w:lang w:val="en-US" w:eastAsia="it-IT"/>
        </w:rPr>
        <w:t>NMDA receptor</w:t>
      </w:r>
      <w:r>
        <w:rPr>
          <w:rFonts w:eastAsia="Times New Roman" w:cs="Arial" w:ascii="Arial" w:hAnsi="Arial"/>
          <w:b/>
          <w:bCs/>
          <w:color w:val="000000"/>
          <w:kern w:val="2"/>
          <w:sz w:val="34"/>
          <w:szCs w:val="34"/>
          <w:lang w:val="en-US" w:eastAsia="it-IT"/>
        </w:rPr>
        <w:t> </w:t>
      </w:r>
      <w:r>
        <w:rPr>
          <w:rFonts w:eastAsia="Times New Roman" w:cs="Arial" w:ascii="Arial" w:hAnsi="Arial"/>
          <w:b/>
          <w:bCs/>
          <w:color w:val="000000"/>
          <w:kern w:val="2"/>
          <w:sz w:val="34"/>
          <w:lang w:val="en-US" w:eastAsia="it-IT"/>
        </w:rPr>
        <w:t>antibodies</w:t>
      </w:r>
      <w:r>
        <w:rPr>
          <w:rFonts w:eastAsia="Times New Roman" w:cs="Arial" w:ascii="Arial" w:hAnsi="Arial"/>
          <w:b/>
          <w:bCs/>
          <w:color w:val="000000"/>
          <w:kern w:val="2"/>
          <w:sz w:val="34"/>
          <w:szCs w:val="34"/>
          <w:lang w:val="en-US" w:eastAsia="it-IT"/>
        </w:rPr>
        <w:t> and ovarian teratoma: a treatable form of paraneoplastic limbic </w:t>
      </w:r>
      <w:r>
        <w:rPr>
          <w:rFonts w:eastAsia="Times New Roman" w:cs="Arial" w:ascii="Arial" w:hAnsi="Arial"/>
          <w:b/>
          <w:bCs/>
          <w:color w:val="000000"/>
          <w:kern w:val="2"/>
          <w:sz w:val="34"/>
          <w:lang w:val="en-US" w:eastAsia="it-IT"/>
        </w:rPr>
        <w:t>encephalitis</w:t>
      </w:r>
      <w:r>
        <w:rPr>
          <w:rFonts w:eastAsia="Times New Roman" w:cs="Arial" w:ascii="Arial" w:hAnsi="Arial"/>
          <w:b/>
          <w:bCs/>
          <w:color w:val="000000"/>
          <w:kern w:val="2"/>
          <w:sz w:val="34"/>
          <w:szCs w:val="34"/>
          <w:lang w:val="en-US" w:eastAsia="it-IT"/>
        </w:rPr>
        <w:t>].</w:t>
      </w:r>
    </w:p>
    <w:p>
      <w:pPr>
        <w:pStyle w:val="Normal"/>
        <w:shd w:fill="FFFFFF" w:val="clear"/>
        <w:spacing w:lineRule="auto" w:line="240" w:before="0" w:after="0"/>
        <w:rPr>
          <w:rFonts w:ascii="Arial" w:hAnsi="Arial" w:eastAsia="Times New Roman" w:cs="Arial"/>
          <w:color w:val="000000"/>
          <w:lang w:val="en-US" w:eastAsia="it-IT"/>
        </w:rPr>
      </w:pPr>
      <w:r>
        <w:rPr>
          <w:rFonts w:eastAsia="Times New Roman" w:cs="Arial" w:ascii="Arial" w:hAnsi="Arial"/>
          <w:color w:val="000000"/>
          <w:lang w:val="en-US" w:eastAsia="it-IT"/>
        </w:rPr>
        <w:t>[Article in French]</w:t>
      </w:r>
    </w:p>
    <w:p>
      <w:pPr>
        <w:pStyle w:val="Normal"/>
        <w:shd w:fill="FFFFFF" w:val="clear"/>
        <w:spacing w:lineRule="auto" w:line="240" w:before="0" w:after="0"/>
        <w:rPr/>
      </w:pPr>
      <w:hyperlink r:id="rId4" w:tgtFrame="_blank">
        <w:r>
          <w:rPr>
            <w:rStyle w:val="Hyperlink"/>
            <w:rFonts w:eastAsia="Times New Roman" w:cs="Arial" w:ascii="Arial" w:hAnsi="Arial"/>
            <w:color w:val="660066"/>
            <w:u w:val="single"/>
            <w:lang w:val="en-US" w:eastAsia="it-IT"/>
          </w:rPr>
          <w:t>Henry C</w:t>
        </w:r>
      </w:hyperlink>
      <w:r>
        <w:rPr>
          <w:rFonts w:eastAsia="Times New Roman" w:cs="Arial" w:ascii="Arial" w:hAnsi="Arial"/>
          <w:color w:val="000000"/>
          <w:sz w:val="19"/>
          <w:szCs w:val="19"/>
          <w:vertAlign w:val="superscript"/>
          <w:lang w:val="en-US" w:eastAsia="it-IT"/>
        </w:rPr>
        <w:t>1</w:t>
      </w:r>
      <w:r>
        <w:rPr>
          <w:rFonts w:eastAsia="Times New Roman" w:cs="Arial" w:ascii="Arial" w:hAnsi="Arial"/>
          <w:color w:val="000000"/>
          <w:lang w:val="en-US" w:eastAsia="it-IT"/>
        </w:rPr>
        <w:t>, </w:t>
      </w:r>
      <w:hyperlink r:id="rId5" w:tgtFrame="_blank">
        <w:r>
          <w:rPr>
            <w:rStyle w:val="Hyperlink"/>
            <w:rFonts w:eastAsia="Times New Roman" w:cs="Arial" w:ascii="Arial" w:hAnsi="Arial"/>
            <w:color w:val="660066"/>
            <w:u w:val="single"/>
            <w:lang w:val="en-US" w:eastAsia="it-IT"/>
          </w:rPr>
          <w:t>Husson H</w:t>
        </w:r>
      </w:hyperlink>
      <w:r>
        <w:rPr>
          <w:rFonts w:eastAsia="Times New Roman" w:cs="Arial" w:ascii="Arial" w:hAnsi="Arial"/>
          <w:color w:val="000000"/>
          <w:lang w:val="en-US" w:eastAsia="it-IT"/>
        </w:rPr>
        <w:t>, </w:t>
      </w:r>
      <w:hyperlink r:id="rId6" w:tgtFrame="_blank">
        <w:r>
          <w:rPr>
            <w:rStyle w:val="Hyperlink"/>
            <w:rFonts w:eastAsia="Times New Roman" w:cs="Arial" w:ascii="Arial" w:hAnsi="Arial"/>
            <w:color w:val="660066"/>
            <w:u w:val="single"/>
            <w:lang w:val="en-US" w:eastAsia="it-IT"/>
          </w:rPr>
          <w:t>de Broucker T</w:t>
        </w:r>
      </w:hyperlink>
      <w:r>
        <w:rPr>
          <w:rFonts w:eastAsia="Times New Roman" w:cs="Arial" w:ascii="Arial" w:hAnsi="Arial"/>
          <w:color w:val="000000"/>
          <w:lang w:val="en-US"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sz w:val="24"/>
          <w:szCs w:val="24"/>
          <w:lang w:val="en-US" w:eastAsia="it-IT"/>
        </w:rPr>
      </w:pPr>
      <w:hyperlink r:id="rId7">
        <w:r>
          <w:rPr>
            <w:rStyle w:val="Hyperlink"/>
            <w:rFonts w:eastAsia="Times New Roman" w:cs="Arial" w:ascii="Arial" w:hAnsi="Arial"/>
            <w:b/>
            <w:bCs/>
            <w:color w:val="660066"/>
            <w:sz w:val="23"/>
            <w:u w:val="single"/>
            <w:lang w:val="en-US" w:eastAsia="it-IT"/>
          </w:rPr>
          <w:t>Author information</w:t>
        </w:r>
      </w:hyperlink>
    </w:p>
    <w:p>
      <w:pPr>
        <w:pStyle w:val="Normal"/>
        <w:numPr>
          <w:ilvl w:val="0"/>
          <w:numId w:val="0"/>
        </w:numPr>
        <w:shd w:fill="FFFFFF" w:val="clear"/>
        <w:spacing w:lineRule="auto" w:line="240" w:before="0" w:after="0"/>
        <w:outlineLvl w:val="2"/>
        <w:rPr>
          <w:rFonts w:ascii="Arial" w:hAnsi="Arial" w:eastAsia="Times New Roman" w:cs="Arial"/>
          <w:b/>
          <w:bCs/>
          <w:color w:val="985735"/>
          <w:sz w:val="24"/>
          <w:szCs w:val="24"/>
          <w:lang w:val="en-US" w:eastAsia="it-IT"/>
        </w:rPr>
      </w:pPr>
      <w:r>
        <w:rPr>
          <w:rFonts w:eastAsia="Times New Roman" w:cs="Arial" w:ascii="Arial" w:hAnsi="Arial"/>
          <w:b/>
          <w:bCs/>
          <w:color w:val="985735"/>
          <w:sz w:val="24"/>
          <w:szCs w:val="24"/>
          <w:lang w:val="en-US" w:eastAsia="it-IT"/>
        </w:rPr>
        <w:t>Abstract</w:t>
      </w:r>
    </w:p>
    <w:p>
      <w:pPr>
        <w:pStyle w:val="Normal"/>
        <w:numPr>
          <w:ilvl w:val="0"/>
          <w:numId w:val="0"/>
        </w:numPr>
        <w:shd w:fill="FFFFFF" w:val="clear"/>
        <w:spacing w:lineRule="atLeast" w:line="369" w:before="0" w:after="0"/>
        <w:ind w:end="60"/>
        <w:outlineLvl w:val="3"/>
        <w:rPr>
          <w:rFonts w:ascii="Arial" w:hAnsi="Arial" w:eastAsia="Times New Roman" w:cs="Arial"/>
          <w:b/>
          <w:bCs/>
          <w:caps/>
          <w:color w:val="000000"/>
          <w:lang w:val="en-US" w:eastAsia="it-IT"/>
        </w:rPr>
      </w:pPr>
      <w:r>
        <w:rPr>
          <w:rFonts w:eastAsia="Times New Roman" w:cs="Arial" w:ascii="Arial" w:hAnsi="Arial"/>
          <w:b/>
          <w:bCs/>
          <w:caps/>
          <w:color w:val="000000"/>
          <w:lang w:val="en-US" w:eastAsia="it-IT"/>
        </w:rPr>
        <w:t>INTRODUCTION:</w:t>
      </w:r>
    </w:p>
    <w:p>
      <w:pPr>
        <w:pStyle w:val="Normal"/>
        <w:shd w:fill="FFFFFF" w:val="clear"/>
        <w:spacing w:lineRule="atLeast" w:line="369" w:before="0" w:after="120"/>
        <w:rPr/>
      </w:pPr>
      <w:r>
        <w:rPr>
          <w:rFonts w:eastAsia="Times New Roman" w:cs="Arial" w:ascii="Arial" w:hAnsi="Arial"/>
          <w:color w:val="000000"/>
          <w:sz w:val="23"/>
          <w:szCs w:val="23"/>
          <w:lang w:val="en-US" w:eastAsia="it-IT"/>
        </w:rPr>
        <w:t>The first French-language case of limbic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 due to </w:t>
      </w:r>
      <w:r>
        <w:rPr>
          <w:rFonts w:eastAsia="Times New Roman" w:cs="Arial" w:ascii="Arial" w:hAnsi="Arial"/>
          <w:color w:val="000000"/>
          <w:sz w:val="23"/>
          <w:lang w:val="en-US" w:eastAsia="it-IT"/>
        </w:rPr>
        <w:t>anti-N-methyl-D-aspartate</w:t>
      </w:r>
      <w:r>
        <w:rPr>
          <w:rFonts w:eastAsia="Times New Roman" w:cs="Arial" w:ascii="Arial" w:hAnsi="Arial"/>
          <w:color w:val="000000"/>
          <w:sz w:val="23"/>
          <w:szCs w:val="23"/>
          <w:lang w:val="en-US" w:eastAsia="it-IT"/>
        </w:rPr>
        <w:t> </w:t>
      </w:r>
      <w:r>
        <w:rPr>
          <w:rFonts w:eastAsia="Times New Roman" w:cs="Arial" w:ascii="Arial" w:hAnsi="Arial"/>
          <w:color w:val="000000"/>
          <w:sz w:val="23"/>
          <w:lang w:val="en-US" w:eastAsia="it-IT"/>
        </w:rPr>
        <w:t>receptor</w:t>
      </w:r>
      <w:r>
        <w:rPr>
          <w:rFonts w:eastAsia="Times New Roman" w:cs="Arial" w:ascii="Arial" w:hAnsi="Arial"/>
          <w:color w:val="000000"/>
          <w:sz w:val="23"/>
          <w:szCs w:val="23"/>
          <w:lang w:val="en-US" w:eastAsia="it-IT"/>
        </w:rPr>
        <w:t> to glutamate (</w:t>
      </w:r>
      <w:r>
        <w:rPr>
          <w:rFonts w:eastAsia="Times New Roman" w:cs="Arial" w:ascii="Arial" w:hAnsi="Arial"/>
          <w:color w:val="000000"/>
          <w:sz w:val="23"/>
          <w:lang w:val="en-US" w:eastAsia="it-IT"/>
        </w:rPr>
        <w:t>NMDA</w:t>
      </w:r>
      <w:r>
        <w:rPr>
          <w:rFonts w:eastAsia="Times New Roman" w:cs="Arial" w:ascii="Arial" w:hAnsi="Arial"/>
          <w:color w:val="000000"/>
          <w:sz w:val="23"/>
          <w:szCs w:val="23"/>
          <w:lang w:val="en-US" w:eastAsia="it-IT"/>
        </w:rPr>
        <w:t>-R) </w:t>
      </w:r>
      <w:r>
        <w:rPr>
          <w:rFonts w:eastAsia="Times New Roman" w:cs="Arial" w:ascii="Arial" w:hAnsi="Arial"/>
          <w:color w:val="000000"/>
          <w:sz w:val="23"/>
          <w:lang w:val="en-US" w:eastAsia="it-IT"/>
        </w:rPr>
        <w:t>antibodies</w:t>
      </w:r>
      <w:r>
        <w:rPr>
          <w:rFonts w:eastAsia="Times New Roman" w:cs="Arial" w:ascii="Arial" w:hAnsi="Arial"/>
          <w:color w:val="000000"/>
          <w:sz w:val="23"/>
          <w:szCs w:val="23"/>
          <w:lang w:val="en-US" w:eastAsia="it-IT"/>
        </w:rPr>
        <w:t> associated with an ovarian teratoma is reported.</w:t>
      </w:r>
    </w:p>
    <w:p>
      <w:pPr>
        <w:pStyle w:val="Normal"/>
        <w:numPr>
          <w:ilvl w:val="0"/>
          <w:numId w:val="0"/>
        </w:numPr>
        <w:shd w:fill="FFFFFF" w:val="clear"/>
        <w:spacing w:lineRule="atLeast" w:line="369" w:before="0" w:after="0"/>
        <w:ind w:end="60"/>
        <w:outlineLvl w:val="3"/>
        <w:rPr>
          <w:rFonts w:ascii="Arial" w:hAnsi="Arial" w:eastAsia="Times New Roman" w:cs="Arial"/>
          <w:b/>
          <w:bCs/>
          <w:caps/>
          <w:color w:val="000000"/>
          <w:lang w:val="en-US" w:eastAsia="it-IT"/>
        </w:rPr>
      </w:pPr>
      <w:r>
        <w:rPr>
          <w:rFonts w:eastAsia="Times New Roman" w:cs="Arial" w:ascii="Arial" w:hAnsi="Arial"/>
          <w:b/>
          <w:bCs/>
          <w:caps/>
          <w:color w:val="000000"/>
          <w:lang w:val="en-US" w:eastAsia="it-IT"/>
        </w:rPr>
        <w:t>CLINICAL CASE:</w:t>
      </w:r>
    </w:p>
    <w:p>
      <w:pPr>
        <w:pStyle w:val="Normal"/>
        <w:shd w:fill="FFFFFF" w:val="clear"/>
        <w:spacing w:lineRule="atLeast" w:line="369" w:before="0" w:after="120"/>
        <w:rPr/>
      </w:pPr>
      <w:r>
        <w:rPr>
          <w:rFonts w:eastAsia="Times New Roman" w:cs="Arial" w:ascii="Arial" w:hAnsi="Arial"/>
          <w:color w:val="000000"/>
          <w:sz w:val="23"/>
          <w:szCs w:val="23"/>
          <w:lang w:val="en-US" w:eastAsia="it-IT"/>
        </w:rPr>
        <w:t>A 35-year-old woman presented with a subacute severe anterograde memory deficit, psychiatric disturbances and generalized seizures associated with an ovarian teratoma. No abnormality was noticed on the two successive MRI. The cerebrospinal fluid showed mild lymphocytosis and elevation of protein concentration. The search for classical onconeuronal </w:t>
      </w:r>
      <w:r>
        <w:rPr>
          <w:rFonts w:eastAsia="Times New Roman" w:cs="Arial" w:ascii="Arial" w:hAnsi="Arial"/>
          <w:color w:val="000000"/>
          <w:sz w:val="23"/>
          <w:lang w:val="en-US" w:eastAsia="it-IT"/>
        </w:rPr>
        <w:t>antibodies</w:t>
      </w:r>
      <w:r>
        <w:rPr>
          <w:rFonts w:eastAsia="Times New Roman" w:cs="Arial" w:ascii="Arial" w:hAnsi="Arial"/>
          <w:color w:val="000000"/>
          <w:sz w:val="23"/>
          <w:szCs w:val="23"/>
          <w:lang w:val="en-US" w:eastAsia="it-IT"/>
        </w:rPr>
        <w:t> in the serum was negative. Total body computed tomographic scan disclosed a five centimeter long ovarian cyst. Pathology found an ovarian teratoma containing a small immature neuroepithelial component. Complete tumor resection associated with high doses of intravenous methylprednisolone and intravenous polyvalent </w:t>
      </w:r>
      <w:r>
        <w:rPr>
          <w:rFonts w:eastAsia="Times New Roman" w:cs="Arial" w:ascii="Arial" w:hAnsi="Arial"/>
          <w:color w:val="000000"/>
          <w:sz w:val="23"/>
          <w:lang w:val="en-US" w:eastAsia="it-IT"/>
        </w:rPr>
        <w:t>immunoglobulins</w:t>
      </w:r>
      <w:r>
        <w:rPr>
          <w:rFonts w:eastAsia="Times New Roman" w:cs="Arial" w:ascii="Arial" w:hAnsi="Arial"/>
          <w:color w:val="000000"/>
          <w:sz w:val="23"/>
          <w:szCs w:val="23"/>
          <w:lang w:val="en-US" w:eastAsia="it-IT"/>
        </w:rPr>
        <w:t> allowed her clinical state to improve as soon as three days after surgery. Full recovery was noted four months later. Serum </w:t>
      </w:r>
      <w:r>
        <w:rPr>
          <w:rFonts w:eastAsia="Times New Roman" w:cs="Arial" w:ascii="Arial" w:hAnsi="Arial"/>
          <w:color w:val="000000"/>
          <w:sz w:val="23"/>
          <w:lang w:val="en-US" w:eastAsia="it-IT"/>
        </w:rPr>
        <w:t>anti</w:t>
      </w:r>
      <w:r>
        <w:rPr>
          <w:rFonts w:eastAsia="Times New Roman" w:cs="Arial" w:ascii="Arial" w:hAnsi="Arial"/>
          <w:color w:val="000000"/>
          <w:sz w:val="23"/>
          <w:szCs w:val="23"/>
          <w:lang w:val="en-US" w:eastAsia="it-IT"/>
        </w:rPr>
        <w:t>-</w:t>
      </w:r>
      <w:r>
        <w:rPr>
          <w:rFonts w:eastAsia="Times New Roman" w:cs="Arial" w:ascii="Arial" w:hAnsi="Arial"/>
          <w:color w:val="000000"/>
          <w:sz w:val="23"/>
          <w:lang w:val="en-US" w:eastAsia="it-IT"/>
        </w:rPr>
        <w:t>NMDA</w:t>
      </w:r>
      <w:r>
        <w:rPr>
          <w:rFonts w:eastAsia="Times New Roman" w:cs="Arial" w:ascii="Arial" w:hAnsi="Arial"/>
          <w:color w:val="000000"/>
          <w:sz w:val="23"/>
          <w:szCs w:val="23"/>
          <w:lang w:val="en-US" w:eastAsia="it-IT"/>
        </w:rPr>
        <w:t>-R </w:t>
      </w:r>
      <w:r>
        <w:rPr>
          <w:rFonts w:eastAsia="Times New Roman" w:cs="Arial" w:ascii="Arial" w:hAnsi="Arial"/>
          <w:color w:val="000000"/>
          <w:sz w:val="23"/>
          <w:lang w:val="en-US" w:eastAsia="it-IT"/>
        </w:rPr>
        <w:t>antibodies</w:t>
      </w:r>
      <w:r>
        <w:rPr>
          <w:rFonts w:eastAsia="Times New Roman" w:cs="Arial" w:ascii="Arial" w:hAnsi="Arial"/>
          <w:color w:val="000000"/>
          <w:sz w:val="23"/>
          <w:szCs w:val="23"/>
          <w:lang w:val="en-US" w:eastAsia="it-IT"/>
        </w:rPr>
        <w:t> were positive.</w:t>
      </w:r>
    </w:p>
    <w:p>
      <w:pPr>
        <w:pStyle w:val="Normal"/>
        <w:numPr>
          <w:ilvl w:val="0"/>
          <w:numId w:val="0"/>
        </w:numPr>
        <w:shd w:fill="FFFFFF" w:val="clear"/>
        <w:spacing w:lineRule="atLeast" w:line="369" w:before="0" w:after="0"/>
        <w:ind w:end="60"/>
        <w:outlineLvl w:val="3"/>
        <w:rPr>
          <w:rFonts w:ascii="Arial" w:hAnsi="Arial" w:eastAsia="Times New Roman" w:cs="Arial"/>
          <w:b/>
          <w:bCs/>
          <w:caps/>
          <w:color w:val="000000"/>
          <w:lang w:val="en-US" w:eastAsia="it-IT"/>
        </w:rPr>
      </w:pPr>
      <w:r>
        <w:rPr>
          <w:rFonts w:eastAsia="Times New Roman" w:cs="Arial" w:ascii="Arial" w:hAnsi="Arial"/>
          <w:b/>
          <w:bCs/>
          <w:caps/>
          <w:color w:val="000000"/>
          <w:lang w:val="en-US" w:eastAsia="it-IT"/>
        </w:rPr>
        <w:t>CONCLUSION:</w:t>
      </w:r>
    </w:p>
    <w:p>
      <w:pPr>
        <w:pStyle w:val="Normal"/>
        <w:shd w:fill="FFFFFF" w:val="clear"/>
        <w:spacing w:lineRule="atLeast" w:line="369" w:before="0" w:after="120"/>
        <w:rPr/>
      </w:pPr>
      <w:r>
        <w:rPr>
          <w:rFonts w:eastAsia="Times New Roman" w:cs="Arial" w:ascii="Arial" w:hAnsi="Arial"/>
          <w:color w:val="000000"/>
          <w:sz w:val="23"/>
          <w:szCs w:val="23"/>
          <w:lang w:val="en-US" w:eastAsia="it-IT"/>
        </w:rPr>
        <w:t>Owing to the recent description of the association between </w:t>
      </w:r>
      <w:r>
        <w:rPr>
          <w:rFonts w:eastAsia="Times New Roman" w:cs="Arial" w:ascii="Arial" w:hAnsi="Arial"/>
          <w:color w:val="000000"/>
          <w:sz w:val="23"/>
          <w:lang w:val="en-US" w:eastAsia="it-IT"/>
        </w:rPr>
        <w:t>anti</w:t>
      </w:r>
      <w:r>
        <w:rPr>
          <w:rFonts w:eastAsia="Times New Roman" w:cs="Arial" w:ascii="Arial" w:hAnsi="Arial"/>
          <w:color w:val="000000"/>
          <w:sz w:val="23"/>
          <w:szCs w:val="23"/>
          <w:lang w:val="en-US" w:eastAsia="it-IT"/>
        </w:rPr>
        <w:t>-</w:t>
      </w:r>
      <w:r>
        <w:rPr>
          <w:rFonts w:eastAsia="Times New Roman" w:cs="Arial" w:ascii="Arial" w:hAnsi="Arial"/>
          <w:color w:val="000000"/>
          <w:sz w:val="23"/>
          <w:lang w:val="en-US" w:eastAsia="it-IT"/>
        </w:rPr>
        <w:t>NMDA</w:t>
      </w:r>
      <w:r>
        <w:rPr>
          <w:rFonts w:eastAsia="Times New Roman" w:cs="Arial" w:ascii="Arial" w:hAnsi="Arial"/>
          <w:color w:val="000000"/>
          <w:sz w:val="23"/>
          <w:szCs w:val="23"/>
          <w:lang w:val="en-US" w:eastAsia="it-IT"/>
        </w:rPr>
        <w:t>-R and limbic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 and the frequent good prognosis reported in the available series and case reports, it is important to search for this association in the not so rare cases of limbic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 when no other cause is disclosed.</w:t>
      </w:r>
    </w:p>
    <w:p>
      <w:pPr>
        <w:pStyle w:val="Normal"/>
        <w:spacing w:before="0" w:after="200"/>
        <w:rPr>
          <w:rFonts w:ascii="Arial" w:hAnsi="Arial" w:eastAsia="Times New Roman" w:cs="Arial"/>
          <w:color w:val="000000"/>
          <w:sz w:val="23"/>
          <w:szCs w:val="23"/>
          <w:lang w:val="en-US" w:eastAsia="it-IT"/>
        </w:rPr>
      </w:pPr>
      <w:r>
        <w:rPr>
          <w:rFonts w:eastAsia="Times New Roman" w:cs="Arial" w:ascii="Arial" w:hAnsi="Arial"/>
          <w:color w:val="000000"/>
          <w:sz w:val="23"/>
          <w:szCs w:val="23"/>
          <w:lang w:val="en-US"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next w:val="BodyText"/>
    <w:qFormat/>
    <w:pPr>
      <w:numPr>
        <w:ilvl w:val="3"/>
        <w:numId w:val="1"/>
      </w:numPr>
      <w:spacing w:lineRule="auto" w:line="240" w:before="280" w:after="280"/>
      <w:outlineLvl w:val="3"/>
    </w:pPr>
    <w:rPr>
      <w:rFonts w:ascii="Times New Roman" w:hAnsi="Times New Roman" w:eastAsia="Times New Roman" w:cs="Times New Roman"/>
      <w:b/>
      <w:bCs/>
      <w:sz w:val="24"/>
      <w:szCs w:val="24"/>
    </w:rPr>
  </w:style>
  <w:style w:type="character" w:styleId="Carpredefinitoparagrafo">
    <w:name w:val="Car. predefinito 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3Carattere">
    <w:name w:val="Titolo 3 Carattere"/>
    <w:basedOn w:val="Carpredefinitoparagrafo"/>
    <w:qFormat/>
    <w:rPr>
      <w:rFonts w:ascii="Times New Roman" w:hAnsi="Times New Roman" w:eastAsia="Times New Roman" w:cs="Times New Roman"/>
      <w:b/>
      <w:bCs/>
      <w:sz w:val="27"/>
      <w:szCs w:val="27"/>
    </w:rPr>
  </w:style>
  <w:style w:type="character" w:styleId="Titolo4Carattere">
    <w:name w:val="Titolo 4 Carattere"/>
    <w:basedOn w:val="Carpredefinitoparagrafo"/>
    <w:qFormat/>
    <w:rPr>
      <w:rFonts w:ascii="Times New Roman" w:hAnsi="Times New Roman" w:eastAsia="Times New Roman" w:cs="Times New Roman"/>
      <w:b/>
      <w:bCs/>
      <w:sz w:val="24"/>
      <w:szCs w:val="24"/>
    </w:rPr>
  </w:style>
  <w:style w:type="character" w:styleId="Hyperlink">
    <w:name w:val="Hyperlink"/>
    <w:basedOn w:val="Carpredefinitoparagrafo"/>
    <w:rPr>
      <w:color w:val="0000FF"/>
      <w:u w:val="single"/>
    </w:rPr>
  </w:style>
  <w:style w:type="character" w:styleId="highlight">
    <w:name w:val="highlight"/>
    <w:basedOn w:val="Carpredefinitoparagrafo"/>
    <w:qFormat/>
    <w:rPr/>
  </w:style>
  <w:style w:type="character" w:styleId="ui-ncbitoggler-master-text">
    <w:name w:val="ui-ncbitoggler-master-text"/>
    <w:basedOn w:val="Carpredefinito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18809188" TargetMode="External"/><Relationship Id="rId3" Type="http://schemas.openxmlformats.org/officeDocument/2006/relationships/hyperlink" Target="http://dx.doi.org/10.1016/j.neurol.2008.07.020" TargetMode="External"/><Relationship Id="rId4" Type="http://schemas.openxmlformats.org/officeDocument/2006/relationships/hyperlink" Target="http://www.ncbi.nlm.nih.gov/pubmed/18809188" TargetMode="External"/><Relationship Id="rId5" Type="http://schemas.openxmlformats.org/officeDocument/2006/relationships/hyperlink" Target="http://www.ncbi.nlm.nih.gov/pubmed/18809188" TargetMode="External"/><Relationship Id="rId6" Type="http://schemas.openxmlformats.org/officeDocument/2006/relationships/hyperlink" Target="http://www.ncbi.nlm.nih.gov/pubmed/18809188" TargetMode="External"/><Relationship Id="rId7" Type="http://schemas.openxmlformats.org/officeDocument/2006/relationships/hyperlink" Target="https://www.ncbi.nlm.nih.gov/pubmed/18809188"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2018-05-15T07:15:00Z</dcterms:created>
  <dc:creator>Margherita Nosadini</dc:creator>
  <dc:description/>
  <dc:language>en-US</dc:language>
  <cp:lastModifiedBy>Margherita Nosadini</cp:lastModifiedBy>
  <dcterms:modified xsi:type="dcterms:W3CDTF">2018-05-15T07:16:00Z</dcterms:modified>
  <cp:revision>1</cp:revision>
  <dc:subject/>
  <dc:title/>
</cp:coreProperties>
</file>