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Table e-1. Immune suppressive or modifying drugs used before rituximab or at any time in the patients illness.</w:t>
      </w:r>
    </w:p>
    <w:p>
      <w:pPr>
        <w:pStyle w:val="Normal"/>
        <w:rPr>
          <w:lang w:val="en-AU"/>
        </w:rPr>
      </w:pPr>
      <w:r>
        <w:rPr>
          <w:lang w:val="en-AU"/>
        </w:rPr>
      </w:r>
    </w:p>
    <w:p>
      <w:pPr>
        <w:pStyle w:val="Normal"/>
        <w:rPr>
          <w:lang w:val="en-AU"/>
        </w:rPr>
      </w:pPr>
      <w:r>
        <w:rPr>
          <w:lang w:val="en-AU"/>
        </w:rPr>
      </w:r>
    </w:p>
    <w:tbl>
      <w:tblPr>
        <w:tblW w:w="7763" w:type="dxa"/>
        <w:jc w:val="start"/>
        <w:tblInd w:w="0" w:type="dxa"/>
        <w:tblLayout w:type="fixed"/>
        <w:tblCellMar>
          <w:top w:w="0" w:type="dxa"/>
          <w:start w:w="108" w:type="dxa"/>
          <w:bottom w:w="0" w:type="dxa"/>
          <w:end w:w="108" w:type="dxa"/>
        </w:tblCellMar>
      </w:tblPr>
      <w:tblGrid>
        <w:gridCol w:w="3369"/>
        <w:gridCol w:w="2308"/>
        <w:gridCol w:w="2086"/>
      </w:tblGrid>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Drug or intervention</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Before Rituximab</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At any time</w:t>
            </w:r>
          </w:p>
          <w:p>
            <w:pPr>
              <w:pStyle w:val="Normal"/>
              <w:rPr/>
            </w:pPr>
            <w:r>
              <w:rPr/>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Corticosteroids</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138</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138</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IVIG</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104</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106</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Cyclophosphamide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43</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58</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Plasma exchange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21</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22</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Mycophenolate mofetil</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15</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27</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Azathioprine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13</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19</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Tumour removal</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8</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14</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Hydroxychloroquine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5</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7</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Beta interferon</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4</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4</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Glatirimer acetate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2</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3</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Methotrexate</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2</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2</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Infliximab</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2</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2</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Natulizumab</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1</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4</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Fingolimod</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0</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Hemispherectomy</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0</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2</w:t>
            </w:r>
          </w:p>
        </w:tc>
      </w:tr>
      <w:tr>
        <w:trPr/>
        <w:tc>
          <w:tcPr>
            <w:tcW w:w="3369" w:type="dxa"/>
            <w:tcBorders>
              <w:top w:val="single" w:sz="4" w:space="0" w:color="000000"/>
              <w:start w:val="single" w:sz="4" w:space="0" w:color="000000"/>
              <w:bottom w:val="single" w:sz="4" w:space="0" w:color="000000"/>
              <w:end w:val="single" w:sz="4" w:space="0" w:color="000000"/>
            </w:tcBorders>
          </w:tcPr>
          <w:p>
            <w:pPr>
              <w:pStyle w:val="Normal"/>
              <w:rPr/>
            </w:pPr>
            <w:r>
              <w:rPr/>
              <w:t>Ofatumumab</w:t>
            </w:r>
          </w:p>
        </w:tc>
        <w:tc>
          <w:tcPr>
            <w:tcW w:w="2308" w:type="dxa"/>
            <w:tcBorders>
              <w:top w:val="single" w:sz="4" w:space="0" w:color="000000"/>
              <w:start w:val="single" w:sz="4" w:space="0" w:color="000000"/>
              <w:bottom w:val="single" w:sz="4" w:space="0" w:color="000000"/>
              <w:end w:val="single" w:sz="4" w:space="0" w:color="000000"/>
            </w:tcBorders>
          </w:tcPr>
          <w:p>
            <w:pPr>
              <w:pStyle w:val="Normal"/>
              <w:rPr/>
            </w:pPr>
            <w:r>
              <w:rPr/>
              <w:t>0</w:t>
            </w:r>
          </w:p>
        </w:tc>
        <w:tc>
          <w:tcPr>
            <w:tcW w:w="2086" w:type="dxa"/>
            <w:tcBorders>
              <w:top w:val="single" w:sz="4" w:space="0" w:color="000000"/>
              <w:start w:val="single" w:sz="4" w:space="0" w:color="000000"/>
              <w:bottom w:val="single" w:sz="4" w:space="0" w:color="000000"/>
              <w:end w:val="single" w:sz="4" w:space="0" w:color="000000"/>
            </w:tcBorders>
          </w:tcPr>
          <w:p>
            <w:pPr>
              <w:pStyle w:val="Normal"/>
              <w:rPr/>
            </w:pPr>
            <w:r>
              <w:rPr/>
              <w:t>1</w:t>
            </w:r>
          </w:p>
        </w:tc>
      </w:tr>
    </w:tbl>
    <w:p>
      <w:pPr>
        <w:pStyle w:val="Normal"/>
        <w:rPr/>
      </w:pPr>
      <w:r>
        <w:rPr/>
      </w:r>
    </w:p>
    <w:p>
      <w:pPr>
        <w:pStyle w:val="Normal"/>
        <w:rPr/>
      </w:pPr>
      <w:r>
        <w:rPr/>
      </w:r>
      <w:r>
        <w:br w:type="page"/>
      </w:r>
    </w:p>
    <w:p>
      <w:pPr>
        <w:pStyle w:val="Normal"/>
        <w:rPr/>
      </w:pPr>
      <w:r>
        <w:rPr>
          <w:rFonts w:cs="Cambria"/>
        </w:rPr>
        <w:t xml:space="preserve"> </w:t>
      </w:r>
      <w:r>
        <w:rPr/>
        <w:t xml:space="preserve">Table e-2. Dosage regimens employed were variable, as outlined below. </w:t>
      </w:r>
    </w:p>
    <w:p>
      <w:pPr>
        <w:pStyle w:val="Normal"/>
        <w:rPr/>
      </w:pPr>
      <w:r>
        <w:rPr/>
      </w:r>
    </w:p>
    <w:tbl>
      <w:tblPr>
        <w:tblW w:w="8516" w:type="dxa"/>
        <w:jc w:val="start"/>
        <w:tblInd w:w="0" w:type="dxa"/>
        <w:tblLayout w:type="fixed"/>
        <w:tblCellMar>
          <w:top w:w="0" w:type="dxa"/>
          <w:start w:w="108" w:type="dxa"/>
          <w:bottom w:w="0" w:type="dxa"/>
          <w:end w:w="108" w:type="dxa"/>
        </w:tblCellMar>
      </w:tblPr>
      <w:tblGrid>
        <w:gridCol w:w="4258"/>
        <w:gridCol w:w="4258"/>
      </w:tblGrid>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Dosage of rituximab</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Number</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375mg/m</w:t>
            </w:r>
            <w:r>
              <w:rPr>
                <w:vertAlign w:val="superscript"/>
              </w:rPr>
              <w:t>2</w:t>
            </w:r>
            <w:r>
              <w:rPr/>
              <w:t xml:space="preserve"> weekly, 4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57</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500mg/m</w:t>
            </w:r>
            <w:r>
              <w:rPr>
                <w:vertAlign w:val="superscript"/>
              </w:rPr>
              <w:t>2</w:t>
            </w:r>
            <w:r>
              <w:rPr/>
              <w:t xml:space="preserve"> fortnightly, 2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32</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750mg/m</w:t>
            </w:r>
            <w:r>
              <w:rPr>
                <w:vertAlign w:val="superscript"/>
              </w:rPr>
              <w:t>2</w:t>
            </w:r>
            <w:r>
              <w:rPr/>
              <w:t xml:space="preserve"> fortnightly, 2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25*</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1000mg fortnightly, 2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8</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375mg/m</w:t>
            </w:r>
            <w:r>
              <w:rPr>
                <w:vertAlign w:val="superscript"/>
              </w:rPr>
              <w:t>2</w:t>
            </w:r>
            <w:r>
              <w:rPr/>
              <w:t xml:space="preserve"> fortnightly, 2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7</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375mg/m</w:t>
            </w:r>
            <w:r>
              <w:rPr>
                <w:vertAlign w:val="superscript"/>
              </w:rPr>
              <w:t>2</w:t>
            </w:r>
            <w:r>
              <w:rPr/>
              <w:t xml:space="preserve"> weekly, 3 doses</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5</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Other</w:t>
            </w:r>
          </w:p>
        </w:tc>
        <w:tc>
          <w:tcPr>
            <w:tcW w:w="4258" w:type="dxa"/>
            <w:tcBorders>
              <w:top w:val="single" w:sz="4" w:space="0" w:color="000000"/>
              <w:start w:val="single" w:sz="4" w:space="0" w:color="000000"/>
              <w:bottom w:val="single" w:sz="4" w:space="0" w:color="000000"/>
              <w:end w:val="single" w:sz="4" w:space="0" w:color="000000"/>
            </w:tcBorders>
          </w:tcPr>
          <w:p>
            <w:pPr>
              <w:pStyle w:val="Normal"/>
              <w:rPr/>
            </w:pPr>
            <w:r>
              <w:rPr/>
              <w:t>10</w:t>
            </w:r>
          </w:p>
        </w:tc>
      </w:tr>
      <w:tr>
        <w:trPr/>
        <w:tc>
          <w:tcPr>
            <w:tcW w:w="4258"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4258"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t>*In 13, the protocol used concomitant cyclophosphamide</w:t>
      </w:r>
      <w:r>
        <w:br w:type="page"/>
      </w:r>
    </w:p>
    <w:p>
      <w:pPr>
        <w:pStyle w:val="Normal"/>
        <w:rPr/>
      </w:pPr>
      <w:r>
        <w:rPr/>
        <w:t xml:space="preserve">Table e-3. </w:t>
      </w:r>
    </w:p>
    <w:p>
      <w:pPr>
        <w:pStyle w:val="Normal"/>
        <w:rPr/>
      </w:pPr>
      <w:r>
        <w:rPr/>
        <w:t xml:space="preserve">Comparison between early and late rituximab treatment groups for four main diseases. </w:t>
      </w:r>
    </w:p>
    <w:p>
      <w:pPr>
        <w:pStyle w:val="Normal"/>
        <w:rPr/>
      </w:pPr>
      <w:r>
        <w:rPr/>
      </w:r>
    </w:p>
    <w:tbl>
      <w:tblPr>
        <w:tblW w:w="8516" w:type="dxa"/>
        <w:jc w:val="start"/>
        <w:tblInd w:w="0" w:type="dxa"/>
        <w:tblLayout w:type="fixed"/>
        <w:tblCellMar>
          <w:top w:w="0" w:type="dxa"/>
          <w:start w:w="108" w:type="dxa"/>
          <w:bottom w:w="0" w:type="dxa"/>
          <w:end w:w="108" w:type="dxa"/>
        </w:tblCellMar>
      </w:tblPr>
      <w:tblGrid>
        <w:gridCol w:w="1287"/>
        <w:gridCol w:w="1087"/>
        <w:gridCol w:w="552"/>
        <w:gridCol w:w="725"/>
        <w:gridCol w:w="1085"/>
        <w:gridCol w:w="1045"/>
        <w:gridCol w:w="917"/>
        <w:gridCol w:w="823"/>
        <w:gridCol w:w="995"/>
      </w:tblGrid>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Disease subgroups separated into early or late (yr)</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Median duration disease at RTX initiation (yr)</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No.</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Cyclo at any stage</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Median mRS at RTX initiation</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Median mRS at outcome</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Δ</w:t>
            </w:r>
          </w:p>
          <w:p>
            <w:pPr>
              <w:pStyle w:val="Normal"/>
              <w:jc w:val="center"/>
              <w:rPr>
                <w:sz w:val="22"/>
                <w:szCs w:val="22"/>
              </w:rPr>
            </w:pPr>
            <w:r>
              <w:rPr>
                <w:sz w:val="22"/>
                <w:szCs w:val="22"/>
              </w:rPr>
              <w:t>Median mRS</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Δ</w:t>
            </w:r>
          </w:p>
          <w:p>
            <w:pPr>
              <w:pStyle w:val="Normal"/>
              <w:jc w:val="center"/>
              <w:rPr>
                <w:sz w:val="22"/>
                <w:szCs w:val="22"/>
              </w:rPr>
            </w:pPr>
            <w:r>
              <w:rPr>
                <w:sz w:val="22"/>
                <w:szCs w:val="22"/>
              </w:rPr>
              <w:t>mRS 0-2</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Median length of follow-up post RTX (yr)</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NMDAR</w:t>
            </w:r>
          </w:p>
          <w:p>
            <w:pPr>
              <w:pStyle w:val="Normal"/>
              <w:jc w:val="center"/>
              <w:rPr>
                <w:sz w:val="22"/>
                <w:szCs w:val="22"/>
              </w:rPr>
            </w:pPr>
            <w:r>
              <w:rPr>
                <w:sz w:val="22"/>
                <w:szCs w:val="22"/>
              </w:rPr>
              <w:t>Early (</w:t>
            </w:r>
            <w:r>
              <w:rPr>
                <w:rFonts w:eastAsia="Symbol" w:cs="Symbol" w:ascii="Symbol" w:hAnsi="Symbol"/>
                <w:sz w:val="22"/>
                <w:szCs w:val="22"/>
              </w:rPr>
              <w:sym w:font="Symbol" w:char="f0a3"/>
            </w:r>
            <w:r>
              <w:rPr>
                <w:sz w:val="22"/>
                <w:szCs w:val="22"/>
              </w:rPr>
              <w:t>0.1)</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0.1</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25</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4</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4</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84%</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1.0</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NMDAR</w:t>
            </w:r>
          </w:p>
          <w:p>
            <w:pPr>
              <w:pStyle w:val="Normal"/>
              <w:jc w:val="center"/>
              <w:rPr>
                <w:sz w:val="22"/>
                <w:szCs w:val="22"/>
              </w:rPr>
            </w:pPr>
            <w:r>
              <w:rPr>
                <w:sz w:val="22"/>
                <w:szCs w:val="22"/>
              </w:rPr>
              <w:t>Late</w:t>
            </w:r>
          </w:p>
          <w:p>
            <w:pPr>
              <w:pStyle w:val="Normal"/>
              <w:jc w:val="center"/>
              <w:rPr>
                <w:sz w:val="22"/>
                <w:szCs w:val="22"/>
              </w:rPr>
            </w:pPr>
            <w:r>
              <w:rPr>
                <w:sz w:val="22"/>
                <w:szCs w:val="22"/>
              </w:rPr>
              <w:t>(</w:t>
            </w:r>
            <w:r>
              <w:rPr>
                <w:rFonts w:eastAsia="Symbol" w:cs="Symbol" w:ascii="Symbol" w:hAnsi="Symbol"/>
                <w:sz w:val="22"/>
                <w:szCs w:val="22"/>
              </w:rPr>
              <w:sym w:font="Symbol" w:char="f03e"/>
            </w:r>
            <w:r>
              <w:rPr>
                <w:sz w:val="22"/>
                <w:szCs w:val="22"/>
              </w:rPr>
              <w:t>0.1)</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0.4</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14</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7</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5</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57%</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2.0</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55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7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82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OMAS</w:t>
            </w:r>
          </w:p>
          <w:p>
            <w:pPr>
              <w:pStyle w:val="Normal"/>
              <w:jc w:val="center"/>
              <w:rPr>
                <w:sz w:val="22"/>
                <w:szCs w:val="22"/>
              </w:rPr>
            </w:pPr>
            <w:r>
              <w:rPr>
                <w:sz w:val="22"/>
                <w:szCs w:val="22"/>
              </w:rPr>
              <w:t>Early (</w:t>
            </w:r>
            <w:r>
              <w:rPr>
                <w:rFonts w:eastAsia="Symbol" w:cs="Symbol" w:ascii="Symbol" w:hAnsi="Symbol"/>
                <w:sz w:val="22"/>
                <w:szCs w:val="22"/>
              </w:rPr>
              <w:sym w:font="Symbol" w:char="f0a3"/>
            </w:r>
            <w:r>
              <w:rPr>
                <w:sz w:val="22"/>
                <w:szCs w:val="22"/>
              </w:rPr>
              <w:t>1.05)</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0.43</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16</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6</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93%</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2.25</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OMAS</w:t>
            </w:r>
          </w:p>
          <w:p>
            <w:pPr>
              <w:pStyle w:val="Normal"/>
              <w:jc w:val="center"/>
              <w:rPr>
                <w:sz w:val="22"/>
                <w:szCs w:val="22"/>
              </w:rPr>
            </w:pPr>
            <w:r>
              <w:rPr>
                <w:sz w:val="22"/>
                <w:szCs w:val="22"/>
              </w:rPr>
              <w:t>Late (&gt;1.05)</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1.85</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16</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6</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62.5%</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2.95</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55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7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82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NMOSD</w:t>
            </w:r>
          </w:p>
          <w:p>
            <w:pPr>
              <w:pStyle w:val="Normal"/>
              <w:jc w:val="center"/>
              <w:rPr>
                <w:sz w:val="22"/>
                <w:szCs w:val="22"/>
              </w:rPr>
            </w:pPr>
            <w:r>
              <w:rPr>
                <w:sz w:val="22"/>
                <w:szCs w:val="22"/>
              </w:rPr>
              <w:t>Early (</w:t>
            </w:r>
            <w:r>
              <w:rPr>
                <w:rFonts w:eastAsia="Symbol" w:cs="Symbol" w:ascii="Symbol" w:hAnsi="Symbol"/>
                <w:sz w:val="22"/>
                <w:szCs w:val="22"/>
              </w:rPr>
              <w:sym w:font="Symbol" w:char="f0a3"/>
            </w:r>
            <w:r>
              <w:rPr>
                <w:sz w:val="22"/>
                <w:szCs w:val="22"/>
              </w:rPr>
              <w:t>0.77)</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0.28</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10</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30%</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1.1</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NMOSD</w:t>
            </w:r>
          </w:p>
          <w:p>
            <w:pPr>
              <w:pStyle w:val="Normal"/>
              <w:jc w:val="center"/>
              <w:rPr>
                <w:sz w:val="22"/>
                <w:szCs w:val="22"/>
              </w:rPr>
            </w:pPr>
            <w:r>
              <w:rPr>
                <w:sz w:val="22"/>
                <w:szCs w:val="22"/>
              </w:rPr>
              <w:t>Late (</w:t>
            </w:r>
            <w:r>
              <w:rPr>
                <w:rFonts w:eastAsia="Symbol" w:cs="Symbol" w:ascii="Symbol" w:hAnsi="Symbol"/>
                <w:sz w:val="22"/>
                <w:szCs w:val="22"/>
              </w:rPr>
              <w:sym w:font="Symbol" w:char="f03e"/>
            </w:r>
            <w:r>
              <w:rPr>
                <w:sz w:val="22"/>
                <w:szCs w:val="22"/>
              </w:rPr>
              <w:t>0.77)</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10</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5</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1.5</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1.5</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30%</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552"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72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8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104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1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823"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c>
          <w:tcPr>
            <w:tcW w:w="995"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sz w:val="22"/>
                <w:szCs w:val="22"/>
              </w:rPr>
            </w:pPr>
            <w:r>
              <w:rPr>
                <w:sz w:val="22"/>
                <w:szCs w:val="22"/>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NPSLE</w:t>
            </w:r>
          </w:p>
          <w:p>
            <w:pPr>
              <w:pStyle w:val="Normal"/>
              <w:jc w:val="center"/>
              <w:rPr>
                <w:sz w:val="22"/>
                <w:szCs w:val="22"/>
              </w:rPr>
            </w:pPr>
            <w:r>
              <w:rPr>
                <w:sz w:val="22"/>
                <w:szCs w:val="22"/>
              </w:rPr>
              <w:t>Early (≤0.25)</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0.1</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9</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9</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4</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78%</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1.0</w:t>
            </w:r>
          </w:p>
        </w:tc>
      </w:tr>
      <w:tr>
        <w:trPr>
          <w:trHeight w:val="70" w:hRule="atLeast"/>
        </w:trPr>
        <w:tc>
          <w:tcPr>
            <w:tcW w:w="12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NPSLE</w:t>
            </w:r>
          </w:p>
          <w:p>
            <w:pPr>
              <w:pStyle w:val="Normal"/>
              <w:jc w:val="center"/>
              <w:rPr>
                <w:sz w:val="22"/>
                <w:szCs w:val="22"/>
              </w:rPr>
            </w:pPr>
            <w:r>
              <w:rPr>
                <w:sz w:val="22"/>
                <w:szCs w:val="22"/>
              </w:rPr>
              <w:t>Late (&gt;0.25)</w:t>
            </w:r>
          </w:p>
        </w:tc>
        <w:tc>
          <w:tcPr>
            <w:tcW w:w="108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3.4</w:t>
            </w:r>
          </w:p>
        </w:tc>
        <w:tc>
          <w:tcPr>
            <w:tcW w:w="552"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9</w:t>
            </w:r>
          </w:p>
        </w:tc>
        <w:tc>
          <w:tcPr>
            <w:tcW w:w="72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6</w:t>
            </w:r>
          </w:p>
        </w:tc>
        <w:tc>
          <w:tcPr>
            <w:tcW w:w="108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2</w:t>
            </w:r>
          </w:p>
        </w:tc>
        <w:tc>
          <w:tcPr>
            <w:tcW w:w="104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917"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1</w:t>
            </w:r>
          </w:p>
        </w:tc>
        <w:tc>
          <w:tcPr>
            <w:tcW w:w="823"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44%</w:t>
            </w:r>
          </w:p>
        </w:tc>
        <w:tc>
          <w:tcPr>
            <w:tcW w:w="995" w:type="dxa"/>
            <w:tcBorders>
              <w:top w:val="single" w:sz="4" w:space="0" w:color="000000"/>
              <w:start w:val="single" w:sz="4" w:space="0" w:color="000000"/>
              <w:bottom w:val="single" w:sz="4" w:space="0" w:color="000000"/>
              <w:end w:val="single" w:sz="4" w:space="0" w:color="000000"/>
            </w:tcBorders>
          </w:tcPr>
          <w:p>
            <w:pPr>
              <w:pStyle w:val="Normal"/>
              <w:jc w:val="center"/>
              <w:rPr>
                <w:sz w:val="22"/>
                <w:szCs w:val="22"/>
              </w:rPr>
            </w:pPr>
            <w:r>
              <w:rPr>
                <w:sz w:val="22"/>
                <w:szCs w:val="22"/>
              </w:rPr>
              <w:t>3.0</w:t>
            </w:r>
          </w:p>
        </w:tc>
      </w:tr>
      <w:tr>
        <w:trPr/>
        <w:tc>
          <w:tcPr>
            <w:tcW w:w="1287"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1087"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552"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725"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1085"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1045"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917"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823"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c>
          <w:tcPr>
            <w:tcW w:w="995" w:type="dxa"/>
            <w:tcBorders>
              <w:top w:val="single" w:sz="4" w:space="0" w:color="000000"/>
              <w:start w:val="single" w:sz="4" w:space="0" w:color="000000"/>
              <w:bottom w:val="single" w:sz="4" w:space="0" w:color="000000"/>
              <w:end w:val="single" w:sz="4" w:space="0" w:color="000000"/>
            </w:tcBorders>
          </w:tcPr>
          <w:p>
            <w:pPr>
              <w:pStyle w:val="Normal"/>
              <w:snapToGrid w:val="false"/>
              <w:rPr>
                <w:sz w:val="22"/>
                <w:szCs w:val="22"/>
              </w:rPr>
            </w:pPr>
            <w:r>
              <w:rPr>
                <w:sz w:val="22"/>
                <w:szCs w:val="22"/>
              </w:rPr>
            </w:r>
          </w:p>
        </w:tc>
      </w:tr>
    </w:tbl>
    <w:p>
      <w:pPr>
        <w:pStyle w:val="Normal"/>
        <w:rPr>
          <w:sz w:val="22"/>
          <w:szCs w:val="22"/>
        </w:rPr>
      </w:pPr>
      <w:r>
        <w:rPr>
          <w:sz w:val="22"/>
          <w:szCs w:val="22"/>
        </w:rPr>
      </w:r>
    </w:p>
    <w:p>
      <w:pPr>
        <w:pStyle w:val="Normal"/>
        <w:rPr/>
      </w:pPr>
      <w:r>
        <w:rPr/>
        <w:t>The median time of disease at rituximab administration was calculated for the four main diseases (NMDAR encephalitis, OMAS, NMOSD, NPSLE). We divided patients according to the median disease duration at the time of rituximab initiation into early (</w:t>
      </w:r>
      <w:r>
        <w:rPr>
          <w:rFonts w:eastAsia="Symbol" w:cs="Symbol" w:ascii="Symbol" w:hAnsi="Symbol"/>
        </w:rPr>
        <w:sym w:font="Symbol" w:char="f0a3"/>
      </w:r>
      <w:r>
        <w:rPr/>
        <w:t>median) and late (</w:t>
      </w:r>
      <w:r>
        <w:rPr>
          <w:rFonts w:eastAsia="Symbol" w:cs="Symbol" w:ascii="Symbol" w:hAnsi="Symbol"/>
        </w:rPr>
        <w:sym w:font="Symbol" w:char="f03e"/>
      </w:r>
      <w:r>
        <w:rPr/>
        <w:t xml:space="preserve">median) in the four main subgroups. Many of the NMDAR encephalitis patients were given rituximab at 0.1 year of disease, hence the asymmetry of group sizes. Δ mRS mean is the difference in mean mRS between initiation of rituximab and the mean mRS at outcome. </w:t>
      </w:r>
      <w:r>
        <w:rPr>
          <w:sz w:val="22"/>
          <w:szCs w:val="22"/>
        </w:rPr>
        <w:t>Δ mRS 0-2 is the difference between the percentage of patients with mRS 0-2 at outcome compared to rituximab (RTX) initiation.</w:t>
      </w:r>
    </w:p>
    <w:p>
      <w:pPr>
        <w:pStyle w:val="Normal"/>
        <w:rPr/>
      </w:pPr>
      <w:r>
        <w:rPr>
          <w:sz w:val="22"/>
          <w:szCs w:val="22"/>
        </w:rPr>
        <w:t>Cyclo: cyclophosphamide, mRS: modified Rankin scale, NMDAR: NMDAR encephalitis, NMOSD: neuromyelitis optica spectrum disorders, NPSLE: Neuropsychiatric systemic lupus erythematosus, OMAS: opsoclonus myoclonus ataxia syndrome, RTX: Rituximab.</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Lucida Grande">
    <w:charset w:val="00" w:characterSet="windows-125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50"/>
  <w:trackRevisions/>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mbria" w:hAnsi="Cambria" w:eastAsia="Cambria" w:cs="Times New Roman"/>
      <w:color w:val="auto"/>
      <w:sz w:val="24"/>
      <w:szCs w:val="24"/>
      <w:lang w:val="en-US" w:bidi="ar-SA" w:eastAsia="zh-CN"/>
    </w:rPr>
  </w:style>
  <w:style w:type="character" w:styleId="DefaultParagraphFont">
    <w:name w:val="Default Paragraph Font"/>
    <w:qFormat/>
    <w:rPr/>
  </w:style>
  <w:style w:type="character" w:styleId="CommentReference">
    <w:name w:val="Comment Reference"/>
    <w:qFormat/>
    <w:rPr>
      <w:sz w:val="18"/>
      <w:szCs w:val="18"/>
    </w:rPr>
  </w:style>
  <w:style w:type="character" w:styleId="CommentTextChar">
    <w:name w:val="Comment Text Char"/>
    <w:basedOn w:val="DefaultParagraphFont"/>
    <w:qFormat/>
    <w:rPr/>
  </w:style>
  <w:style w:type="character" w:styleId="CommentSubjectChar">
    <w:name w:val="Comment Subject Char"/>
    <w:qFormat/>
    <w:rPr>
      <w:b/>
      <w:bCs/>
      <w:sz w:val="20"/>
      <w:szCs w:val="20"/>
    </w:rPr>
  </w:style>
  <w:style w:type="character" w:styleId="BalloonTextChar">
    <w:name w:val="Balloon Text Char"/>
    <w:qFormat/>
    <w:rPr>
      <w:rFonts w:ascii="Lucida Grande" w:hAnsi="Lucida Grande" w:cs="Lucida Grande"/>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14C419F5</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2016-01-20T06:50:00Z</dcterms:created>
  <dc:creator>Russell Dale</dc:creator>
  <dc:description/>
  <dc:language>en-US</dc:language>
  <cp:lastModifiedBy>Library Lab</cp:lastModifiedBy>
  <dcterms:modified xsi:type="dcterms:W3CDTF">2016-01-20T06:50:00Z</dcterms:modified>
  <cp:revision>2</cp:revision>
  <dc:subject/>
  <dc:title/>
</cp:coreProperties>
</file>