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page" w:leftFromText="180" w:rightFromText="180" w:tblpX="1189" w:tblpY="1990"/>
        <w:tblW w:w="14159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59"/>
        <w:gridCol w:w="794"/>
        <w:gridCol w:w="733"/>
        <w:gridCol w:w="874"/>
        <w:gridCol w:w="1070"/>
        <w:gridCol w:w="1290"/>
        <w:gridCol w:w="1415"/>
        <w:gridCol w:w="1292"/>
        <w:gridCol w:w="1220"/>
        <w:gridCol w:w="860"/>
        <w:gridCol w:w="1150"/>
        <w:gridCol w:w="1419"/>
        <w:gridCol w:w="1283"/>
      </w:tblGrid>
      <w:tr>
        <w:trPr>
          <w:trHeight w:val="1783" w:hRule="atLeast"/>
        </w:trPr>
        <w:tc>
          <w:tcPr>
            <w:tcW w:w="7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Case number</w:t>
            </w:r>
          </w:p>
        </w:tc>
        <w:tc>
          <w:tcPr>
            <w:tcW w:w="79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Hospital Cluster</w:t>
            </w:r>
          </w:p>
        </w:tc>
        <w:tc>
          <w:tcPr>
            <w:tcW w:w="73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8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Ethnicity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Age of presentation (years)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Antecedent infections</w:t>
            </w:r>
          </w:p>
        </w:tc>
        <w:tc>
          <w:tcPr>
            <w:tcW w:w="14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Presenting symptom</w:t>
            </w:r>
          </w:p>
        </w:tc>
        <w:tc>
          <w:tcPr>
            <w:tcW w:w="129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Abnormal (psychiatric) behavior or cognitive dysfunction</w:t>
            </w:r>
          </w:p>
        </w:tc>
        <w:tc>
          <w:tcPr>
            <w:tcW w:w="12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Speech dysfunction</w:t>
            </w:r>
          </w:p>
        </w:tc>
        <w:tc>
          <w:tcPr>
            <w:tcW w:w="8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Seizures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Movement disorder, dyskinesia, or rigidity / abnormal postures</w:t>
            </w:r>
          </w:p>
        </w:tc>
        <w:tc>
          <w:tcPr>
            <w:tcW w:w="14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Decreased level of consciousness</w:t>
            </w:r>
          </w:p>
        </w:tc>
        <w:tc>
          <w:tcPr>
            <w:tcW w:w="128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Autonomic dysfunction or central hypoventilation</w:t>
            </w:r>
          </w:p>
        </w:tc>
      </w:tr>
      <w:tr>
        <w:trPr>
          <w:trHeight w:val="336" w:hRule="atLeast"/>
        </w:trPr>
        <w:tc>
          <w:tcPr>
            <w:tcW w:w="759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HKW</w:t>
            </w:r>
          </w:p>
        </w:tc>
        <w:tc>
          <w:tcPr>
            <w:tcW w:w="73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87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107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9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5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Speech dysfunction</w:t>
            </w:r>
          </w:p>
        </w:tc>
        <w:tc>
          <w:tcPr>
            <w:tcW w:w="1292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2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86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15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9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8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363" w:hRule="atLeast"/>
        </w:trPr>
        <w:tc>
          <w:tcPr>
            <w:tcW w:w="759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79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HKW</w:t>
            </w:r>
          </w:p>
        </w:tc>
        <w:tc>
          <w:tcPr>
            <w:tcW w:w="73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87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107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9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Seizure</w:t>
            </w:r>
          </w:p>
        </w:tc>
        <w:tc>
          <w:tcPr>
            <w:tcW w:w="1292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2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86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15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9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8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363" w:hRule="atLeast"/>
        </w:trPr>
        <w:tc>
          <w:tcPr>
            <w:tcW w:w="759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79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HKW</w:t>
            </w:r>
          </w:p>
        </w:tc>
        <w:tc>
          <w:tcPr>
            <w:tcW w:w="73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87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107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9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5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Seizure</w:t>
            </w:r>
          </w:p>
        </w:tc>
        <w:tc>
          <w:tcPr>
            <w:tcW w:w="1292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2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86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15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9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8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363" w:hRule="atLeast"/>
        </w:trPr>
        <w:tc>
          <w:tcPr>
            <w:tcW w:w="759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79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HKW</w:t>
            </w:r>
          </w:p>
        </w:tc>
        <w:tc>
          <w:tcPr>
            <w:tcW w:w="73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87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107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9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Abnormal behavior</w:t>
            </w:r>
          </w:p>
        </w:tc>
        <w:tc>
          <w:tcPr>
            <w:tcW w:w="1292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2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86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15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9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8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363" w:hRule="atLeast"/>
        </w:trPr>
        <w:tc>
          <w:tcPr>
            <w:tcW w:w="759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79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HKW</w:t>
            </w:r>
          </w:p>
        </w:tc>
        <w:tc>
          <w:tcPr>
            <w:tcW w:w="73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87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107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9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5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Speech dysfunction</w:t>
            </w:r>
          </w:p>
        </w:tc>
        <w:tc>
          <w:tcPr>
            <w:tcW w:w="1292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2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86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15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9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8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336" w:hRule="atLeast"/>
        </w:trPr>
        <w:tc>
          <w:tcPr>
            <w:tcW w:w="759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79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HKW</w:t>
            </w:r>
          </w:p>
        </w:tc>
        <w:tc>
          <w:tcPr>
            <w:tcW w:w="73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87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107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9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Abnormal behavior</w:t>
            </w:r>
          </w:p>
        </w:tc>
        <w:tc>
          <w:tcPr>
            <w:tcW w:w="1292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2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86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15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9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8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723" w:hRule="atLeast"/>
        </w:trPr>
        <w:tc>
          <w:tcPr>
            <w:tcW w:w="759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79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HKW</w:t>
            </w:r>
          </w:p>
        </w:tc>
        <w:tc>
          <w:tcPr>
            <w:tcW w:w="73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87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107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9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 (HSV encephalitis)</w:t>
            </w:r>
          </w:p>
        </w:tc>
        <w:tc>
          <w:tcPr>
            <w:tcW w:w="1415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Decreased level of consciousness</w:t>
            </w:r>
          </w:p>
        </w:tc>
        <w:tc>
          <w:tcPr>
            <w:tcW w:w="1292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2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86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15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9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8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363" w:hRule="atLeast"/>
        </w:trPr>
        <w:tc>
          <w:tcPr>
            <w:tcW w:w="759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79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KE</w:t>
            </w:r>
          </w:p>
        </w:tc>
        <w:tc>
          <w:tcPr>
            <w:tcW w:w="73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87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107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9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Abnormal behavior</w:t>
            </w:r>
          </w:p>
        </w:tc>
        <w:tc>
          <w:tcPr>
            <w:tcW w:w="1292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2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86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15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9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8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</w:tr>
      <w:tr>
        <w:trPr>
          <w:trHeight w:val="363" w:hRule="atLeast"/>
        </w:trPr>
        <w:tc>
          <w:tcPr>
            <w:tcW w:w="759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79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KE</w:t>
            </w:r>
          </w:p>
        </w:tc>
        <w:tc>
          <w:tcPr>
            <w:tcW w:w="73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87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107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9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5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Abnormal behavior</w:t>
            </w:r>
          </w:p>
        </w:tc>
        <w:tc>
          <w:tcPr>
            <w:tcW w:w="1292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2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86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15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9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8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</w:tr>
      <w:tr>
        <w:trPr>
          <w:trHeight w:val="363" w:hRule="atLeast"/>
        </w:trPr>
        <w:tc>
          <w:tcPr>
            <w:tcW w:w="759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79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KE</w:t>
            </w:r>
          </w:p>
        </w:tc>
        <w:tc>
          <w:tcPr>
            <w:tcW w:w="73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87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107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9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Abnormal behavior</w:t>
            </w:r>
          </w:p>
        </w:tc>
        <w:tc>
          <w:tcPr>
            <w:tcW w:w="1292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2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86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15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9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8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</w:tr>
      <w:tr>
        <w:trPr>
          <w:trHeight w:val="363" w:hRule="atLeast"/>
        </w:trPr>
        <w:tc>
          <w:tcPr>
            <w:tcW w:w="759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79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KC</w:t>
            </w:r>
          </w:p>
        </w:tc>
        <w:tc>
          <w:tcPr>
            <w:tcW w:w="73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87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107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9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5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Abnormal behavior</w:t>
            </w:r>
          </w:p>
        </w:tc>
        <w:tc>
          <w:tcPr>
            <w:tcW w:w="1292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2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86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15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9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8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363" w:hRule="atLeast"/>
        </w:trPr>
        <w:tc>
          <w:tcPr>
            <w:tcW w:w="759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79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KC</w:t>
            </w:r>
          </w:p>
        </w:tc>
        <w:tc>
          <w:tcPr>
            <w:tcW w:w="73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87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107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9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Abnormal behavior</w:t>
            </w:r>
          </w:p>
        </w:tc>
        <w:tc>
          <w:tcPr>
            <w:tcW w:w="1292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2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86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15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9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8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</w:tr>
      <w:tr>
        <w:trPr>
          <w:trHeight w:val="363" w:hRule="atLeast"/>
        </w:trPr>
        <w:tc>
          <w:tcPr>
            <w:tcW w:w="759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79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NTE</w:t>
            </w:r>
          </w:p>
        </w:tc>
        <w:tc>
          <w:tcPr>
            <w:tcW w:w="73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87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107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9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5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Abnormal behavior</w:t>
            </w:r>
          </w:p>
        </w:tc>
        <w:tc>
          <w:tcPr>
            <w:tcW w:w="1292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2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86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15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9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8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363" w:hRule="atLeast"/>
        </w:trPr>
        <w:tc>
          <w:tcPr>
            <w:tcW w:w="759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79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NTE</w:t>
            </w:r>
          </w:p>
        </w:tc>
        <w:tc>
          <w:tcPr>
            <w:tcW w:w="73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87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107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9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Speech dysfunction</w:t>
            </w:r>
          </w:p>
        </w:tc>
        <w:tc>
          <w:tcPr>
            <w:tcW w:w="1292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2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86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9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8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363" w:hRule="atLeast"/>
        </w:trPr>
        <w:tc>
          <w:tcPr>
            <w:tcW w:w="759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794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KW</w:t>
            </w:r>
          </w:p>
        </w:tc>
        <w:tc>
          <w:tcPr>
            <w:tcW w:w="733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874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1070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90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5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Abnormal behavior</w:t>
            </w:r>
          </w:p>
        </w:tc>
        <w:tc>
          <w:tcPr>
            <w:tcW w:w="1292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860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83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</w:tr>
    </w:tbl>
    <w:p>
      <w:pPr>
        <w:sectPr>
          <w:type w:val="nextPage"/>
          <w:pgSz w:orient="landscape" w:w="16838" w:h="11906"/>
          <w:pgMar w:left="1440" w:right="1440" w:gutter="0" w:header="0" w:top="1134" w:footer="0" w:bottom="0"/>
          <w:pgNumType w:fmt="decimal"/>
          <w:formProt w:val="false"/>
          <w:textDirection w:val="lrTb"/>
          <w:docGrid w:type="lines" w:linePitch="423" w:charSpace="0"/>
        </w:sectPr>
        <w:pStyle w:val="Normal"/>
        <w:rPr/>
      </w:pPr>
      <w:r/>
      <w:r>
        <w:rPr>
          <w:rFonts w:cs="Times New Roman" w:ascii="Times New Roman" w:hAnsi="Times New Roman"/>
        </w:rPr>
        <w:t>Supplementary Table 1a: Demographics and clinical features of individual patients with anti-NMDAR encephalitis.</w:t>
      </w:r>
    </w:p>
    <w:tbl>
      <w:tblPr>
        <w:tblpPr w:vertAnchor="page" w:horzAnchor="page" w:leftFromText="180" w:rightFromText="180" w:tblpX="1429" w:tblpY="2413"/>
        <w:tblW w:w="1416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2"/>
        <w:gridCol w:w="2099"/>
        <w:gridCol w:w="1543"/>
        <w:gridCol w:w="1518"/>
        <w:gridCol w:w="1584"/>
        <w:gridCol w:w="2577"/>
        <w:gridCol w:w="2183"/>
        <w:gridCol w:w="1332"/>
      </w:tblGrid>
      <w:tr>
        <w:trPr>
          <w:trHeight w:val="1198" w:hRule="atLeast"/>
        </w:trPr>
        <w:tc>
          <w:tcPr>
            <w:tcW w:w="13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Case number</w:t>
            </w:r>
          </w:p>
        </w:tc>
        <w:tc>
          <w:tcPr>
            <w:tcW w:w="209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CSF anti-NMDAR antibody</w:t>
            </w:r>
          </w:p>
        </w:tc>
        <w:tc>
          <w:tcPr>
            <w:tcW w:w="154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Serum anti-NMDAR antibody</w:t>
            </w:r>
          </w:p>
        </w:tc>
        <w:tc>
          <w:tcPr>
            <w:tcW w:w="15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CSF pleocytosis</w:t>
            </w:r>
          </w:p>
        </w:tc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CSF oligoclonal band</w:t>
            </w:r>
          </w:p>
        </w:tc>
        <w:tc>
          <w:tcPr>
            <w:tcW w:w="25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MRI Brain</w:t>
            </w:r>
          </w:p>
        </w:tc>
        <w:tc>
          <w:tcPr>
            <w:tcW w:w="218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EEG</w:t>
            </w:r>
          </w:p>
        </w:tc>
        <w:tc>
          <w:tcPr>
            <w:tcW w:w="13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Tumor</w:t>
            </w:r>
          </w:p>
        </w:tc>
      </w:tr>
      <w:tr>
        <w:trPr>
          <w:trHeight w:val="402" w:hRule="atLeast"/>
        </w:trPr>
        <w:tc>
          <w:tcPr>
            <w:tcW w:w="1332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2099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4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18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8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577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18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Electrographical seizure</w:t>
            </w:r>
          </w:p>
        </w:tc>
        <w:tc>
          <w:tcPr>
            <w:tcW w:w="1332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402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2099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4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8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577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Electrographical seizure</w:t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402" w:hRule="atLeast"/>
        </w:trPr>
        <w:tc>
          <w:tcPr>
            <w:tcW w:w="1332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2099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4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18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8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577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18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Focal slowing</w:t>
            </w:r>
          </w:p>
        </w:tc>
        <w:tc>
          <w:tcPr>
            <w:tcW w:w="1332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402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2099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4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8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2577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Non-specific findings (diffuse T2 hyperintensities in white matter)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Generalised slowing</w:t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402" w:hRule="atLeast"/>
        </w:trPr>
        <w:tc>
          <w:tcPr>
            <w:tcW w:w="1332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2099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4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18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8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577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Non-specific findings (T2 hyperintensities in pons and periaqueductal white matter)</w:t>
            </w:r>
          </w:p>
        </w:tc>
        <w:tc>
          <w:tcPr>
            <w:tcW w:w="218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Generalised slowing</w:t>
            </w:r>
          </w:p>
        </w:tc>
        <w:tc>
          <w:tcPr>
            <w:tcW w:w="1332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402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2099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4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8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577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402" w:hRule="atLeast"/>
        </w:trPr>
        <w:tc>
          <w:tcPr>
            <w:tcW w:w="1332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2099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Not available</w:t>
            </w:r>
          </w:p>
        </w:tc>
        <w:tc>
          <w:tcPr>
            <w:tcW w:w="154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18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8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577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Abnormal (diffuse encephalomalacic changes)</w:t>
            </w:r>
          </w:p>
        </w:tc>
        <w:tc>
          <w:tcPr>
            <w:tcW w:w="218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Generalised slowing</w:t>
            </w:r>
          </w:p>
        </w:tc>
        <w:tc>
          <w:tcPr>
            <w:tcW w:w="1332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402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2099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4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8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577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Generalised slowing</w:t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402" w:hRule="atLeast"/>
        </w:trPr>
        <w:tc>
          <w:tcPr>
            <w:tcW w:w="1332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2099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4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18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8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577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18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Generalised slowing</w:t>
            </w:r>
          </w:p>
        </w:tc>
        <w:tc>
          <w:tcPr>
            <w:tcW w:w="1332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402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99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4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8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577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Generalised slowing</w:t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402" w:hRule="atLeast"/>
        </w:trPr>
        <w:tc>
          <w:tcPr>
            <w:tcW w:w="1332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99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4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18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8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2577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18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Electrographical seizure</w:t>
            </w:r>
          </w:p>
        </w:tc>
        <w:tc>
          <w:tcPr>
            <w:tcW w:w="1332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402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99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4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8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577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Generalised slowing</w:t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402" w:hRule="atLeast"/>
        </w:trPr>
        <w:tc>
          <w:tcPr>
            <w:tcW w:w="1332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99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4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18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8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577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18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Epileptiform discharge</w:t>
            </w:r>
          </w:p>
        </w:tc>
        <w:tc>
          <w:tcPr>
            <w:tcW w:w="1332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402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99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4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8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Not available</w:t>
            </w:r>
          </w:p>
        </w:tc>
        <w:tc>
          <w:tcPr>
            <w:tcW w:w="2577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Focal slowing</w:t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402" w:hRule="atLeast"/>
        </w:trPr>
        <w:tc>
          <w:tcPr>
            <w:tcW w:w="1332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2099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Not available</w:t>
            </w:r>
          </w:p>
        </w:tc>
        <w:tc>
          <w:tcPr>
            <w:tcW w:w="1543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18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84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Not available</w:t>
            </w:r>
          </w:p>
        </w:tc>
        <w:tc>
          <w:tcPr>
            <w:tcW w:w="2577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183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332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</w:tr>
    </w:tbl>
    <w:p>
      <w:pPr>
        <w:sectPr>
          <w:type w:val="nextPage"/>
          <w:pgSz w:orient="landscape" w:w="16838" w:h="11906"/>
          <w:pgMar w:left="1440" w:right="1440" w:gutter="0" w:header="0" w:top="1134" w:footer="0" w:bottom="0"/>
          <w:pgNumType w:fmt="decimal"/>
          <w:formProt w:val="false"/>
          <w:textDirection w:val="lrTb"/>
          <w:docGrid w:type="lines" w:linePitch="423" w:charSpace="0"/>
        </w:sectPr>
        <w:pStyle w:val="Normal"/>
        <w:rPr>
          <w:rFonts w:ascii="Times New Roman" w:hAnsi="Times New Roman" w:cs="Times New Roman"/>
        </w:rPr>
      </w:pPr>
      <w:r/>
      <w:r>
        <w:rPr>
          <w:rFonts w:cs="Times New Roman" w:ascii="Times New Roman" w:hAnsi="Times New Roman"/>
        </w:rPr>
        <w:t>Supplementary Table 1b: Investigation findings of individual patients with anti-NMDAR encephalitis.</w:t>
      </w:r>
    </w:p>
    <w:tbl>
      <w:tblPr>
        <w:tblpPr w:vertAnchor="page" w:horzAnchor="page" w:leftFromText="180" w:rightFromText="180" w:tblpX="1549" w:tblpY="1990"/>
        <w:tblW w:w="1381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7"/>
        <w:gridCol w:w="944"/>
        <w:gridCol w:w="1200"/>
        <w:gridCol w:w="1553"/>
        <w:gridCol w:w="1957"/>
        <w:gridCol w:w="2146"/>
        <w:gridCol w:w="1941"/>
        <w:gridCol w:w="1830"/>
        <w:gridCol w:w="1280"/>
      </w:tblGrid>
      <w:tr>
        <w:trPr>
          <w:trHeight w:val="1101" w:hRule="atLeast"/>
        </w:trPr>
        <w:tc>
          <w:tcPr>
            <w:tcW w:w="9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Case number</w:t>
            </w:r>
          </w:p>
        </w:tc>
        <w:tc>
          <w:tcPr>
            <w:tcW w:w="94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Steroid</w:t>
            </w:r>
          </w:p>
        </w:tc>
        <w:tc>
          <w:tcPr>
            <w:tcW w:w="12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IVIG</w:t>
            </w:r>
          </w:p>
        </w:tc>
        <w:tc>
          <w:tcPr>
            <w:tcW w:w="155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Plasmapheresis</w:t>
            </w:r>
          </w:p>
        </w:tc>
        <w:tc>
          <w:tcPr>
            <w:tcW w:w="195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Rituximab</w:t>
            </w:r>
          </w:p>
        </w:tc>
        <w:tc>
          <w:tcPr>
            <w:tcW w:w="214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ICU stay (days)</w:t>
            </w:r>
          </w:p>
        </w:tc>
        <w:tc>
          <w:tcPr>
            <w:tcW w:w="19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Hospital stay (excluding ICU stay) (days)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Recovery</w:t>
            </w:r>
          </w:p>
        </w:tc>
        <w:tc>
          <w:tcPr>
            <w:tcW w:w="12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Follow up duration (months)</w:t>
            </w:r>
          </w:p>
        </w:tc>
      </w:tr>
      <w:tr>
        <w:trPr>
          <w:trHeight w:val="376" w:hRule="atLeast"/>
        </w:trPr>
        <w:tc>
          <w:tcPr>
            <w:tcW w:w="967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94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0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5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57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46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41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83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Full</w:t>
            </w:r>
          </w:p>
        </w:tc>
        <w:tc>
          <w:tcPr>
            <w:tcW w:w="128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18</w:t>
            </w:r>
          </w:p>
        </w:tc>
      </w:tr>
      <w:tr>
        <w:trPr>
          <w:trHeight w:val="376" w:hRule="atLeast"/>
        </w:trPr>
        <w:tc>
          <w:tcPr>
            <w:tcW w:w="967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94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0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57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46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941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83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Full</w:t>
            </w:r>
          </w:p>
        </w:tc>
        <w:tc>
          <w:tcPr>
            <w:tcW w:w="128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11</w:t>
            </w:r>
          </w:p>
        </w:tc>
      </w:tr>
      <w:tr>
        <w:trPr>
          <w:trHeight w:val="350" w:hRule="atLeast"/>
        </w:trPr>
        <w:tc>
          <w:tcPr>
            <w:tcW w:w="967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94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0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5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57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46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41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83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Full</w:t>
            </w:r>
          </w:p>
        </w:tc>
        <w:tc>
          <w:tcPr>
            <w:tcW w:w="128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11</w:t>
            </w:r>
          </w:p>
        </w:tc>
      </w:tr>
      <w:tr>
        <w:trPr>
          <w:trHeight w:val="376" w:hRule="atLeast"/>
        </w:trPr>
        <w:tc>
          <w:tcPr>
            <w:tcW w:w="967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94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0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5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57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46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941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83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Full</w:t>
            </w:r>
          </w:p>
        </w:tc>
        <w:tc>
          <w:tcPr>
            <w:tcW w:w="128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23</w:t>
            </w:r>
          </w:p>
        </w:tc>
      </w:tr>
      <w:tr>
        <w:trPr>
          <w:trHeight w:val="376" w:hRule="atLeast"/>
        </w:trPr>
        <w:tc>
          <w:tcPr>
            <w:tcW w:w="967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94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0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5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57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46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41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83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 xml:space="preserve">Limited (behavioral problems) </w:t>
            </w:r>
          </w:p>
        </w:tc>
        <w:tc>
          <w:tcPr>
            <w:tcW w:w="128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45</w:t>
            </w:r>
          </w:p>
        </w:tc>
      </w:tr>
      <w:tr>
        <w:trPr>
          <w:trHeight w:val="376" w:hRule="atLeast"/>
        </w:trPr>
        <w:tc>
          <w:tcPr>
            <w:tcW w:w="967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94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0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5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57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46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941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83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Full</w:t>
            </w:r>
          </w:p>
        </w:tc>
        <w:tc>
          <w:tcPr>
            <w:tcW w:w="128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36</w:t>
            </w:r>
          </w:p>
        </w:tc>
      </w:tr>
      <w:tr>
        <w:trPr>
          <w:trHeight w:val="376" w:hRule="atLeast"/>
        </w:trPr>
        <w:tc>
          <w:tcPr>
            <w:tcW w:w="967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94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0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5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57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46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41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83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Limited (HSV encephalitis)</w:t>
            </w:r>
          </w:p>
        </w:tc>
        <w:tc>
          <w:tcPr>
            <w:tcW w:w="128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84</w:t>
            </w:r>
          </w:p>
        </w:tc>
      </w:tr>
      <w:tr>
        <w:trPr>
          <w:trHeight w:val="350" w:hRule="atLeast"/>
        </w:trPr>
        <w:tc>
          <w:tcPr>
            <w:tcW w:w="967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94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0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5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57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46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941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83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Full</w:t>
            </w:r>
          </w:p>
        </w:tc>
        <w:tc>
          <w:tcPr>
            <w:tcW w:w="128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48</w:t>
            </w:r>
          </w:p>
        </w:tc>
      </w:tr>
      <w:tr>
        <w:trPr>
          <w:trHeight w:val="376" w:hRule="atLeast"/>
        </w:trPr>
        <w:tc>
          <w:tcPr>
            <w:tcW w:w="967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94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0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5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957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2146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941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83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Substantial (mild personality change)</w:t>
            </w:r>
          </w:p>
        </w:tc>
        <w:tc>
          <w:tcPr>
            <w:tcW w:w="128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12</w:t>
            </w:r>
          </w:p>
        </w:tc>
      </w:tr>
      <w:tr>
        <w:trPr>
          <w:trHeight w:val="376" w:hRule="atLeast"/>
        </w:trPr>
        <w:tc>
          <w:tcPr>
            <w:tcW w:w="967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94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0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5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957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2146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941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83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Substantial (mild personality change)</w:t>
            </w:r>
          </w:p>
        </w:tc>
        <w:tc>
          <w:tcPr>
            <w:tcW w:w="128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3</w:t>
            </w:r>
          </w:p>
        </w:tc>
      </w:tr>
      <w:tr>
        <w:trPr>
          <w:trHeight w:val="376" w:hRule="atLeast"/>
        </w:trPr>
        <w:tc>
          <w:tcPr>
            <w:tcW w:w="967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94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0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5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57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46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941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83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Full</w:t>
            </w:r>
          </w:p>
        </w:tc>
        <w:tc>
          <w:tcPr>
            <w:tcW w:w="128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12</w:t>
            </w:r>
          </w:p>
        </w:tc>
      </w:tr>
      <w:tr>
        <w:trPr>
          <w:trHeight w:val="554" w:hRule="atLeast"/>
        </w:trPr>
        <w:tc>
          <w:tcPr>
            <w:tcW w:w="967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94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0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5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57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46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941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33 (discharge against medical advice)</w:t>
            </w:r>
          </w:p>
        </w:tc>
        <w:tc>
          <w:tcPr>
            <w:tcW w:w="183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Not available</w:t>
            </w:r>
          </w:p>
        </w:tc>
        <w:tc>
          <w:tcPr>
            <w:tcW w:w="128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Not available</w:t>
            </w:r>
          </w:p>
        </w:tc>
      </w:tr>
      <w:tr>
        <w:trPr>
          <w:trHeight w:val="328" w:hRule="atLeast"/>
        </w:trPr>
        <w:tc>
          <w:tcPr>
            <w:tcW w:w="967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944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0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53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957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2146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941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183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Full</w:t>
            </w:r>
          </w:p>
        </w:tc>
        <w:tc>
          <w:tcPr>
            <w:tcW w:w="1280" w:type="dxa"/>
            <w:tcBorders/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48</w:t>
            </w:r>
          </w:p>
        </w:tc>
      </w:tr>
      <w:tr>
        <w:trPr>
          <w:trHeight w:val="332" w:hRule="atLeast"/>
        </w:trPr>
        <w:tc>
          <w:tcPr>
            <w:tcW w:w="967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944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53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57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46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41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83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Full</w:t>
            </w:r>
          </w:p>
        </w:tc>
        <w:tc>
          <w:tcPr>
            <w:tcW w:w="1280" w:type="dxa"/>
            <w:tcBorders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12</w:t>
            </w:r>
          </w:p>
        </w:tc>
      </w:tr>
      <w:tr>
        <w:trPr>
          <w:trHeight w:val="366" w:hRule="atLeast"/>
        </w:trPr>
        <w:tc>
          <w:tcPr>
            <w:tcW w:w="967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944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200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1553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57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46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941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830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Full</w:t>
            </w:r>
          </w:p>
        </w:tc>
        <w:tc>
          <w:tcPr>
            <w:tcW w:w="1280" w:type="dxa"/>
            <w:tcBorders>
              <w:bottom w:val="single" w:sz="8" w:space="0" w:color="000000"/>
            </w:tcBorders>
            <w:shd w:fill="C0C0C0" w:val="clear"/>
          </w:tcPr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36</w:t>
            </w:r>
          </w:p>
        </w:tc>
      </w:tr>
    </w:tbl>
    <w:p>
      <w:pPr>
        <w:pStyle w:val="Normal"/>
        <w:rPr/>
      </w:pPr>
      <w:r/>
      <w:r>
        <w:rPr>
          <w:rFonts w:cs="Times New Roman" w:ascii="Times New Roman" w:hAnsi="Times New Roman"/>
        </w:rPr>
        <w:t>Supplementary Table 1c: Treatment and outcome of individual patients with anti-NMDAR encephalitis</w:t>
      </w:r>
    </w:p>
    <w:sectPr>
      <w:type w:val="nextPage"/>
      <w:pgSz w:orient="landscape" w:w="16838" w:h="11906"/>
      <w:pgMar w:left="1440" w:right="1440" w:gutter="0" w:header="0" w:top="1134" w:footer="0" w:bottom="0"/>
      <w:pgNumType w:fmt="decimal"/>
      <w:formProt w:val="false"/>
      <w:textDirection w:val="lrTb"/>
      <w:docGrid w:type="lines" w:linePitch="423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PMingLiU">
    <w:altName w:val="新細明體"/>
    <w:charset w:val="88"/>
    <w:family w:val="roman"/>
    <w:pitch w:val="variable"/>
  </w:font>
  <w:font w:name="Wingdings">
    <w:charset w:val="02"/>
    <w:family w:val="auto"/>
    <w:pitch w:val="variable"/>
  </w:font>
  <w:font w:name="Courier New">
    <w:charset w:val="00" w:characterSet="windows-1252"/>
    <w:family w:val="modern"/>
    <w:pitch w:val="default"/>
  </w:font>
  <w:font w:name="Heiti TC Light">
    <w:charset w:val="01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val="fullPage" w:percent="20"/>
  <w:defaultTabStop w:val="480"/>
  <w:autoHyphenation w:val="true"/>
  <w:hyphenationZone w:val="0"/>
  <w:compat>
    <w:doNotExpandShiftReturn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f0v2w5detdefke50ztvdzdiawsxtz2vpe22&quot;&gt;My EndNote Library_Anti_NMDARE_HK&lt;record-ids&gt;&lt;item&gt;1&lt;/item&gt;&lt;item&gt;2&lt;/item&gt;&lt;item&gt;3&lt;/item&gt;&lt;item&gt;4&lt;/item&gt;&lt;item&gt;5&lt;/item&gt;&lt;item&gt;6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4&lt;/item&gt;&lt;item&gt;26&lt;/item&gt;&lt;item&gt;28&lt;/item&gt;&lt;item&gt;29&lt;/item&gt;&lt;item&gt;31&lt;/item&gt;&lt;item&gt;32&lt;/item&gt;&lt;item&gt;33&lt;/item&gt;&lt;item&gt;34&lt;/item&gt;&lt;item&gt;35&lt;/item&gt;&lt;item&gt;36&lt;/item&gt;&lt;item&gt;37&lt;/item&gt;&lt;/record-ids&gt;&lt;/item&gt;&lt;/Libraries&gt;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mbria" w:hAnsi="Cambria" w:eastAsia="PMingLiU;新細明體" w:cs="Times New Roman"/>
      <w:color w:val="auto"/>
      <w:kern w:val="2"/>
      <w:sz w:val="24"/>
      <w:szCs w:val="24"/>
      <w:lang w:val="en-US" w:eastAsia="zh-TW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PMingLiU;新細明體" w:hAnsi="PMingLiU;新細明體" w:eastAsia="PMingLiU;新細明體" w:cs="PMingLiU;新細明體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1">
    <w:name w:val="WW8Num4z1"/>
    <w:qFormat/>
    <w:rPr>
      <w:rFonts w:ascii="PMingLiU;新細明體" w:hAnsi="PMingLiU;新細明體" w:eastAsia="PMingLiU;新細明體" w:cs="PMingLiU;新細明體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>
      <w:rFonts w:ascii="PMingLiU;新細明體" w:hAnsi="PMingLiU;新細明體" w:eastAsia="PMingLiU;新細明體" w:cs="PMingLiU;新細明體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1">
    <w:name w:val="WW8Num10z1"/>
    <w:qFormat/>
    <w:rPr>
      <w:rFonts w:ascii="PMingLiU;新細明體" w:hAnsi="PMingLiU;新細明體" w:eastAsia="PMingLiU;新細明體" w:cs="PMingLiU;新細明體"/>
    </w:rPr>
  </w:style>
  <w:style w:type="character" w:styleId="Carpredefinitoparagrafo">
    <w:name w:val="Car. predefinito paragrafo"/>
    <w:qFormat/>
    <w:rPr/>
  </w:style>
  <w:style w:type="character" w:styleId="Rimandocommento">
    <w:name w:val="Rimando commento"/>
    <w:basedOn w:val="Carpredefinitoparagrafo"/>
    <w:qFormat/>
    <w:rPr>
      <w:sz w:val="18"/>
      <w:szCs w:val="18"/>
    </w:rPr>
  </w:style>
  <w:style w:type="character" w:styleId="TestocommentoCarattere">
    <w:name w:val="Testo commento Carattere"/>
    <w:basedOn w:val="Carpredefinitoparagrafo"/>
    <w:qFormat/>
    <w:rPr/>
  </w:style>
  <w:style w:type="character" w:styleId="SoggettocommentoCarattere">
    <w:name w:val="Soggetto commento Carattere"/>
    <w:basedOn w:val="TestocommentoCarattere"/>
    <w:qFormat/>
    <w:rPr>
      <w:b/>
      <w:bCs/>
    </w:rPr>
  </w:style>
  <w:style w:type="character" w:styleId="TestofumettoCarattere">
    <w:name w:val="Testo fumetto Carattere"/>
    <w:basedOn w:val="Carpredefinitoparagrafo"/>
    <w:qFormat/>
    <w:rPr>
      <w:rFonts w:ascii="Heiti TC Light" w:hAnsi="Heiti TC Light" w:eastAsia="Heiti TC Light"/>
      <w:sz w:val="18"/>
      <w:szCs w:val="18"/>
    </w:rPr>
  </w:style>
  <w:style w:type="character" w:styleId="Hyperlink">
    <w:name w:val="Hyperlink"/>
    <w:basedOn w:val="Carpredefinitoparagrafo"/>
    <w:rPr>
      <w:color w:val="0000FF"/>
      <w:u w:val="single"/>
    </w:rPr>
  </w:style>
  <w:style w:type="character" w:styleId="IntestazioneCarattere">
    <w:name w:val="Intestazione Carattere"/>
    <w:basedOn w:val="Carpredefinitoparagrafo"/>
    <w:qFormat/>
    <w:rPr/>
  </w:style>
  <w:style w:type="character" w:styleId="PidipaginaCarattere">
    <w:name w:val="Piè di pagina Carattere"/>
    <w:basedOn w:val="Carpredefinitoparagrafo"/>
    <w:qFormat/>
    <w:rPr/>
  </w:style>
  <w:style w:type="character" w:styleId="TestonotaapidipaginaCarattere">
    <w:name w:val="Testo nota a piè di pagina Carattere"/>
    <w:basedOn w:val="Carpredefinitoparagrafo"/>
    <w:qFormat/>
    <w:rPr>
      <w:kern w:val="0"/>
      <w:sz w:val="20"/>
      <w:szCs w:val="20"/>
      <w:lang w:eastAsia="ja-JP"/>
    </w:rPr>
  </w:style>
  <w:style w:type="character" w:styleId="Enfasidelicata">
    <w:name w:val="Enfasi delicata"/>
    <w:basedOn w:val="Carpredefinitoparagrafo"/>
    <w:qFormat/>
    <w:rPr>
      <w:i/>
      <w:iCs/>
      <w:color w:val="7F7F7F"/>
    </w:rPr>
  </w:style>
  <w:style w:type="character" w:styleId="FollowedHyperlink">
    <w:name w:val="FollowedHyperlink"/>
    <w:basedOn w:val="Carpredefinitoparagrafo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aperTitle">
    <w:name w:val="Paper Title"/>
    <w:basedOn w:val="Normal"/>
    <w:qFormat/>
    <w:pPr>
      <w:snapToGrid w:val="false"/>
      <w:spacing w:lineRule="atLeast" w:line="240"/>
      <w:jc w:val="center"/>
    </w:pPr>
    <w:rPr>
      <w:rFonts w:ascii="Arial" w:hAnsi="Arial" w:eastAsia="Arial" w:cs="Arial"/>
      <w:b/>
      <w:lang w:eastAsia="ja-JP"/>
    </w:rPr>
  </w:style>
  <w:style w:type="paragraph" w:styleId="Paragrafoelenco">
    <w:name w:val="Paragrafo elenco"/>
    <w:basedOn w:val="Normal"/>
    <w:qFormat/>
    <w:pPr>
      <w:ind w:hanging="0" w:start="480" w:end="0"/>
    </w:pPr>
    <w:rPr/>
  </w:style>
  <w:style w:type="paragraph" w:styleId="Testocommento">
    <w:name w:val="Testo commento"/>
    <w:basedOn w:val="Normal"/>
    <w:qFormat/>
    <w:pPr/>
    <w:rPr/>
  </w:style>
  <w:style w:type="paragraph" w:styleId="Soggettocommento">
    <w:name w:val="Soggetto commento"/>
    <w:basedOn w:val="Testocommento"/>
    <w:next w:val="Testocommento"/>
    <w:qFormat/>
    <w:pPr/>
    <w:rPr>
      <w:b/>
      <w:bCs/>
    </w:rPr>
  </w:style>
  <w:style w:type="paragraph" w:styleId="Testofumetto">
    <w:name w:val="Testo fumetto"/>
    <w:basedOn w:val="Normal"/>
    <w:qFormat/>
    <w:pPr/>
    <w:rPr>
      <w:rFonts w:ascii="Heiti TC Light" w:hAnsi="Heiti TC Light" w:eastAsia="Heiti TC Light"/>
      <w:sz w:val="18"/>
      <w:szCs w:val="18"/>
    </w:rPr>
  </w:style>
  <w:style w:type="paragraph" w:styleId="EndNoteBibliographyTitle">
    <w:name w:val="EndNote Bibliography Title"/>
    <w:basedOn w:val="Normal"/>
    <w:qFormat/>
    <w:pPr>
      <w:jc w:val="center"/>
    </w:pPr>
    <w:rPr>
      <w:rFonts w:ascii="Cambria" w:hAnsi="Cambria" w:cs="Cambria"/>
    </w:rPr>
  </w:style>
  <w:style w:type="paragraph" w:styleId="EndNoteBibliography">
    <w:name w:val="EndNote Bibliography"/>
    <w:basedOn w:val="Normal"/>
    <w:qFormat/>
    <w:pPr/>
    <w:rPr>
      <w:rFonts w:ascii="Cambria" w:hAnsi="Cambria" w:cs="Cambria"/>
    </w:rPr>
  </w:style>
  <w:style w:type="paragraph" w:styleId="HeaderandFooter">
    <w:name w:val="Header and Footer"/>
    <w:basedOn w:val="Normal"/>
    <w:qFormat/>
    <w:pPr>
      <w:suppressLineNumbers/>
      <w:tabs>
        <w:tab w:val="clear" w:pos="48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ecimalAligned">
    <w:name w:val="Decimal Aligned"/>
    <w:basedOn w:val="Normal"/>
    <w:qFormat/>
    <w:pPr>
      <w:widowControl/>
      <w:spacing w:lineRule="auto" w:line="276" w:before="0" w:after="200"/>
    </w:pPr>
    <w:rPr>
      <w:rFonts w:eastAsia="Cambria"/>
      <w:kern w:val="0"/>
      <w:sz w:val="22"/>
      <w:szCs w:val="22"/>
      <w:lang w:eastAsia="ja-JP"/>
    </w:rPr>
  </w:style>
  <w:style w:type="paragraph" w:styleId="FootnoteText">
    <w:name w:val="footnote text"/>
    <w:basedOn w:val="Normal"/>
    <w:pPr>
      <w:widowControl/>
    </w:pPr>
    <w:rPr>
      <w:kern w:val="0"/>
      <w:sz w:val="20"/>
      <w:szCs w:val="20"/>
      <w:lang w:eastAsia="ja-JP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LibreOffice/25.2.5.2$MacOSX_AARCH64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2018-11-03T09:56:00Z</dcterms:created>
  <dc:creator>ALVIN HO</dc:creator>
  <dc:description/>
  <dc:language>en-US</dc:language>
  <cp:lastModifiedBy>Margherita Nosadini</cp:lastModifiedBy>
  <dcterms:modified xsi:type="dcterms:W3CDTF">2018-11-03T09:56:00Z</dcterms:modified>
  <cp:revision>2</cp:revision>
  <dc:subject/>
  <dc:title/>
</cp:coreProperties>
</file>