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0"/>
        <w:jc w:val="start"/>
        <w:rPr>
          <w:rFonts w:ascii="Times New Roman" w:hAnsi="Times New Roman" w:cs="Times New Roman"/>
          <w:b/>
          <w:sz w:val="22"/>
        </w:rPr>
      </w:pPr>
      <w:r>
        <w:rPr>
          <w:rFonts w:cs="Times New Roman" w:ascii="Times New Roman" w:hAnsi="Times New Roman"/>
          <w:b/>
          <w:sz w:val="22"/>
        </w:rPr>
        <w:t>Supplementary table 1. Clinical responses after bortezomib treatment</w:t>
      </w:r>
    </w:p>
    <w:tbl>
      <w:tblPr>
        <w:tblW w:w="1360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6"/>
        <w:gridCol w:w="2159"/>
        <w:gridCol w:w="2159"/>
        <w:gridCol w:w="2160"/>
        <w:gridCol w:w="2159"/>
        <w:gridCol w:w="2160"/>
      </w:tblGrid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Patient 1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Patient 2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Patient 3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Patient 4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Patient 5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>Bortezomib treatment 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Disease onset to initiation of bortezomib</w:t>
            </w:r>
            <w:r>
              <w:rPr>
                <w:rFonts w:cs="Times New Roman" w:ascii="Times New Roman" w:hAnsi="Times New Roman"/>
                <w:sz w:val="22"/>
              </w:rPr>
              <w:t>(</w:t>
            </w:r>
            <w:r>
              <w:rPr>
                <w:rFonts w:cs="Times New Roman" w:ascii="Times New Roman" w:hAnsi="Times New Roman"/>
                <w:sz w:val="22"/>
              </w:rPr>
              <w:t>days</w:t>
            </w:r>
            <w:r>
              <w:rPr>
                <w:rFonts w:cs="Times New Roman" w:ascii="Times New Roman" w:hAnsi="Times New Roman"/>
                <w:sz w:val="22"/>
              </w:rPr>
              <w:t>)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269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364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144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151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143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CGI-S at initiation of bortezomib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6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6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6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Bortezomib regimen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Twice-weekly</w:t>
            </w:r>
            <w:r>
              <w:rPr>
                <w:rFonts w:cs="Times New Roman" w:ascii="Times New Roman" w:hAnsi="Times New Roman"/>
                <w:sz w:val="22"/>
                <w:vertAlign w:val="superscript"/>
              </w:rPr>
              <w:t>a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Twice-weekly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Twice-weekly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Twice-weekly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Once-weekly</w:t>
            </w:r>
            <w:r>
              <w:rPr>
                <w:rFonts w:cs="Times New Roman" w:ascii="Times New Roman" w:hAnsi="Times New Roman"/>
                <w:sz w:val="22"/>
                <w:vertAlign w:val="superscript"/>
              </w:rPr>
              <w:t>b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Number of cycles of bortezomib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2.5</w:t>
            </w:r>
            <w:r>
              <w:rPr>
                <w:rFonts w:cs="Times New Roman" w:ascii="Times New Roman" w:hAnsi="Times New Roman"/>
                <w:sz w:val="22"/>
                <w:vertAlign w:val="superscript"/>
              </w:rPr>
              <w:t>c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6</w:t>
            </w:r>
            <w:r>
              <w:rPr>
                <w:rFonts w:cs="Times New Roman" w:ascii="Times New Roman" w:hAnsi="Times New Roman"/>
                <w:sz w:val="22"/>
                <w:vertAlign w:val="superscript"/>
              </w:rPr>
              <w:t>d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Number of cycles of CyBorD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N/A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1.5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N/A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F</w:t>
            </w:r>
            <w:r>
              <w:rPr>
                <w:rFonts w:cs="Times New Roman" w:ascii="Times New Roman" w:hAnsi="Times New Roman"/>
                <w:sz w:val="22"/>
              </w:rPr>
              <w:t xml:space="preserve">irst </w:t>
            </w:r>
            <w:r>
              <w:rPr>
                <w:rFonts w:cs="Times New Roman" w:ascii="Times New Roman" w:hAnsi="Times New Roman"/>
                <w:sz w:val="22"/>
              </w:rPr>
              <w:t>and third week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>Clinical response</w:t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>s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Major clinical symptoms at the time of bortezomib initiation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Vegetative state, oromandibular dyskinesia, st</w:t>
            </w:r>
            <w:r>
              <w:rPr>
                <w:rFonts w:cs="Times New Roman" w:ascii="Times New Roman" w:hAnsi="Times New Roman"/>
                <w:sz w:val="22"/>
              </w:rPr>
              <w:t>e</w:t>
            </w:r>
            <w:r>
              <w:rPr>
                <w:rFonts w:cs="Times New Roman" w:ascii="Times New Roman" w:hAnsi="Times New Roman"/>
                <w:sz w:val="22"/>
              </w:rPr>
              <w:t>reotypic limb movement, abnormal posture, autonomic instability, and central hypoventilation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Vegetative state, oromandibular dyskinesia, st</w:t>
            </w:r>
            <w:r>
              <w:rPr>
                <w:rFonts w:cs="Times New Roman" w:ascii="Times New Roman" w:hAnsi="Times New Roman"/>
                <w:sz w:val="22"/>
              </w:rPr>
              <w:t>e</w:t>
            </w:r>
            <w:r>
              <w:rPr>
                <w:rFonts w:cs="Times New Roman" w:ascii="Times New Roman" w:hAnsi="Times New Roman"/>
                <w:sz w:val="22"/>
              </w:rPr>
              <w:t>reotypic limb movement, rigidity, central hypoventilation and sympathetic paroxysmal hyperactivity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Vegetative state, st</w:t>
            </w:r>
            <w:r>
              <w:rPr>
                <w:rFonts w:cs="Times New Roman" w:ascii="Times New Roman" w:hAnsi="Times New Roman"/>
                <w:sz w:val="22"/>
              </w:rPr>
              <w:t>e</w:t>
            </w:r>
            <w:r>
              <w:rPr>
                <w:rFonts w:cs="Times New Roman" w:ascii="Times New Roman" w:hAnsi="Times New Roman"/>
                <w:sz w:val="22"/>
              </w:rPr>
              <w:t>re</w:t>
            </w:r>
            <w:r>
              <w:rPr>
                <w:rFonts w:cs="Times New Roman" w:ascii="Times New Roman" w:hAnsi="Times New Roman"/>
                <w:sz w:val="22"/>
              </w:rPr>
              <w:t>o</w:t>
            </w:r>
            <w:r>
              <w:rPr>
                <w:rFonts w:cs="Times New Roman" w:ascii="Times New Roman" w:hAnsi="Times New Roman"/>
                <w:sz w:val="22"/>
              </w:rPr>
              <w:t>typic limb movement, rigidity, abnormal posture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Vegetative state, oromandibular dyskinesia, st</w:t>
            </w:r>
            <w:r>
              <w:rPr>
                <w:rFonts w:cs="Times New Roman" w:ascii="Times New Roman" w:hAnsi="Times New Roman"/>
                <w:sz w:val="22"/>
              </w:rPr>
              <w:t>e</w:t>
            </w:r>
            <w:r>
              <w:rPr>
                <w:rFonts w:cs="Times New Roman" w:ascii="Times New Roman" w:hAnsi="Times New Roman"/>
                <w:sz w:val="22"/>
              </w:rPr>
              <w:t>reotypic limb movement, rigidity</w:t>
            </w:r>
            <w:r>
              <w:rPr>
                <w:rFonts w:cs="Times New Roman" w:ascii="Times New Roman" w:hAnsi="Times New Roman"/>
                <w:sz w:val="22"/>
              </w:rPr>
              <w:t xml:space="preserve">, </w:t>
            </w:r>
            <w:r>
              <w:rPr>
                <w:rFonts w:cs="Times New Roman" w:ascii="Times New Roman" w:hAnsi="Times New Roman"/>
                <w:sz w:val="22"/>
              </w:rPr>
              <w:t>sympathetic paroxysmal hyperactivity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Vegetative state, oromandibular dyskinesia, st</w:t>
            </w:r>
            <w:r>
              <w:rPr>
                <w:rFonts w:cs="Times New Roman" w:ascii="Times New Roman" w:hAnsi="Times New Roman"/>
                <w:sz w:val="22"/>
              </w:rPr>
              <w:t>e</w:t>
            </w:r>
            <w:r>
              <w:rPr>
                <w:rFonts w:cs="Times New Roman" w:ascii="Times New Roman" w:hAnsi="Times New Roman"/>
                <w:sz w:val="22"/>
              </w:rPr>
              <w:t>reotypic limb movement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Clinical improvement after 2 cycles of bortezomib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Improved to minimally consciousness state (pursuit eye movement and blink eyes following command), decreased movement symptoms, and some improvement in breathing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Decreased movement symptoms and improved autonomic instability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Improved to minimally consciousness state (pursuit eye movement and localize noxious stimuli), and decreased movement symptoms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Decreased movement symptoms</w:t>
            </w:r>
            <w:r>
              <w:rPr>
                <w:rFonts w:cs="Times New Roman" w:ascii="Times New Roman" w:hAnsi="Times New Roman"/>
                <w:sz w:val="22"/>
              </w:rPr>
              <w:t xml:space="preserve"> and </w:t>
            </w:r>
            <w:r>
              <w:rPr>
                <w:rFonts w:cs="Times New Roman" w:ascii="Times New Roman" w:hAnsi="Times New Roman"/>
                <w:sz w:val="22"/>
              </w:rPr>
              <w:t>improved autonomic instability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Improved to minimal consciousness state (gestural and verbal responses, intelligible </w:t>
            </w:r>
            <w:r>
              <w:rPr>
                <w:rFonts w:cs="Times New Roman" w:ascii="Times New Roman" w:hAnsi="Times New Roman"/>
                <w:sz w:val="22"/>
              </w:rPr>
              <w:t>verbalization</w:t>
            </w:r>
            <w:r>
              <w:rPr>
                <w:rFonts w:cs="Times New Roman" w:ascii="Times New Roman" w:hAnsi="Times New Roman"/>
                <w:sz w:val="22"/>
              </w:rPr>
              <w:t>, and some purposeful movements) and decreased movement symptoms</w:t>
            </w:r>
            <w:r>
              <w:rPr>
                <w:rFonts w:cs="Times New Roman" w:ascii="Times New Roman" w:hAnsi="Times New Roman"/>
                <w:sz w:val="22"/>
                <w:vertAlign w:val="superscript"/>
              </w:rPr>
              <w:t>e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Initial antibody titer in </w:t>
            </w:r>
            <w:r>
              <w:rPr>
                <w:rFonts w:cs="Times New Roman" w:ascii="Times New Roman" w:hAnsi="Times New Roman"/>
                <w:sz w:val="22"/>
              </w:rPr>
              <w:t>serum at admission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1:640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1:1280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1:160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Not checked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Not checked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Initial antibody titer in CSF at admission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Not checked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1:640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1:160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1:320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Not checked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Change in serum antibody titerbefore and after two cycles of bortezomib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1:640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1:1280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1:640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1:6</w:t>
            </w:r>
            <w:r>
              <w:rPr>
                <w:rFonts w:cs="Times New Roman" w:ascii="Times New Roman" w:hAnsi="Times New Roman"/>
                <w:sz w:val="22"/>
              </w:rPr>
              <w:t>4</w:t>
            </w:r>
            <w:r>
              <w:rPr>
                <w:rFonts w:cs="Times New Roman" w:ascii="Times New Roman" w:hAnsi="Times New Roman"/>
                <w:sz w:val="22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1:160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1:160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1:1280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1:</w:t>
            </w:r>
            <w:r>
              <w:rPr>
                <w:rFonts w:cs="Times New Roman" w:ascii="Times New Roman" w:hAnsi="Times New Roman"/>
                <w:sz w:val="22"/>
              </w:rPr>
              <w:t>64</w:t>
            </w:r>
            <w:r>
              <w:rPr>
                <w:rFonts w:cs="Times New Roman" w:ascii="Times New Roman" w:hAnsi="Times New Roman"/>
                <w:sz w:val="22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Not checked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Change in CSF antibody titer</w:t>
            </w:r>
            <w:r>
              <w:rPr>
                <w:rFonts w:cs="Times New Roman" w:ascii="Times New Roman" w:hAnsi="Times New Roman"/>
                <w:sz w:val="22"/>
              </w:rPr>
              <w:t xml:space="preserve"> before and after two cycles of bortezomib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1:80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1:80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1:160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1:160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1:320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1:160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1:160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1:80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Not checked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Clinical improvement at 6 month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More improved awareness and cognitive functions (some purposeful movements and gestural responses, follow simple commands, simple</w:t>
            </w:r>
            <w:r>
              <w:rPr>
                <w:rFonts w:cs="Times New Roman" w:ascii="Times New Roman" w:hAnsi="Times New Roman"/>
                <w:sz w:val="22"/>
              </w:rPr>
              <w:t>,</w:t>
            </w:r>
            <w:r>
              <w:rPr>
                <w:rFonts w:cs="Times New Roman" w:ascii="Times New Roman" w:hAnsi="Times New Roman"/>
                <w:sz w:val="22"/>
              </w:rPr>
              <w:t xml:space="preserve"> but intelligible verbalization, and emotional response such as smiling in more consistent manner), stabilized spontaneous breathing and removal of tracheostomy tube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Improved to minimally consciousness state (some purposeful movements and vocalization), more decreased movement symptoms, and stabilized spontaneous breathing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More improved awareness and cognitive functions (follow simple commands, gestural responses, simple</w:t>
            </w:r>
            <w:r>
              <w:rPr>
                <w:rFonts w:cs="Times New Roman" w:ascii="Times New Roman" w:hAnsi="Times New Roman"/>
                <w:sz w:val="22"/>
              </w:rPr>
              <w:t>,</w:t>
            </w:r>
            <w:r>
              <w:rPr>
                <w:rFonts w:cs="Times New Roman" w:ascii="Times New Roman" w:hAnsi="Times New Roman"/>
                <w:sz w:val="22"/>
              </w:rPr>
              <w:t xml:space="preserve"> but intelligible verbalization, and emotional response such as smiling in inconsistent manner)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Still no definite sign of minimally conscious state but more decreased movement symptoms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N/A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CGI-I</w:t>
            </w:r>
            <w:r>
              <w:rPr>
                <w:rFonts w:cs="Times New Roman" w:ascii="Times New Roman" w:hAnsi="Times New Roman"/>
                <w:sz w:val="22"/>
              </w:rPr>
              <w:t xml:space="preserve"> after bortezomib treatment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Change in mRS at last follow-up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5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5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5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5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5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5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5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5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5 </w:t>
            </w:r>
            <w:r>
              <w:rPr>
                <w:rFonts w:cs="Malgun Gothic"/>
                <w:sz w:val="22"/>
              </w:rPr>
              <w:t>→</w:t>
            </w:r>
            <w:r>
              <w:rPr>
                <w:rFonts w:cs="Times New Roman" w:ascii="Times New Roman" w:hAnsi="Times New Roman"/>
                <w:sz w:val="22"/>
              </w:rPr>
              <w:t xml:space="preserve"> 5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Follow-up period (since initiation of bortezomib therapy</w:t>
            </w:r>
            <w:r>
              <w:rPr>
                <w:rFonts w:cs="Times New Roman" w:ascii="Times New Roman" w:hAnsi="Times New Roman"/>
                <w:sz w:val="22"/>
              </w:rPr>
              <w:t xml:space="preserve">) </w:t>
            </w:r>
            <w:r>
              <w:rPr>
                <w:rFonts w:cs="Times New Roman" w:ascii="Times New Roman" w:hAnsi="Times New Roman"/>
                <w:sz w:val="22"/>
              </w:rPr>
              <w:t>(month</w:t>
            </w:r>
            <w:r>
              <w:rPr>
                <w:rFonts w:cs="Times New Roman" w:ascii="Times New Roman" w:hAnsi="Times New Roman"/>
                <w:sz w:val="22"/>
              </w:rPr>
              <w:t>s)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8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8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Follow-up period (since disea</w:t>
            </w:r>
            <w:r>
              <w:rPr>
                <w:rFonts w:cs="Times New Roman" w:ascii="Times New Roman" w:hAnsi="Times New Roman"/>
                <w:sz w:val="22"/>
              </w:rPr>
              <w:t>s</w:t>
            </w:r>
            <w:r>
              <w:rPr>
                <w:rFonts w:cs="Times New Roman" w:ascii="Times New Roman" w:hAnsi="Times New Roman"/>
                <w:sz w:val="22"/>
              </w:rPr>
              <w:t xml:space="preserve">e onset) </w:t>
            </w:r>
            <w:r>
              <w:rPr>
                <w:rFonts w:cs="Times New Roman" w:ascii="Times New Roman" w:hAnsi="Times New Roman"/>
                <w:sz w:val="22"/>
              </w:rPr>
              <w:t>(</w:t>
            </w:r>
            <w:r>
              <w:rPr>
                <w:rFonts w:cs="Times New Roman" w:ascii="Times New Roman" w:hAnsi="Times New Roman"/>
                <w:sz w:val="22"/>
              </w:rPr>
              <w:t>month</w:t>
            </w:r>
            <w:r>
              <w:rPr>
                <w:rFonts w:cs="Times New Roman" w:ascii="Times New Roman" w:hAnsi="Times New Roman"/>
                <w:sz w:val="22"/>
              </w:rPr>
              <w:t>s)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17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20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13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13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7</w:t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>Adverse Events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During bortezomib treatment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Anemia (Gr 2),</w:t>
            </w:r>
            <w:r>
              <w:rPr>
                <w:rFonts w:cs="Times New Roman" w:ascii="Times New Roman" w:hAnsi="Times New Roman"/>
                <w:sz w:val="22"/>
              </w:rPr>
              <w:t xml:space="preserve"> andi</w:t>
            </w:r>
            <w:r>
              <w:rPr>
                <w:rFonts w:cs="Times New Roman" w:ascii="Times New Roman" w:hAnsi="Times New Roman"/>
                <w:sz w:val="22"/>
              </w:rPr>
              <w:t>leus (Gr 2)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Anemia (Gr 2)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Pneumonia (Gr 3), Febrile neutropenia (Gr 3), </w:t>
            </w:r>
            <w:r>
              <w:rPr>
                <w:rFonts w:cs="Times New Roman" w:ascii="Times New Roman" w:hAnsi="Times New Roman"/>
                <w:sz w:val="22"/>
              </w:rPr>
              <w:t xml:space="preserve">and </w:t>
            </w:r>
            <w:r>
              <w:rPr>
                <w:rFonts w:cs="Times New Roman" w:ascii="Times New Roman" w:hAnsi="Times New Roman"/>
                <w:sz w:val="22"/>
              </w:rPr>
              <w:t>anemia (Gr2)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Neutropenia (Gr 1)</w:t>
            </w:r>
            <w:r>
              <w:rPr>
                <w:rFonts w:cs="Times New Roman" w:ascii="Times New Roman" w:hAnsi="Times New Roman"/>
                <w:sz w:val="22"/>
              </w:rPr>
              <w:t xml:space="preserve"> and</w:t>
            </w:r>
            <w:r>
              <w:rPr>
                <w:rFonts w:cs="Times New Roman" w:ascii="Times New Roman" w:hAnsi="Times New Roman"/>
                <w:sz w:val="22"/>
              </w:rPr>
              <w:t xml:space="preserve"> anemia (Gr1)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  <w:tr>
        <w:trPr>
          <w:trHeight w:val="348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During CyBorD treatment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Febrile neutropenia (Gr 3), leukopenia (Gr 2)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Pneumonia (Gr 3)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Neutropenia (Gr 4), anemia (Gr4), diarrhea (Gr 2)</w:t>
            </w:r>
          </w:p>
        </w:tc>
      </w:tr>
    </w:tbl>
    <w:p>
      <w:pPr>
        <w:pStyle w:val="Normal"/>
        <w:spacing w:lineRule="auto" w:line="480" w:before="0" w:after="0"/>
        <w:jc w:val="start"/>
        <w:rPr/>
      </w:pPr>
      <w:r>
        <w:rPr>
          <w:rFonts w:cs="Times New Roman" w:ascii="Times New Roman" w:hAnsi="Times New Roman"/>
          <w:sz w:val="22"/>
        </w:rPr>
        <w:t>CGI-S=clinical global impression-severity scale; CyBorD=weekly cyclophosphamide, bortezomib, and dexamethasone (regimen described in methods section); CSF=cerebrospinal fluid; CGI-I=clinical global impression-improvement scale; N/A=not applicable; mRS=modified Rankin Scale; Gr=grade</w:t>
      </w:r>
    </w:p>
    <w:p>
      <w:pPr>
        <w:pStyle w:val="Normal"/>
        <w:spacing w:lineRule="auto" w:line="480" w:before="0" w:after="0"/>
        <w:jc w:val="start"/>
        <w:rPr/>
      </w:pPr>
      <w:r>
        <w:rPr>
          <w:rFonts w:cs="Times New Roman" w:ascii="Times New Roman" w:hAnsi="Times New Roman"/>
          <w:sz w:val="22"/>
          <w:vertAlign w:val="superscript"/>
        </w:rPr>
        <w:t>a</w:t>
      </w:r>
      <w:r>
        <w:rPr>
          <w:rFonts w:cs="Times New Roman" w:ascii="Times New Roman" w:hAnsi="Times New Roman"/>
          <w:sz w:val="22"/>
        </w:rPr>
        <w:t>Bortezomib administration on days 1, 4, 8, 11 in 21-day cycle (regimen described in methods section)</w:t>
      </w:r>
    </w:p>
    <w:p>
      <w:pPr>
        <w:pStyle w:val="Normal"/>
        <w:spacing w:lineRule="auto" w:line="480" w:before="0" w:after="0"/>
        <w:jc w:val="start"/>
        <w:rPr/>
      </w:pPr>
      <w:r>
        <w:rPr>
          <w:rFonts w:cs="Times New Roman" w:ascii="Times New Roman" w:hAnsi="Times New Roman"/>
          <w:sz w:val="22"/>
          <w:vertAlign w:val="superscript"/>
        </w:rPr>
        <w:t>b</w:t>
      </w:r>
      <w:r>
        <w:rPr>
          <w:rFonts w:cs="Times New Roman" w:ascii="Times New Roman" w:hAnsi="Times New Roman"/>
          <w:sz w:val="22"/>
        </w:rPr>
        <w:t xml:space="preserve">Bortezomib administration once a week (regimen described in </w:t>
      </w:r>
      <w:r>
        <w:rPr>
          <w:rFonts w:cs="Times New Roman" w:ascii="Times New Roman" w:hAnsi="Times New Roman"/>
          <w:sz w:val="22"/>
        </w:rPr>
        <w:t>method</w:t>
      </w:r>
      <w:r>
        <w:rPr>
          <w:rFonts w:cs="Times New Roman" w:ascii="Times New Roman" w:hAnsi="Times New Roman"/>
          <w:sz w:val="22"/>
        </w:rPr>
        <w:t>s</w:t>
      </w:r>
      <w:r>
        <w:rPr>
          <w:rFonts w:cs="Times New Roman" w:ascii="Times New Roman" w:hAnsi="Times New Roman"/>
          <w:sz w:val="22"/>
        </w:rPr>
        <w:t xml:space="preserve"> section</w:t>
      </w:r>
      <w:r>
        <w:rPr>
          <w:rFonts w:cs="Times New Roman" w:ascii="Times New Roman" w:hAnsi="Times New Roman"/>
          <w:sz w:val="22"/>
        </w:rPr>
        <w:t>)</w:t>
      </w:r>
    </w:p>
    <w:p>
      <w:pPr>
        <w:pStyle w:val="Normal"/>
        <w:spacing w:lineRule="auto" w:line="480" w:before="0" w:after="0"/>
        <w:jc w:val="start"/>
        <w:rPr/>
      </w:pPr>
      <w:r>
        <w:rPr>
          <w:rFonts w:cs="Times New Roman" w:ascii="Times New Roman" w:hAnsi="Times New Roman"/>
          <w:sz w:val="22"/>
          <w:vertAlign w:val="superscript"/>
        </w:rPr>
        <w:t>c</w:t>
      </w:r>
      <w:r>
        <w:rPr>
          <w:rFonts w:cs="Times New Roman" w:ascii="Times New Roman" w:hAnsi="Times New Roman"/>
          <w:sz w:val="22"/>
        </w:rPr>
        <w:t>Escalated to CyBorD regimen after two doses of bortezomib during the third cycle</w:t>
      </w:r>
    </w:p>
    <w:p>
      <w:pPr>
        <w:pStyle w:val="Normal"/>
        <w:spacing w:lineRule="auto" w:line="480" w:before="0" w:after="0"/>
        <w:jc w:val="start"/>
        <w:rPr/>
      </w:pPr>
      <w:r>
        <w:rPr>
          <w:rFonts w:cs="Times New Roman" w:ascii="Times New Roman" w:hAnsi="Times New Roman"/>
          <w:sz w:val="22"/>
          <w:vertAlign w:val="superscript"/>
        </w:rPr>
        <w:t>d</w:t>
      </w:r>
      <w:r>
        <w:rPr>
          <w:rFonts w:cs="Times New Roman" w:ascii="Times New Roman" w:hAnsi="Times New Roman"/>
          <w:sz w:val="22"/>
        </w:rPr>
        <w:t>Including two CyBorD treatment at first and third week</w:t>
      </w:r>
    </w:p>
    <w:p>
      <w:pPr>
        <w:pStyle w:val="Normal"/>
        <w:spacing w:lineRule="auto" w:line="480" w:before="0" w:after="0"/>
        <w:jc w:val="star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  <w:vertAlign w:val="superscript"/>
        </w:rPr>
        <w:t>e</w:t>
      </w:r>
      <w:r>
        <w:rPr>
          <w:rFonts w:cs="Times New Roman" w:ascii="Times New Roman" w:hAnsi="Times New Roman"/>
          <w:sz w:val="22"/>
        </w:rPr>
        <w:t>Evaluated after 6 weekly administrations of bortezomib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Supplementary Table 2</w:t>
      </w:r>
      <w:r>
        <w:rPr>
          <w:rFonts w:cs="Times New Roman" w:ascii="Times New Roman" w:hAnsi="Times New Roman"/>
          <w:sz w:val="22"/>
        </w:rPr>
        <w:t>. Clinical characteristics and outcome of the control population</w:t>
      </w:r>
      <w:bookmarkStart w:id="0" w:name="_GoBack"/>
      <w:bookmarkEnd w:id="0"/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7"/>
        <w:gridCol w:w="3723"/>
        <w:gridCol w:w="3723"/>
        <w:gridCol w:w="3724"/>
      </w:tblGrid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Control patient 1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Control patient 3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Control patient 4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Age (years)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44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35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25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Sex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M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F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F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Presenting symptoms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</w:rPr>
              <w:t>Psy, Sp, Mm, Sz, Mv, C, A, HV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</w:rPr>
              <w:t>Psy, Sp, Mm, Sz, Mv, C, A, Hv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</w:rPr>
              <w:t>Psy, Sp, Sz, Mv, C, A, HV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CSF initial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Normal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Pleocytosis (37/µL), elevated protein (51.1 mg/dL)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Pleocytosis (140/µL)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Brain MRI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 significant focal lesion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Increased T2 signal of bilateral hippocampus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Increased T2 signal at bilateral cerebral sulci and subtle leptomeningeal enhancementin the perimeduallry/prepontine surface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EEG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Generalized theta to delta slowing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Generalized delta slowing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Generalized delta slowing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Tumor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Ovarian teratoma (surgically removed)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Ovarian teratoma (surgically removed)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D</w:t>
            </w:r>
            <w:r>
              <w:rPr>
                <w:rFonts w:cs="Times New Roman" w:ascii="Times New Roman" w:hAnsi="Times New Roman"/>
                <w:sz w:val="22"/>
              </w:rPr>
              <w:t>uration of d</w:t>
            </w:r>
            <w:r>
              <w:rPr>
                <w:rFonts w:cs="Times New Roman" w:ascii="Times New Roman" w:hAnsi="Times New Roman"/>
                <w:sz w:val="22"/>
              </w:rPr>
              <w:t xml:space="preserve">isease onset to initiation of first-line </w:t>
            </w:r>
            <w:r>
              <w:rPr>
                <w:rFonts w:cs="Times New Roman" w:ascii="Times New Roman" w:hAnsi="Times New Roman"/>
                <w:sz w:val="22"/>
              </w:rPr>
              <w:t>immunotherapy(</w:t>
            </w:r>
            <w:r>
              <w:rPr>
                <w:rFonts w:cs="Times New Roman" w:ascii="Times New Roman" w:hAnsi="Times New Roman"/>
                <w:sz w:val="22"/>
              </w:rPr>
              <w:t>days</w:t>
            </w:r>
            <w:r>
              <w:rPr>
                <w:rFonts w:cs="Times New Roman" w:ascii="Times New Roman" w:hAnsi="Times New Roman"/>
                <w:sz w:val="22"/>
              </w:rPr>
              <w:t>)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44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27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11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First-line agents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IVIg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MP, IVIg</w:t>
            </w:r>
            <w:r>
              <w:rPr>
                <w:rFonts w:cs="Times New Roman" w:ascii="Times New Roman" w:hAnsi="Times New Roman"/>
                <w:sz w:val="22"/>
              </w:rPr>
              <w:t>, PLEX (2 sessions)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IVIg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Duration of d</w:t>
            </w:r>
            <w:r>
              <w:rPr>
                <w:rFonts w:cs="Times New Roman" w:ascii="Times New Roman" w:hAnsi="Times New Roman"/>
                <w:sz w:val="22"/>
              </w:rPr>
              <w:t xml:space="preserve">isease onset to initiation of second-line immunotherapy </w:t>
            </w:r>
            <w:r>
              <w:rPr>
                <w:rFonts w:cs="Times New Roman" w:ascii="Times New Roman" w:hAnsi="Times New Roman"/>
                <w:sz w:val="22"/>
              </w:rPr>
              <w:t>(</w:t>
            </w:r>
            <w:r>
              <w:rPr>
                <w:rFonts w:cs="Times New Roman" w:ascii="Times New Roman" w:hAnsi="Times New Roman"/>
                <w:sz w:val="22"/>
              </w:rPr>
              <w:t>days</w:t>
            </w:r>
            <w:r>
              <w:rPr>
                <w:rFonts w:cs="Times New Roman" w:ascii="Times New Roman" w:hAnsi="Times New Roman"/>
                <w:sz w:val="22"/>
              </w:rPr>
              <w:t>)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47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50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18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Second-line agents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RTX</w:t>
            </w:r>
            <w:r>
              <w:rPr>
                <w:rFonts w:cs="Times New Roman" w:ascii="Times New Roman" w:hAnsi="Times New Roman"/>
                <w:sz w:val="22"/>
              </w:rPr>
              <w:t>, CYC (7 cycles)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RTX</w:t>
            </w:r>
            <w:r>
              <w:rPr>
                <w:rFonts w:cs="Times New Roman" w:ascii="Times New Roman" w:hAnsi="Times New Roman"/>
                <w:sz w:val="22"/>
              </w:rPr>
              <w:t>, CYC (2 cycles)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RTX</w:t>
            </w:r>
            <w:r>
              <w:rPr>
                <w:rFonts w:cs="Times New Roman" w:ascii="Times New Roman" w:hAnsi="Times New Roman"/>
                <w:sz w:val="22"/>
              </w:rPr>
              <w:t>, CYC (1 cycle)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Duration of </w:t>
            </w:r>
            <w:r>
              <w:rPr>
                <w:rFonts w:cs="Times New Roman" w:ascii="Times New Roman" w:hAnsi="Times New Roman"/>
                <w:sz w:val="22"/>
              </w:rPr>
              <w:t xml:space="preserve">disease onset to initiation of tocilizumab </w:t>
            </w:r>
            <w:r>
              <w:rPr>
                <w:rFonts w:cs="Times New Roman" w:ascii="Times New Roman" w:hAnsi="Times New Roman"/>
                <w:sz w:val="22"/>
              </w:rPr>
              <w:t>(</w:t>
            </w:r>
            <w:r>
              <w:rPr>
                <w:rFonts w:cs="Times New Roman" w:ascii="Times New Roman" w:hAnsi="Times New Roman"/>
                <w:sz w:val="22"/>
              </w:rPr>
              <w:t>days</w:t>
            </w:r>
            <w:r>
              <w:rPr>
                <w:rFonts w:cs="Times New Roman" w:ascii="Times New Roman" w:hAnsi="Times New Roman"/>
                <w:sz w:val="22"/>
              </w:rPr>
              <w:t>)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Not used.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331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46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Number of cycles of </w:t>
            </w:r>
            <w:r>
              <w:rPr>
                <w:rFonts w:cs="Times New Roman" w:ascii="Times New Roman" w:hAnsi="Times New Roman"/>
                <w:sz w:val="22"/>
              </w:rPr>
              <w:t>TCZ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4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10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Other treatments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C</w:t>
            </w:r>
            <w:r>
              <w:rPr>
                <w:rFonts w:cs="Times New Roman" w:ascii="Times New Roman" w:hAnsi="Times New Roman"/>
                <w:sz w:val="22"/>
              </w:rPr>
              <w:t>yclosporin A, mycophenolate mofetil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IL2 (3 cycles)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IL2 (4 cycles)</w:t>
            </w:r>
            <w:r>
              <w:rPr>
                <w:rFonts w:cs="Times New Roman" w:ascii="Times New Roman" w:hAnsi="Times New Roman"/>
                <w:sz w:val="22"/>
              </w:rPr>
              <w:t>, mycophenolate mofetil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Major clinical symptoms at 3 months after rituximab treat</w:t>
            </w:r>
            <w:r>
              <w:rPr>
                <w:rFonts w:cs="Times New Roman" w:ascii="Times New Roman" w:hAnsi="Times New Roman"/>
                <w:color w:val="000000"/>
                <w:sz w:val="22"/>
              </w:rPr>
              <w:t>ment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Coma</w:t>
            </w:r>
            <w:r>
              <w:rPr>
                <w:rFonts w:cs="Times New Roman" w:ascii="Times New Roman" w:hAnsi="Times New Roman"/>
                <w:sz w:val="22"/>
              </w:rPr>
              <w:t xml:space="preserve">tose, </w:t>
            </w:r>
            <w:r>
              <w:rPr>
                <w:rFonts w:cs="Times New Roman" w:ascii="Times New Roman" w:hAnsi="Times New Roman"/>
                <w:sz w:val="22"/>
              </w:rPr>
              <w:t>oromandibular dyskinesia, st</w:t>
            </w:r>
            <w:r>
              <w:rPr>
                <w:rFonts w:cs="Times New Roman" w:ascii="Times New Roman" w:hAnsi="Times New Roman"/>
                <w:sz w:val="22"/>
              </w:rPr>
              <w:t>e</w:t>
            </w:r>
            <w:r>
              <w:rPr>
                <w:rFonts w:cs="Times New Roman" w:ascii="Times New Roman" w:hAnsi="Times New Roman"/>
                <w:sz w:val="22"/>
              </w:rPr>
              <w:t>reotypic limb movement,</w:t>
            </w:r>
            <w:r>
              <w:rPr>
                <w:rFonts w:cs="Times New Roman" w:ascii="Times New Roman" w:hAnsi="Times New Roman"/>
                <w:sz w:val="22"/>
              </w:rPr>
              <w:t xml:space="preserve"> and seizure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Coma</w:t>
            </w:r>
            <w:r>
              <w:rPr>
                <w:rFonts w:cs="Times New Roman" w:ascii="Times New Roman" w:hAnsi="Times New Roman"/>
                <w:sz w:val="22"/>
              </w:rPr>
              <w:t>tose</w:t>
            </w:r>
            <w:r>
              <w:rPr>
                <w:rFonts w:cs="Times New Roman" w:ascii="Times New Roman" w:hAnsi="Times New Roman"/>
                <w:sz w:val="22"/>
              </w:rPr>
              <w:t>, oromandibular dyskinesia, st</w:t>
            </w:r>
            <w:r>
              <w:rPr>
                <w:rFonts w:cs="Times New Roman" w:ascii="Times New Roman" w:hAnsi="Times New Roman"/>
                <w:sz w:val="22"/>
              </w:rPr>
              <w:t>e</w:t>
            </w:r>
            <w:r>
              <w:rPr>
                <w:rFonts w:cs="Times New Roman" w:ascii="Times New Roman" w:hAnsi="Times New Roman"/>
                <w:sz w:val="22"/>
              </w:rPr>
              <w:t>reotypic limb movement</w:t>
            </w:r>
            <w:r>
              <w:rPr>
                <w:rFonts w:cs="Times New Roman" w:ascii="Times New Roman" w:hAnsi="Times New Roman"/>
                <w:sz w:val="22"/>
              </w:rPr>
              <w:t xml:space="preserve">, </w:t>
            </w:r>
            <w:r>
              <w:rPr>
                <w:rFonts w:cs="Times New Roman" w:ascii="Times New Roman" w:hAnsi="Times New Roman"/>
                <w:sz w:val="22"/>
              </w:rPr>
              <w:t>abnormal posture, autonomic instability, and central hypoventilation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Comatose</w:t>
            </w:r>
            <w:r>
              <w:rPr>
                <w:rFonts w:cs="Times New Roman" w:ascii="Times New Roman" w:hAnsi="Times New Roman"/>
                <w:sz w:val="22"/>
              </w:rPr>
              <w:t>,oromandibular dyskinesia, st</w:t>
            </w:r>
            <w:r>
              <w:rPr>
                <w:rFonts w:cs="Times New Roman" w:ascii="Times New Roman" w:hAnsi="Times New Roman"/>
                <w:sz w:val="22"/>
              </w:rPr>
              <w:t>e</w:t>
            </w:r>
            <w:r>
              <w:rPr>
                <w:rFonts w:cs="Times New Roman" w:ascii="Times New Roman" w:hAnsi="Times New Roman"/>
                <w:sz w:val="22"/>
              </w:rPr>
              <w:t>reotypic limb movement</w:t>
            </w:r>
            <w:r>
              <w:rPr>
                <w:rFonts w:cs="Times New Roman" w:ascii="Times New Roman" w:hAnsi="Times New Roman"/>
                <w:sz w:val="22"/>
              </w:rPr>
              <w:t xml:space="preserve">, </w:t>
            </w:r>
            <w:r>
              <w:rPr>
                <w:rFonts w:cs="Times New Roman" w:ascii="Times New Roman" w:hAnsi="Times New Roman"/>
                <w:sz w:val="22"/>
              </w:rPr>
              <w:t>autonomic instability, and central hypoventilation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mRS at 1 year after onset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5 (minimally conscious state)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5 (vegetative state)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mRS at </w:t>
            </w:r>
            <w:r>
              <w:rPr>
                <w:rFonts w:cs="Times New Roman" w:ascii="Times New Roman" w:hAnsi="Times New Roman"/>
                <w:sz w:val="22"/>
              </w:rPr>
              <w:t>1</w:t>
            </w:r>
            <w:r>
              <w:rPr>
                <w:rFonts w:cs="Times New Roman" w:ascii="Times New Roman" w:hAnsi="Times New Roman"/>
                <w:sz w:val="22"/>
              </w:rPr>
              <w:t>8 month after onset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4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5 (m</w:t>
            </w:r>
            <w:r>
              <w:rPr>
                <w:rFonts w:cs="Times New Roman" w:ascii="Times New Roman" w:hAnsi="Times New Roman"/>
                <w:sz w:val="22"/>
              </w:rPr>
              <w:t>inimally conscious state</w:t>
            </w:r>
            <w:r>
              <w:rPr>
                <w:rFonts w:cs="Times New Roman" w:ascii="Times New Roman" w:hAnsi="Times New Roman"/>
                <w:sz w:val="22"/>
              </w:rPr>
              <w:t>)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m</w:t>
            </w:r>
            <w:r>
              <w:rPr>
                <w:rFonts w:cs="Times New Roman" w:ascii="Times New Roman" w:hAnsi="Times New Roman"/>
                <w:sz w:val="22"/>
              </w:rPr>
              <w:t>RS at last-follow-up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4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4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</w:t>
            </w:r>
          </w:p>
        </w:tc>
      </w:tr>
      <w:tr>
        <w:trPr>
          <w:trHeight w:val="348" w:hRule="atLeast"/>
        </w:trPr>
        <w:tc>
          <w:tcPr>
            <w:tcW w:w="2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Follow-up, month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/>
            </w:pPr>
            <w:r>
              <w:rPr>
                <w:rFonts w:cs="Times New Roman" w:ascii="Times New Roman" w:hAnsi="Times New Roman"/>
                <w:sz w:val="22"/>
              </w:rPr>
              <w:t>2</w:t>
            </w:r>
            <w:r>
              <w:rPr>
                <w:rFonts w:cs="Times New Roman" w:ascii="Times New Roman" w:hAnsi="Times New Roman"/>
                <w:sz w:val="22"/>
              </w:rPr>
              <w:t>7</w:t>
            </w:r>
          </w:p>
        </w:tc>
        <w:tc>
          <w:tcPr>
            <w:tcW w:w="3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25</w:t>
            </w:r>
          </w:p>
        </w:tc>
        <w:tc>
          <w:tcPr>
            <w:tcW w:w="3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 w:before="0" w:after="160"/>
              <w:jc w:val="star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18</w:t>
            </w:r>
          </w:p>
        </w:tc>
      </w:tr>
    </w:tbl>
    <w:p>
      <w:pPr>
        <w:pStyle w:val="Normal"/>
        <w:spacing w:lineRule="auto" w:line="480" w:before="0" w:after="0"/>
        <w:jc w:val="start"/>
        <w:rPr/>
      </w:pPr>
      <w:r>
        <w:rPr>
          <w:rFonts w:eastAsia="Arial Unicode MS" w:cs="Times New Roman" w:ascii="Times New Roman" w:hAnsi="Times New Roman"/>
          <w:kern w:val="0"/>
          <w:sz w:val="22"/>
        </w:rPr>
        <w:t>Psy=psychiatric symptoms; Sp=speech dysfunction; Mm=memory dysfunction; Sz=seizures; Mv=movement disorder, C=consciousness decrement; A=autonomic dysfunction, HV=central hypoventilation; CSF=cerebrospinal fluid; MRI=magnetic resonance imaging; EEG=electroencephalography; IVIg=intravenous immunoglobulin; MP=methylprednisolone; PLEX=plasmapheresis; RTX=rituximab; CYC=cyclophosphamide; TCZ=tocilizumab; IL2=low-dose interleukin-2;</w:t>
      </w:r>
      <w:r>
        <w:rPr>
          <w:rFonts w:cs="Times New Roman" w:ascii="Times New Roman" w:hAnsi="Times New Roman"/>
          <w:sz w:val="22"/>
        </w:rPr>
        <w:t xml:space="preserve"> mRS=modified Rankin Scale</w:t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Malgun Gothic">
    <w:charset w:val="81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uto" w:line="257" w:before="0" w:after="160"/>
      <w:jc w:val="both"/>
    </w:pPr>
    <w:rPr>
      <w:rFonts w:ascii="Malgun Gothic" w:hAnsi="Malgun Gothic" w:eastAsia="Malgun Gothic" w:cs="Times New Roman"/>
      <w:color w:val="auto"/>
      <w:kern w:val="2"/>
      <w:sz w:val="20"/>
      <w:szCs w:val="22"/>
      <w:lang w:val="en-US" w:eastAsia="ko-KR" w:bidi="ar-SA"/>
    </w:rPr>
  </w:style>
  <w:style w:type="character" w:styleId="Carpredefinitoparagrafo">
    <w:name w:val="Car. predefinito paragrafo"/>
    <w:qFormat/>
    <w:rPr/>
  </w:style>
  <w:style w:type="character" w:styleId="IntestazioneCarattere">
    <w:name w:val="Intestazione Carattere"/>
    <w:basedOn w:val="Carpredefinitoparagrafo"/>
    <w:qFormat/>
    <w:rPr/>
  </w:style>
  <w:style w:type="character" w:styleId="PidipaginaCarattere">
    <w:name w:val="Piè di pagina Carattere"/>
    <w:basedOn w:val="Carpredefinitoparagraf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80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2018-06-24T07:54:00Z</dcterms:created>
  <dc:creator>YW Shin</dc:creator>
  <dc:description/>
  <dc:language>en-US</dc:language>
  <cp:lastModifiedBy>Margherita Nosadini</cp:lastModifiedBy>
  <dcterms:modified xsi:type="dcterms:W3CDTF">2018-06-24T07:54:00Z</dcterms:modified>
  <cp:revision>2</cp:revision>
  <dc:subject/>
  <dc:title/>
</cp:coreProperties>
</file>