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fill="FFFFFF" w:val="clear"/>
        <w:spacing w:lineRule="atLeast" w:line="348" w:before="0" w:after="0"/>
        <w:rPr/>
      </w:pPr>
      <w:hyperlink r:id="rId2">
        <w:r>
          <w:rPr>
            <w:rStyle w:val="Hyperlink"/>
            <w:rFonts w:eastAsia="Times New Roman" w:cs="Arial" w:ascii="Arial" w:hAnsi="Arial"/>
            <w:color w:val="660066"/>
            <w:sz w:val="20"/>
            <w:u w:val="single"/>
            <w:lang w:eastAsia="it-IT"/>
          </w:rPr>
          <w:t>Rinsho Shinkeigaku.</w:t>
        </w:r>
      </w:hyperlink>
      <w:r>
        <w:rPr>
          <w:rFonts w:eastAsia="Times New Roman" w:cs="Arial" w:ascii="Arial" w:hAnsi="Arial"/>
          <w:color w:val="000000"/>
          <w:sz w:val="20"/>
          <w:szCs w:val="20"/>
          <w:lang w:eastAsia="it-IT"/>
        </w:rPr>
        <w:t> 2010 Feb;50(2):103-7.</w:t>
      </w:r>
    </w:p>
    <w:p>
      <w:pPr>
        <w:pStyle w:val="Normal"/>
        <w:numPr>
          <w:ilvl w:val="0"/>
          <w:numId w:val="0"/>
        </w:numPr>
        <w:shd w:fill="FFFFFF" w:val="clear"/>
        <w:spacing w:lineRule="atLeast" w:line="300" w:before="120" w:after="120"/>
        <w:outlineLvl w:val="0"/>
        <w:rPr/>
      </w:pPr>
      <w:r>
        <w:rPr>
          <w:rFonts w:eastAsia="Times New Roman" w:cs="Arial" w:ascii="Arial" w:hAnsi="Arial"/>
          <w:b/>
          <w:bCs/>
          <w:color w:val="000000"/>
          <w:kern w:val="2"/>
          <w:sz w:val="34"/>
          <w:szCs w:val="34"/>
          <w:lang w:eastAsia="it-IT"/>
        </w:rPr>
        <w:t>[</w:t>
      </w:r>
      <w:r>
        <w:rPr>
          <w:rFonts w:eastAsia="Times New Roman" w:cs="Arial" w:ascii="Arial" w:hAnsi="Arial"/>
          <w:b/>
          <w:bCs/>
          <w:color w:val="000000"/>
          <w:kern w:val="2"/>
          <w:sz w:val="34"/>
          <w:lang w:eastAsia="it-IT"/>
        </w:rPr>
        <w:t>Anti-NMDA receptor encephalitis</w:t>
      </w:r>
      <w:r>
        <w:rPr>
          <w:rFonts w:eastAsia="Times New Roman" w:cs="Arial" w:ascii="Arial" w:hAnsi="Arial"/>
          <w:b/>
          <w:bCs/>
          <w:color w:val="000000"/>
          <w:kern w:val="2"/>
          <w:sz w:val="34"/>
          <w:szCs w:val="34"/>
          <w:lang w:eastAsia="it-IT"/>
        </w:rPr>
        <w:t> during pregnancy].</w:t>
      </w:r>
    </w:p>
    <w:p>
      <w:pPr>
        <w:pStyle w:val="Normal"/>
        <w:shd w:fill="FFFFFF" w:val="clear"/>
        <w:spacing w:lineRule="auto" w:line="240" w:before="0" w:after="0"/>
        <w:rPr>
          <w:rFonts w:ascii="Arial" w:hAnsi="Arial" w:eastAsia="Times New Roman" w:cs="Arial"/>
          <w:color w:val="000000"/>
          <w:sz w:val="24"/>
          <w:szCs w:val="24"/>
          <w:lang w:eastAsia="it-IT"/>
        </w:rPr>
      </w:pPr>
      <w:r>
        <w:rPr>
          <w:rFonts w:eastAsia="Times New Roman" w:cs="Arial" w:ascii="Arial" w:hAnsi="Arial"/>
          <w:color w:val="000000"/>
          <w:sz w:val="24"/>
          <w:szCs w:val="24"/>
          <w:lang w:eastAsia="it-IT"/>
        </w:rPr>
        <w:t>[Article in Japanese]</w:t>
      </w:r>
    </w:p>
    <w:p>
      <w:pPr>
        <w:pStyle w:val="Normal"/>
        <w:shd w:fill="FFFFFF" w:val="clear"/>
        <w:spacing w:lineRule="auto" w:line="240" w:before="0" w:after="0"/>
        <w:rPr/>
      </w:pPr>
      <w:hyperlink r:id="rId3" w:tgtFrame="_blank">
        <w:r>
          <w:rPr>
            <w:rStyle w:val="Hyperlink"/>
            <w:rFonts w:eastAsia="Times New Roman" w:cs="Arial" w:ascii="Arial" w:hAnsi="Arial"/>
            <w:color w:val="660066"/>
            <w:u w:val="single"/>
            <w:lang w:eastAsia="it-IT"/>
          </w:rPr>
          <w:t>Ito Y</w:t>
        </w:r>
      </w:hyperlink>
      <w:r>
        <w:rPr>
          <w:rFonts w:eastAsia="Times New Roman" w:cs="Arial" w:ascii="Arial" w:hAnsi="Arial"/>
          <w:color w:val="000000"/>
          <w:sz w:val="19"/>
          <w:szCs w:val="19"/>
          <w:vertAlign w:val="superscript"/>
          <w:lang w:eastAsia="it-IT"/>
        </w:rPr>
        <w:t>1</w:t>
      </w:r>
      <w:r>
        <w:rPr>
          <w:rFonts w:eastAsia="Times New Roman" w:cs="Arial" w:ascii="Arial" w:hAnsi="Arial"/>
          <w:color w:val="000000"/>
          <w:lang w:eastAsia="it-IT"/>
        </w:rPr>
        <w:t>, </w:t>
      </w:r>
      <w:hyperlink r:id="rId4" w:tgtFrame="_blank">
        <w:r>
          <w:rPr>
            <w:rStyle w:val="Hyperlink"/>
            <w:rFonts w:eastAsia="Times New Roman" w:cs="Arial" w:ascii="Arial" w:hAnsi="Arial"/>
            <w:color w:val="660066"/>
            <w:u w:val="single"/>
            <w:lang w:eastAsia="it-IT"/>
          </w:rPr>
          <w:t>Abe T</w:t>
        </w:r>
      </w:hyperlink>
      <w:r>
        <w:rPr>
          <w:rFonts w:eastAsia="Times New Roman" w:cs="Arial" w:ascii="Arial" w:hAnsi="Arial"/>
          <w:color w:val="000000"/>
          <w:lang w:eastAsia="it-IT"/>
        </w:rPr>
        <w:t>, </w:t>
      </w:r>
      <w:hyperlink r:id="rId5" w:tgtFrame="_blank">
        <w:r>
          <w:rPr>
            <w:rStyle w:val="Hyperlink"/>
            <w:rFonts w:eastAsia="Times New Roman" w:cs="Arial" w:ascii="Arial" w:hAnsi="Arial"/>
            <w:color w:val="660066"/>
            <w:u w:val="single"/>
            <w:lang w:eastAsia="it-IT"/>
          </w:rPr>
          <w:t>Tomioka R</w:t>
        </w:r>
      </w:hyperlink>
      <w:r>
        <w:rPr>
          <w:rFonts w:eastAsia="Times New Roman" w:cs="Arial" w:ascii="Arial" w:hAnsi="Arial"/>
          <w:color w:val="000000"/>
          <w:lang w:eastAsia="it-IT"/>
        </w:rPr>
        <w:t>, </w:t>
      </w:r>
      <w:hyperlink r:id="rId6" w:tgtFrame="_blank">
        <w:r>
          <w:rPr>
            <w:rStyle w:val="Hyperlink"/>
            <w:rFonts w:eastAsia="Times New Roman" w:cs="Arial" w:ascii="Arial" w:hAnsi="Arial"/>
            <w:color w:val="660066"/>
            <w:u w:val="single"/>
            <w:lang w:eastAsia="it-IT"/>
          </w:rPr>
          <w:t>Komori T</w:t>
        </w:r>
      </w:hyperlink>
      <w:r>
        <w:rPr>
          <w:rFonts w:eastAsia="Times New Roman" w:cs="Arial" w:ascii="Arial" w:hAnsi="Arial"/>
          <w:color w:val="000000"/>
          <w:lang w:eastAsia="it-IT"/>
        </w:rPr>
        <w:t>, </w:t>
      </w:r>
      <w:hyperlink r:id="rId7" w:tgtFrame="_blank">
        <w:r>
          <w:rPr>
            <w:rStyle w:val="Hyperlink"/>
            <w:rFonts w:eastAsia="Times New Roman" w:cs="Arial" w:ascii="Arial" w:hAnsi="Arial"/>
            <w:color w:val="660066"/>
            <w:u w:val="single"/>
            <w:lang w:eastAsia="it-IT"/>
          </w:rPr>
          <w:t>Araki N</w:t>
        </w:r>
      </w:hyperlink>
      <w:r>
        <w:rPr>
          <w:rFonts w:eastAsia="Times New Roman" w:cs="Arial" w:ascii="Arial" w:hAnsi="Arial"/>
          <w:color w:val="000000"/>
          <w:lang w:eastAsia="it-IT"/>
        </w:rPr>
        <w:t>.</w:t>
      </w:r>
    </w:p>
    <w:p>
      <w:pPr>
        <w:pStyle w:val="Normal"/>
        <w:numPr>
          <w:ilvl w:val="0"/>
          <w:numId w:val="0"/>
        </w:numPr>
        <w:shd w:fill="FFFFFF" w:val="clear"/>
        <w:spacing w:lineRule="auto" w:line="240" w:before="0" w:after="0"/>
        <w:outlineLvl w:val="2"/>
        <w:rPr>
          <w:rFonts w:ascii="Arial" w:hAnsi="Arial" w:eastAsia="Times New Roman" w:cs="Arial"/>
          <w:b/>
          <w:bCs/>
          <w:color w:val="724128"/>
          <w:sz w:val="26"/>
          <w:szCs w:val="26"/>
          <w:lang w:eastAsia="it-IT"/>
        </w:rPr>
      </w:pPr>
      <w:r>
        <w:rPr>
          <w:rFonts w:eastAsia="Times New Roman" w:cs="Arial" w:ascii="Arial" w:hAnsi="Arial"/>
          <w:b/>
          <w:bCs/>
          <w:color w:val="724128"/>
          <w:sz w:val="26"/>
          <w:szCs w:val="26"/>
          <w:lang w:eastAsia="it-IT"/>
        </w:rPr>
      </w:r>
    </w:p>
    <w:p>
      <w:pPr>
        <w:pStyle w:val="Normal"/>
        <w:numPr>
          <w:ilvl w:val="0"/>
          <w:numId w:val="0"/>
        </w:numPr>
        <w:shd w:fill="FFFFFF" w:val="clear"/>
        <w:spacing w:lineRule="auto" w:line="240" w:before="0" w:after="0"/>
        <w:outlineLvl w:val="2"/>
        <w:rPr>
          <w:rFonts w:ascii="Arial" w:hAnsi="Arial" w:eastAsia="Times New Roman" w:cs="Arial"/>
          <w:b/>
          <w:bCs/>
          <w:color w:val="985735"/>
          <w:sz w:val="26"/>
          <w:szCs w:val="26"/>
          <w:lang w:eastAsia="it-IT"/>
        </w:rPr>
      </w:pPr>
      <w:r>
        <w:rPr>
          <w:rFonts w:eastAsia="Times New Roman" w:cs="Arial" w:ascii="Arial" w:hAnsi="Arial"/>
          <w:b/>
          <w:bCs/>
          <w:color w:val="985735"/>
          <w:sz w:val="26"/>
          <w:szCs w:val="26"/>
          <w:lang w:eastAsia="it-IT"/>
        </w:rPr>
        <w:t>Abstract</w:t>
      </w:r>
    </w:p>
    <w:p>
      <w:pPr>
        <w:pStyle w:val="Normal"/>
        <w:shd w:fill="FFFFFF" w:val="clear"/>
        <w:spacing w:lineRule="atLeast" w:line="369" w:before="0" w:after="120"/>
        <w:rPr/>
      </w:pPr>
      <w:r>
        <w:rPr>
          <w:rFonts w:eastAsia="Times New Roman" w:cs="Arial" w:ascii="Arial" w:hAnsi="Arial"/>
          <w:color w:val="000000"/>
          <w:sz w:val="25"/>
          <w:szCs w:val="25"/>
          <w:lang w:eastAsia="it-IT"/>
        </w:rPr>
        <w:t>A 19-year-old female in her 2nd trimester (17 weeks) of pregnancy became irritable a few days before admission. She became unable to open her mouth and could not talk. She was admitted to the psychiatric hospital due to a rapid change in behavior and a consciousness disturbance. She was diagnosed as having schizophrenia by a psychiatrist. Her EEG showed diffuse high voltage and slow waves. Acute </w:t>
      </w:r>
      <w:r>
        <w:rPr>
          <w:rFonts w:eastAsia="Times New Roman" w:cs="Arial" w:ascii="Arial" w:hAnsi="Arial"/>
          <w:color w:val="000000"/>
          <w:sz w:val="25"/>
          <w:lang w:eastAsia="it-IT"/>
        </w:rPr>
        <w:t>encephalitis</w:t>
      </w:r>
      <w:r>
        <w:rPr>
          <w:rFonts w:eastAsia="Times New Roman" w:cs="Arial" w:ascii="Arial" w:hAnsi="Arial"/>
          <w:color w:val="000000"/>
          <w:sz w:val="25"/>
          <w:szCs w:val="25"/>
          <w:lang w:eastAsia="it-IT"/>
        </w:rPr>
        <w:t> was then suspected. Her past and family histories were not suggestive of viral infection. On physical examination, she had a low grade fever. She had hyperhidrosis, autophagia, and repeated oral dyskinesia. Her consciousness level fluctuated from somnolence to stupor. Although her blood CRP level was mildly elevated and she had mild pleocytosis, HSV-PCR was negative in the cerebrospinal fluid (CSF). Abdominal ultrasound examination and MRI showed no ovarian teratoma. Computed tomography (CT) and magnetic resonance imaging (MRI) showed no brain abnormalities. Before analysis for specific nervous system </w:t>
      </w:r>
      <w:r>
        <w:rPr>
          <w:rFonts w:eastAsia="Times New Roman" w:cs="Arial" w:ascii="Arial" w:hAnsi="Arial"/>
          <w:color w:val="000000"/>
          <w:sz w:val="25"/>
          <w:lang w:eastAsia="it-IT"/>
        </w:rPr>
        <w:t>antibodies</w:t>
      </w:r>
      <w:r>
        <w:rPr>
          <w:rFonts w:eastAsia="Times New Roman" w:cs="Arial" w:ascii="Arial" w:hAnsi="Arial"/>
          <w:color w:val="000000"/>
          <w:sz w:val="25"/>
          <w:szCs w:val="25"/>
          <w:lang w:eastAsia="it-IT"/>
        </w:rPr>
        <w:t>, the initial diagnosis was non-herpetic limbic </w:t>
      </w:r>
      <w:r>
        <w:rPr>
          <w:rFonts w:eastAsia="Times New Roman" w:cs="Arial" w:ascii="Arial" w:hAnsi="Arial"/>
          <w:color w:val="000000"/>
          <w:sz w:val="25"/>
          <w:lang w:eastAsia="it-IT"/>
        </w:rPr>
        <w:t>encephalitis</w:t>
      </w:r>
      <w:r>
        <w:rPr>
          <w:rFonts w:eastAsia="Times New Roman" w:cs="Arial" w:ascii="Arial" w:hAnsi="Arial"/>
          <w:color w:val="000000"/>
          <w:sz w:val="25"/>
          <w:szCs w:val="25"/>
          <w:lang w:eastAsia="it-IT"/>
        </w:rPr>
        <w:t>. She was twice treated with a 6-day course of methylprednisolone (500 mg/day) infusion. She was also given phenobarbital since she had a tonic-clonic seizure about 1 month after admission. Finally, she had a normal delivery at 37 weeks. The baby was healthy, and the patient was discharged without sequelae. We concluded that her diagnosis was </w:t>
      </w:r>
      <w:r>
        <w:rPr>
          <w:rFonts w:eastAsia="Times New Roman" w:cs="Arial" w:ascii="Arial" w:hAnsi="Arial"/>
          <w:color w:val="000000"/>
          <w:sz w:val="25"/>
          <w:lang w:eastAsia="it-IT"/>
        </w:rPr>
        <w:t>anti-N-methyl-D-aspartate</w:t>
      </w:r>
      <w:r>
        <w:rPr>
          <w:rFonts w:eastAsia="Times New Roman" w:cs="Arial" w:ascii="Arial" w:hAnsi="Arial"/>
          <w:color w:val="000000"/>
          <w:sz w:val="25"/>
          <w:szCs w:val="25"/>
          <w:lang w:eastAsia="it-IT"/>
        </w:rPr>
        <w:t> (</w:t>
      </w:r>
      <w:r>
        <w:rPr>
          <w:rFonts w:eastAsia="Times New Roman" w:cs="Arial" w:ascii="Arial" w:hAnsi="Arial"/>
          <w:color w:val="000000"/>
          <w:sz w:val="25"/>
          <w:lang w:eastAsia="it-IT"/>
        </w:rPr>
        <w:t>NMDA</w:t>
      </w:r>
      <w:r>
        <w:rPr>
          <w:rFonts w:eastAsia="Times New Roman" w:cs="Arial" w:ascii="Arial" w:hAnsi="Arial"/>
          <w:color w:val="000000"/>
          <w:sz w:val="25"/>
          <w:szCs w:val="25"/>
          <w:lang w:eastAsia="it-IT"/>
        </w:rPr>
        <w:t>) </w:t>
      </w:r>
      <w:r>
        <w:rPr>
          <w:rFonts w:eastAsia="Times New Roman" w:cs="Arial" w:ascii="Arial" w:hAnsi="Arial"/>
          <w:color w:val="000000"/>
          <w:sz w:val="25"/>
          <w:lang w:eastAsia="it-IT"/>
        </w:rPr>
        <w:t>receptor</w:t>
      </w:r>
      <w:r>
        <w:rPr>
          <w:rFonts w:eastAsia="Times New Roman" w:cs="Arial" w:ascii="Arial" w:hAnsi="Arial"/>
          <w:color w:val="000000"/>
          <w:sz w:val="25"/>
          <w:szCs w:val="25"/>
          <w:lang w:eastAsia="it-IT"/>
        </w:rPr>
        <w:t> (</w:t>
      </w:r>
      <w:r>
        <w:rPr>
          <w:rFonts w:eastAsia="Times New Roman" w:cs="Arial" w:ascii="Arial" w:hAnsi="Arial"/>
          <w:color w:val="000000"/>
          <w:sz w:val="25"/>
          <w:lang w:eastAsia="it-IT"/>
        </w:rPr>
        <w:t>anti</w:t>
      </w:r>
      <w:r>
        <w:rPr>
          <w:rFonts w:eastAsia="Times New Roman" w:cs="Arial" w:ascii="Arial" w:hAnsi="Arial"/>
          <w:color w:val="000000"/>
          <w:sz w:val="25"/>
          <w:szCs w:val="25"/>
          <w:lang w:eastAsia="it-IT"/>
        </w:rPr>
        <w:t>-</w:t>
      </w:r>
      <w:r>
        <w:rPr>
          <w:rFonts w:eastAsia="Times New Roman" w:cs="Arial" w:ascii="Arial" w:hAnsi="Arial"/>
          <w:color w:val="000000"/>
          <w:sz w:val="25"/>
          <w:lang w:eastAsia="it-IT"/>
        </w:rPr>
        <w:t>NMDAR</w:t>
      </w:r>
      <w:r>
        <w:rPr>
          <w:rFonts w:eastAsia="Times New Roman" w:cs="Arial" w:ascii="Arial" w:hAnsi="Arial"/>
          <w:color w:val="000000"/>
          <w:sz w:val="25"/>
          <w:szCs w:val="25"/>
          <w:lang w:eastAsia="it-IT"/>
        </w:rPr>
        <w:t>) </w:t>
      </w:r>
      <w:r>
        <w:rPr>
          <w:rFonts w:eastAsia="Times New Roman" w:cs="Arial" w:ascii="Arial" w:hAnsi="Arial"/>
          <w:color w:val="000000"/>
          <w:sz w:val="25"/>
          <w:lang w:eastAsia="it-IT"/>
        </w:rPr>
        <w:t>encephalitis</w:t>
      </w:r>
      <w:r>
        <w:rPr>
          <w:rFonts w:eastAsia="Times New Roman" w:cs="Arial" w:ascii="Arial" w:hAnsi="Arial"/>
          <w:color w:val="000000"/>
          <w:sz w:val="25"/>
          <w:szCs w:val="25"/>
          <w:lang w:eastAsia="it-IT"/>
        </w:rPr>
        <w:t> based on the presence of </w:t>
      </w:r>
      <w:r>
        <w:rPr>
          <w:rFonts w:eastAsia="Times New Roman" w:cs="Arial" w:ascii="Arial" w:hAnsi="Arial"/>
          <w:color w:val="000000"/>
          <w:sz w:val="25"/>
          <w:lang w:eastAsia="it-IT"/>
        </w:rPr>
        <w:t>anti</w:t>
      </w:r>
      <w:r>
        <w:rPr>
          <w:rFonts w:eastAsia="Times New Roman" w:cs="Arial" w:ascii="Arial" w:hAnsi="Arial"/>
          <w:color w:val="000000"/>
          <w:sz w:val="25"/>
          <w:szCs w:val="25"/>
          <w:lang w:eastAsia="it-IT"/>
        </w:rPr>
        <w:t>-</w:t>
      </w:r>
      <w:r>
        <w:rPr>
          <w:rFonts w:eastAsia="Times New Roman" w:cs="Arial" w:ascii="Arial" w:hAnsi="Arial"/>
          <w:color w:val="000000"/>
          <w:sz w:val="25"/>
          <w:lang w:eastAsia="it-IT"/>
        </w:rPr>
        <w:t>NMDAR</w:t>
      </w:r>
      <w:r>
        <w:rPr>
          <w:rFonts w:eastAsia="Times New Roman" w:cs="Arial" w:ascii="Arial" w:hAnsi="Arial"/>
          <w:color w:val="000000"/>
          <w:sz w:val="25"/>
          <w:szCs w:val="25"/>
          <w:lang w:eastAsia="it-IT"/>
        </w:rPr>
        <w:t> </w:t>
      </w:r>
      <w:r>
        <w:rPr>
          <w:rFonts w:eastAsia="Times New Roman" w:cs="Arial" w:ascii="Arial" w:hAnsi="Arial"/>
          <w:color w:val="000000"/>
          <w:sz w:val="25"/>
          <w:lang w:eastAsia="it-IT"/>
        </w:rPr>
        <w:t>antibody</w:t>
      </w:r>
      <w:r>
        <w:rPr>
          <w:rFonts w:eastAsia="Times New Roman" w:cs="Arial" w:ascii="Arial" w:hAnsi="Arial"/>
          <w:color w:val="000000"/>
          <w:sz w:val="25"/>
          <w:szCs w:val="25"/>
          <w:lang w:eastAsia="it-IT"/>
        </w:rPr>
        <w:t> in the CSF. This report is the first description of a patient with </w:t>
      </w:r>
      <w:r>
        <w:rPr>
          <w:rFonts w:eastAsia="Times New Roman" w:cs="Arial" w:ascii="Arial" w:hAnsi="Arial"/>
          <w:color w:val="000000"/>
          <w:sz w:val="25"/>
          <w:lang w:eastAsia="it-IT"/>
        </w:rPr>
        <w:t>anti</w:t>
      </w:r>
      <w:r>
        <w:rPr>
          <w:rFonts w:eastAsia="Times New Roman" w:cs="Arial" w:ascii="Arial" w:hAnsi="Arial"/>
          <w:color w:val="000000"/>
          <w:sz w:val="25"/>
          <w:szCs w:val="25"/>
          <w:lang w:eastAsia="it-IT"/>
        </w:rPr>
        <w:t>-</w:t>
      </w:r>
      <w:r>
        <w:rPr>
          <w:rFonts w:eastAsia="Times New Roman" w:cs="Arial" w:ascii="Arial" w:hAnsi="Arial"/>
          <w:color w:val="000000"/>
          <w:sz w:val="25"/>
          <w:lang w:eastAsia="it-IT"/>
        </w:rPr>
        <w:t>NMDAR</w:t>
      </w:r>
      <w:r>
        <w:rPr>
          <w:rFonts w:eastAsia="Times New Roman" w:cs="Arial" w:ascii="Arial" w:hAnsi="Arial"/>
          <w:color w:val="000000"/>
          <w:sz w:val="25"/>
          <w:szCs w:val="25"/>
          <w:lang w:eastAsia="it-IT"/>
        </w:rPr>
        <w:t> </w:t>
      </w:r>
      <w:r>
        <w:rPr>
          <w:rFonts w:eastAsia="Times New Roman" w:cs="Arial" w:ascii="Arial" w:hAnsi="Arial"/>
          <w:color w:val="000000"/>
          <w:sz w:val="25"/>
          <w:lang w:eastAsia="it-IT"/>
        </w:rPr>
        <w:t>antibody</w:t>
      </w:r>
      <w:r>
        <w:rPr>
          <w:rFonts w:eastAsia="Times New Roman" w:cs="Arial" w:ascii="Arial" w:hAnsi="Arial"/>
          <w:color w:val="000000"/>
          <w:sz w:val="25"/>
          <w:szCs w:val="25"/>
          <w:lang w:eastAsia="it-IT"/>
        </w:rPr>
        <w:t> </w:t>
      </w:r>
      <w:r>
        <w:rPr>
          <w:rFonts w:eastAsia="Times New Roman" w:cs="Arial" w:ascii="Arial" w:hAnsi="Arial"/>
          <w:color w:val="000000"/>
          <w:sz w:val="25"/>
          <w:lang w:eastAsia="it-IT"/>
        </w:rPr>
        <w:t>encephalitis</w:t>
      </w:r>
      <w:r>
        <w:rPr>
          <w:rFonts w:eastAsia="Times New Roman" w:cs="Arial" w:ascii="Arial" w:hAnsi="Arial"/>
          <w:color w:val="000000"/>
          <w:sz w:val="25"/>
          <w:szCs w:val="25"/>
          <w:lang w:eastAsia="it-IT"/>
        </w:rPr>
        <w:t>. The precise mechanism of this </w:t>
      </w:r>
      <w:r>
        <w:rPr>
          <w:rFonts w:eastAsia="Times New Roman" w:cs="Arial" w:ascii="Arial" w:hAnsi="Arial"/>
          <w:color w:val="000000"/>
          <w:sz w:val="25"/>
          <w:lang w:eastAsia="it-IT"/>
        </w:rPr>
        <w:t>encephalitis</w:t>
      </w:r>
      <w:r>
        <w:rPr>
          <w:rFonts w:eastAsia="Times New Roman" w:cs="Arial" w:ascii="Arial" w:hAnsi="Arial"/>
          <w:color w:val="000000"/>
          <w:sz w:val="25"/>
          <w:szCs w:val="25"/>
          <w:lang w:eastAsia="it-IT"/>
        </w:rPr>
        <w:t> is not clear, although there have been several reports of autoimmune </w:t>
      </w:r>
      <w:r>
        <w:rPr>
          <w:rFonts w:eastAsia="Times New Roman" w:cs="Arial" w:ascii="Arial" w:hAnsi="Arial"/>
          <w:color w:val="000000"/>
          <w:sz w:val="25"/>
          <w:lang w:eastAsia="it-IT"/>
        </w:rPr>
        <w:t>encephalitis</w:t>
      </w:r>
      <w:r>
        <w:rPr>
          <w:rFonts w:eastAsia="Times New Roman" w:cs="Arial" w:ascii="Arial" w:hAnsi="Arial"/>
          <w:color w:val="000000"/>
          <w:sz w:val="25"/>
          <w:szCs w:val="25"/>
          <w:lang w:eastAsia="it-IT"/>
        </w:rPr>
        <w:t> during pregnancy. The patient's CSF </w:t>
      </w:r>
      <w:r>
        <w:rPr>
          <w:rFonts w:eastAsia="Times New Roman" w:cs="Arial" w:ascii="Arial" w:hAnsi="Arial"/>
          <w:color w:val="000000"/>
          <w:sz w:val="25"/>
          <w:lang w:eastAsia="it-IT"/>
        </w:rPr>
        <w:t>anti</w:t>
      </w:r>
      <w:r>
        <w:rPr>
          <w:rFonts w:eastAsia="Times New Roman" w:cs="Arial" w:ascii="Arial" w:hAnsi="Arial"/>
          <w:color w:val="000000"/>
          <w:sz w:val="25"/>
          <w:szCs w:val="25"/>
          <w:lang w:eastAsia="it-IT"/>
        </w:rPr>
        <w:t>-</w:t>
      </w:r>
      <w:r>
        <w:rPr>
          <w:rFonts w:eastAsia="Times New Roman" w:cs="Arial" w:ascii="Arial" w:hAnsi="Arial"/>
          <w:color w:val="000000"/>
          <w:sz w:val="25"/>
          <w:lang w:eastAsia="it-IT"/>
        </w:rPr>
        <w:t>NMDAR</w:t>
      </w:r>
      <w:r>
        <w:rPr>
          <w:rFonts w:eastAsia="Times New Roman" w:cs="Arial" w:ascii="Arial" w:hAnsi="Arial"/>
          <w:color w:val="000000"/>
          <w:sz w:val="25"/>
          <w:szCs w:val="25"/>
          <w:lang w:eastAsia="it-IT"/>
        </w:rPr>
        <w:t> </w:t>
      </w:r>
      <w:r>
        <w:rPr>
          <w:rFonts w:eastAsia="Times New Roman" w:cs="Arial" w:ascii="Arial" w:hAnsi="Arial"/>
          <w:color w:val="000000"/>
          <w:sz w:val="25"/>
          <w:lang w:eastAsia="it-IT"/>
        </w:rPr>
        <w:t>antibody</w:t>
      </w:r>
      <w:r>
        <w:rPr>
          <w:rFonts w:eastAsia="Times New Roman" w:cs="Arial" w:ascii="Arial" w:hAnsi="Arial"/>
          <w:color w:val="000000"/>
          <w:sz w:val="25"/>
          <w:szCs w:val="25"/>
          <w:lang w:eastAsia="it-IT"/>
        </w:rPr>
        <w:t> titer during treatment was measured. Before treatment, the CSF </w:t>
      </w:r>
      <w:r>
        <w:rPr>
          <w:rFonts w:eastAsia="Times New Roman" w:cs="Arial" w:ascii="Arial" w:hAnsi="Arial"/>
          <w:color w:val="000000"/>
          <w:sz w:val="25"/>
          <w:lang w:eastAsia="it-IT"/>
        </w:rPr>
        <w:t>anti</w:t>
      </w:r>
      <w:r>
        <w:rPr>
          <w:rFonts w:eastAsia="Times New Roman" w:cs="Arial" w:ascii="Arial" w:hAnsi="Arial"/>
          <w:color w:val="000000"/>
          <w:sz w:val="25"/>
          <w:szCs w:val="25"/>
          <w:lang w:eastAsia="it-IT"/>
        </w:rPr>
        <w:t>-</w:t>
      </w:r>
      <w:r>
        <w:rPr>
          <w:rFonts w:eastAsia="Times New Roman" w:cs="Arial" w:ascii="Arial" w:hAnsi="Arial"/>
          <w:color w:val="000000"/>
          <w:sz w:val="25"/>
          <w:lang w:eastAsia="it-IT"/>
        </w:rPr>
        <w:t>NMDAR</w:t>
      </w:r>
      <w:r>
        <w:rPr>
          <w:rFonts w:eastAsia="Times New Roman" w:cs="Arial" w:ascii="Arial" w:hAnsi="Arial"/>
          <w:color w:val="000000"/>
          <w:sz w:val="25"/>
          <w:szCs w:val="25"/>
          <w:lang w:eastAsia="it-IT"/>
        </w:rPr>
        <w:t> </w:t>
      </w:r>
      <w:r>
        <w:rPr>
          <w:rFonts w:eastAsia="Times New Roman" w:cs="Arial" w:ascii="Arial" w:hAnsi="Arial"/>
          <w:color w:val="000000"/>
          <w:sz w:val="25"/>
          <w:lang w:eastAsia="it-IT"/>
        </w:rPr>
        <w:t>antibody</w:t>
      </w:r>
      <w:r>
        <w:rPr>
          <w:rFonts w:eastAsia="Times New Roman" w:cs="Arial" w:ascii="Arial" w:hAnsi="Arial"/>
          <w:color w:val="000000"/>
          <w:sz w:val="25"/>
          <w:szCs w:val="25"/>
          <w:lang w:eastAsia="it-IT"/>
        </w:rPr>
        <w:t> titer was strongly positive, but it decreased during treatment and then disappeared after delivery. We hypothesized that the presence of the embryo or placenta may have triggered an antigenic signal and/or </w:t>
      </w:r>
      <w:r>
        <w:rPr>
          <w:rFonts w:eastAsia="Times New Roman" w:cs="Arial" w:ascii="Arial" w:hAnsi="Arial"/>
          <w:color w:val="000000"/>
          <w:sz w:val="25"/>
          <w:lang w:eastAsia="it-IT"/>
        </w:rPr>
        <w:t>antibody</w:t>
      </w:r>
      <w:r>
        <w:rPr>
          <w:rFonts w:eastAsia="Times New Roman" w:cs="Arial" w:ascii="Arial" w:hAnsi="Arial"/>
          <w:color w:val="000000"/>
          <w:sz w:val="25"/>
          <w:szCs w:val="25"/>
          <w:lang w:eastAsia="it-IT"/>
        </w:rPr>
        <w:t> through inappropriate immunological modulation.</w:t>
      </w:r>
    </w:p>
    <w:p>
      <w:pPr>
        <w:pStyle w:val="Normal"/>
        <w:spacing w:before="0" w:after="200"/>
        <w:rPr>
          <w:rFonts w:ascii="Arial" w:hAnsi="Arial" w:eastAsia="Times New Roman" w:cs="Arial"/>
          <w:color w:val="000000"/>
          <w:sz w:val="25"/>
          <w:szCs w:val="25"/>
          <w:lang w:eastAsia="it-IT"/>
        </w:rPr>
      </w:pPr>
      <w:r>
        <w:rPr>
          <w:rFonts w:eastAsia="Times New Roman" w:cs="Arial" w:ascii="Arial" w:hAnsi="Arial"/>
          <w:color w:val="000000"/>
          <w:sz w:val="25"/>
          <w:szCs w:val="25"/>
          <w:lang w:eastAsia="it-IT"/>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8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it-IT" w:bidi="ar-SA" w:eastAsia="zh-CN"/>
    </w:rPr>
  </w:style>
  <w:style w:type="paragraph" w:styleId="Heading1">
    <w:name w:val="heading 1"/>
    <w:basedOn w:val="Normal"/>
    <w:next w:val="BodyText"/>
    <w:qFormat/>
    <w:pPr>
      <w:numPr>
        <w:ilvl w:val="0"/>
        <w:numId w:val="1"/>
      </w:numPr>
      <w:spacing w:lineRule="auto" w:line="240" w:before="280" w:after="280"/>
      <w:outlineLvl w:val="0"/>
    </w:pPr>
    <w:rPr>
      <w:rFonts w:ascii="Times New Roman" w:hAnsi="Times New Roman" w:eastAsia="Times New Roman" w:cs="Times New Roman"/>
      <w:b/>
      <w:bCs/>
      <w:kern w:val="2"/>
      <w:sz w:val="48"/>
      <w:szCs w:val="48"/>
    </w:rPr>
  </w:style>
  <w:style w:type="paragraph" w:styleId="Heading3">
    <w:name w:val="heading 3"/>
    <w:basedOn w:val="Normal"/>
    <w:next w:val="BodyText"/>
    <w:qFormat/>
    <w:pPr>
      <w:numPr>
        <w:ilvl w:val="2"/>
        <w:numId w:val="1"/>
      </w:numPr>
      <w:spacing w:lineRule="auto" w:line="240" w:before="280" w:after="280"/>
      <w:outlineLvl w:val="2"/>
    </w:pPr>
    <w:rPr>
      <w:rFonts w:ascii="Times New Roman" w:hAnsi="Times New Roman" w:eastAsia="Times New Roman" w:cs="Times New Roman"/>
      <w:b/>
      <w:bCs/>
      <w:sz w:val="27"/>
      <w:szCs w:val="27"/>
    </w:rPr>
  </w:style>
  <w:style w:type="character" w:styleId="Carpredefinitoparagrafo">
    <w:name w:val="Car. predefinito paragrafo"/>
    <w:qFormat/>
    <w:rPr/>
  </w:style>
  <w:style w:type="character" w:styleId="Titolo1Carattere">
    <w:name w:val="Titolo 1 Carattere"/>
    <w:basedOn w:val="Carpredefinitoparagrafo"/>
    <w:qFormat/>
    <w:rPr>
      <w:rFonts w:ascii="Times New Roman" w:hAnsi="Times New Roman" w:eastAsia="Times New Roman" w:cs="Times New Roman"/>
      <w:b/>
      <w:bCs/>
      <w:kern w:val="2"/>
      <w:sz w:val="48"/>
      <w:szCs w:val="48"/>
    </w:rPr>
  </w:style>
  <w:style w:type="character" w:styleId="Titolo3Carattere">
    <w:name w:val="Titolo 3 Carattere"/>
    <w:basedOn w:val="Carpredefinitoparagrafo"/>
    <w:qFormat/>
    <w:rPr>
      <w:rFonts w:ascii="Times New Roman" w:hAnsi="Times New Roman" w:eastAsia="Times New Roman" w:cs="Times New Roman"/>
      <w:b/>
      <w:bCs/>
      <w:sz w:val="27"/>
      <w:szCs w:val="27"/>
    </w:rPr>
  </w:style>
  <w:style w:type="character" w:styleId="Hyperlink">
    <w:name w:val="Hyperlink"/>
    <w:basedOn w:val="Carpredefinitoparagrafo"/>
    <w:rPr>
      <w:color w:val="0000FF"/>
      <w:u w:val="single"/>
    </w:rPr>
  </w:style>
  <w:style w:type="character" w:styleId="highlight">
    <w:name w:val="highlight"/>
    <w:basedOn w:val="Carpredefinitoparagrafo"/>
    <w:qFormat/>
    <w:rPr/>
  </w:style>
  <w:style w:type="character" w:styleId="ui-ncbitoggler-master-text">
    <w:name w:val="ui-ncbitoggler-master-text"/>
    <w:basedOn w:val="Carpredefinitoparagrafo"/>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eWeb">
    <w:name w:val="Normale (Web)"/>
    <w:basedOn w:val="Normal"/>
    <w:qFormat/>
    <w:pPr>
      <w:spacing w:lineRule="auto" w:line="240" w:before="280" w:after="280"/>
    </w:pPr>
    <w:rPr>
      <w:rFonts w:ascii="Times New Roman" w:hAnsi="Times New Roman" w:eastAsia="Times New Roman" w:cs="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20196492" TargetMode="External"/><Relationship Id="rId3" Type="http://schemas.openxmlformats.org/officeDocument/2006/relationships/hyperlink" Target="http://www.ncbi.nlm.nih.gov/pubmed/20196492" TargetMode="External"/><Relationship Id="rId4" Type="http://schemas.openxmlformats.org/officeDocument/2006/relationships/hyperlink" Target="http://www.ncbi.nlm.nih.gov/pubmed/20196492" TargetMode="External"/><Relationship Id="rId5" Type="http://schemas.openxmlformats.org/officeDocument/2006/relationships/hyperlink" Target="http://www.ncbi.nlm.nih.gov/pubmed/20196492" TargetMode="External"/><Relationship Id="rId6" Type="http://schemas.openxmlformats.org/officeDocument/2006/relationships/hyperlink" Target="http://www.ncbi.nlm.nih.gov/pubmed/20196492" TargetMode="External"/><Relationship Id="rId7" Type="http://schemas.openxmlformats.org/officeDocument/2006/relationships/hyperlink" Target="http://www.ncbi.nlm.nih.gov/pubmed/20196492"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2018-05-28T14:22:00Z</dcterms:created>
  <dc:creator>Margherita Nosadini</dc:creator>
  <dc:description/>
  <dc:language>en-US</dc:language>
  <cp:lastModifiedBy>Margherita Nosadini</cp:lastModifiedBy>
  <dcterms:modified xsi:type="dcterms:W3CDTF">2018-05-28T14:22:00Z</dcterms:modified>
  <cp:revision>1</cp:revision>
  <dc:subject/>
  <dc:title/>
</cp:coreProperties>
</file>