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Supplementary Table e-2: Patients with post-HSE autoimmune encephalitis according to age and antibody findings</w:t>
      </w:r>
    </w:p>
    <w:tbl>
      <w:tblPr>
        <w:tblW w:w="9215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66"/>
        <w:gridCol w:w="2714"/>
        <w:gridCol w:w="2835"/>
      </w:tblGrid>
      <w:tr>
        <w:trPr>
          <w:trHeight w:val="283" w:hRule="atLeast"/>
        </w:trPr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Adult-teenagers =8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Young Children  =6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Male (%)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 (63%)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3 (50%) 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Age,</w:t>
            </w:r>
            <w:r>
              <w:rPr>
                <w:rFonts w:cs="Times New Roman" w:ascii="Times New Roman" w:hAnsi="Times New Roman"/>
              </w:rPr>
              <w:t xml:space="preserve"> median (range)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40 years (13-69) 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 months (6-20)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Residual deficits post viral infection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Mild (mRS ≤2)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Severe (mRS &gt;2)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 (50%)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 (50%)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 (83%)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 (17%)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Median time from HSE to relapsing symptoms (range)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39 days (12-51)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27 days (17-40)</w:t>
            </w:r>
          </w:p>
        </w:tc>
      </w:tr>
      <w:tr>
        <w:trPr>
          <w:trHeight w:val="1848" w:hRule="atLeast"/>
        </w:trPr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Symptoms at relapse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hanging="175" w:start="175" w:end="0"/>
              <w:contextualSpacing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Seizures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hanging="175" w:start="175" w:end="0"/>
              <w:contextualSpacing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Choreoathetosis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hanging="175" w:start="175" w:end="0"/>
              <w:contextualSpacing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Irritability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hanging="175" w:start="175" w:end="0"/>
              <w:contextualSpacing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Abnormal behavior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hanging="175" w:start="175" w:end="0"/>
              <w:contextualSpacing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Autonomic instability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hanging="175" w:start="175" w:end="0"/>
              <w:contextualSpacing w:val="false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</w:rPr>
              <w:t>Decreased level of consciousness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 (13%)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 (75%)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 (88%)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 (13%)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 (25%)*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 (50%)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6</w:t>
            </w:r>
            <w:r>
              <w:rPr>
                <w:rFonts w:cs="Times New Roman" w:ascii="Times New Roman" w:hAnsi="Times New Roman"/>
                <w:vertAlign w:val="superscript"/>
              </w:rPr>
              <w:t xml:space="preserve"> </w:t>
            </w:r>
            <w:r>
              <w:rPr>
                <w:rFonts w:cs="Times New Roman" w:ascii="Times New Roman" w:hAnsi="Times New Roman"/>
              </w:rPr>
              <w:t>(100%)*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 (100%)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 assessable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 reported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 (100%)*</w:t>
            </w:r>
          </w:p>
        </w:tc>
      </w:tr>
      <w:tr>
        <w:trPr>
          <w:trHeight w:val="1092" w:hRule="atLeast"/>
        </w:trPr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Ancillary tests at relapse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hanging="141" w:start="175" w:end="0"/>
              <w:contextualSpacing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Pleocytosis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hanging="141" w:start="175" w:end="0"/>
              <w:contextualSpacing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Increased CSF proteins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hanging="141" w:start="175" w:end="0"/>
              <w:contextualSpacing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Contrast enhancing brain MRI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5 (63%)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 (50%)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5/6 (83%) (n/a in 2)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5/5 (100%) (n/a in 1)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3/5 (60%) (n/a in 1)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1/3 (33%) (n/a in 3)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Median time from relapse to antibody testing (range)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87 days (17-296)**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 days (0-55)**</w:t>
            </w:r>
          </w:p>
        </w:tc>
      </w:tr>
      <w:tr>
        <w:trPr>
          <w:trHeight w:val="588" w:hRule="atLeast"/>
        </w:trPr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Median time from relapse to immunotherapy (range)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79 days (17-352)*. one not treated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 days (0-12)*</w:t>
            </w:r>
          </w:p>
        </w:tc>
      </w:tr>
      <w:tr>
        <w:trPr>
          <w:trHeight w:val="480" w:hRule="atLeast"/>
        </w:trPr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Antibody Findings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5 NMDAR (62.5%);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 unknown antigens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 NMDAR (100%)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(one concurrent GABA</w:t>
            </w:r>
            <w:r>
              <w:rPr>
                <w:rFonts w:cs="Times New Roman" w:ascii="Times New Roman" w:hAnsi="Times New Roman"/>
                <w:vertAlign w:val="subscript"/>
              </w:rPr>
              <w:t>A</w:t>
            </w:r>
            <w:r>
              <w:rPr>
                <w:rFonts w:cs="Times New Roman" w:ascii="Times New Roman" w:hAnsi="Times New Roman"/>
              </w:rPr>
              <w:t>R)</w:t>
            </w:r>
          </w:p>
        </w:tc>
      </w:tr>
      <w:tr>
        <w:trPr>
          <w:trHeight w:val="1875" w:hRule="atLeast"/>
        </w:trPr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Immunotherapy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Steroids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 w:val="false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 xml:space="preserve">IVIg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 w:val="false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Plasma exchange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 w:val="false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Rituximab alone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 w:val="fals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 xml:space="preserve">Rituximab combined with cyclophosphamide 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7 (</w:t>
            </w:r>
            <w:r>
              <w:rPr>
                <w:rFonts w:cs="Times New Roman" w:ascii="Times New Roman" w:hAnsi="Times New Roman"/>
                <w:lang w:val="es-ES"/>
              </w:rPr>
              <w:t>88%)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  <w:t>3 (38%)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  <w:t>1 (13%)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  <w:t>1 (13%)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  <w:t>1 (13%)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  <w:t>4 (67%)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  <w:t>4 (67%)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  <w:t>3 (50%)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  <w:t>3 (50%)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  <w:t>1 (17%)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cs="Times New Roman" w:ascii="Times New Roman" w:hAnsi="Times New Roman"/>
                <w:lang w:val="es-ES"/>
              </w:rPr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Follow up &gt;1mo,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median (range)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 patients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 months ( 2-20)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 patients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 months (4-12)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Improvement of relapsing symptoms (return to base line deficits post-HSE)</w:t>
            </w:r>
          </w:p>
        </w:tc>
        <w:tc>
          <w:tcPr>
            <w:tcW w:w="2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Complete 7 (87%)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Partial      1 (13%)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 improvement 0</w:t>
            </w:r>
          </w:p>
        </w:tc>
        <w:tc>
          <w:tcPr>
            <w:tcW w:w="28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Complete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Partial 3 (60%)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cs="Times New Roman" w:ascii="Times New Roman" w:hAnsi="Times New Roman"/>
              </w:rPr>
              <w:t>No improvement  2 (40%)</w:t>
            </w:r>
          </w:p>
        </w:tc>
      </w:tr>
    </w:tbl>
    <w:p>
      <w:pPr>
        <w:pStyle w:val="Normal"/>
        <w:spacing w:lineRule="auto" w:line="48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480" w:before="0" w:after="200"/>
        <w:rPr/>
      </w:pPr>
      <w:r>
        <w:rPr>
          <w:rFonts w:cs="Times New Roman" w:ascii="Times New Roman" w:hAnsi="Times New Roman"/>
          <w:sz w:val="20"/>
          <w:szCs w:val="20"/>
          <w:u w:val="single"/>
        </w:rPr>
        <w:t>Table e-2 Legend</w:t>
      </w:r>
      <w:r>
        <w:rPr>
          <w:rFonts w:cs="Times New Roman" w:ascii="Times New Roman" w:hAnsi="Times New Roman"/>
          <w:sz w:val="20"/>
          <w:szCs w:val="20"/>
        </w:rPr>
        <w:t>: * p&lt; 0,01; ** p=0,037; *** p=0,043. Abb</w:t>
      </w: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reviations: CSF: cerebrospinal fluid, GABAAR: </w:t>
      </w:r>
      <w:r>
        <w:rPr>
          <w:rFonts w:cs="Times New Roman" w:ascii="Times New Roman" w:hAnsi="Times New Roman"/>
          <w:color w:val="000000"/>
          <w:sz w:val="20"/>
          <w:szCs w:val="20"/>
          <w:lang w:val="en"/>
        </w:rPr>
        <w:t>gamma amino butyric acid A receptor</w:t>
      </w:r>
      <w:r>
        <w:rPr>
          <w:rFonts w:cs="Times New Roman" w:ascii="Times New Roman" w:hAnsi="Times New Roman"/>
          <w:sz w:val="20"/>
          <w:szCs w:val="20"/>
        </w:rPr>
        <w:t>, HSE: herpes simplex virus encephalitis, IVIg: intravenous immunoglobulins, mo: months, mRS: modified Rankin Score, NMDAR: N-methyl-D-aspartate receptor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5"/>
      <w:numFmt w:val="bullet"/>
      <w:lvlText w:val="-"/>
      <w:lvlJc w:val="start"/>
      <w:pPr>
        <w:tabs>
          <w:tab w:val="num" w:pos="0"/>
        </w:tabs>
        <w:ind w:start="360" w:hanging="360"/>
      </w:pPr>
      <w:rPr>
        <w:rFonts w:ascii="Calibri" w:hAnsi="Calibri" w:cs="Calibri" w:hint="default"/>
      </w:rPr>
    </w:lvl>
  </w:abstractNum>
  <w:abstractNum w:abstractNumId="2">
    <w:lvl w:ilvl="0">
      <w:start w:val="3"/>
      <w:numFmt w:val="bullet"/>
      <w:lvlText w:val="-"/>
      <w:lvlJc w:val="start"/>
      <w:pPr>
        <w:tabs>
          <w:tab w:val="num" w:pos="0"/>
        </w:tabs>
        <w:ind w:start="535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Calibri" w:hAnsi="Calibri" w:eastAsia="Times New Roman" w:cs="Calibri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2015-12-29T00:01:00Z</dcterms:created>
  <dc:creator>thaís armangue</dc:creator>
  <dc:description/>
  <cp:keywords/>
  <dc:language>en-US</dc:language>
  <cp:lastModifiedBy>Margherita Nosadini</cp:lastModifiedBy>
  <dcterms:modified xsi:type="dcterms:W3CDTF">2015-12-29T00:01:00Z</dcterms:modified>
  <cp:revision>2</cp:revision>
  <dc:subject/>
  <dc:title/>
</cp:coreProperties>
</file>