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fill="FFFFFF" w:val="clear"/>
        <w:spacing w:lineRule="auto" w:line="240" w:before="0" w:after="264"/>
        <w:ind w:end="48"/>
        <w:jc w:val="end"/>
        <w:outlineLvl w:val="3"/>
        <w:rPr>
          <w:rFonts w:ascii="Arial" w:hAnsi="Arial" w:eastAsia="Times New Roman" w:cs="Arial"/>
          <w:b/>
          <w:bCs/>
          <w:color w:val="59331F"/>
          <w:sz w:val="20"/>
          <w:szCs w:val="20"/>
          <w:lang w:eastAsia="it-IT"/>
        </w:rPr>
      </w:pPr>
      <w:hyperlink r:id="rId2">
        <w:r>
          <w:rPr>
            <w:rStyle w:val="Hyperlink"/>
            <w:rFonts w:eastAsia="Times New Roman" w:cs="Arial" w:ascii="Arial" w:hAnsi="Arial"/>
            <w:b/>
            <w:bCs/>
            <w:color w:val="642A8F"/>
            <w:sz w:val="20"/>
            <w:szCs w:val="20"/>
            <w:u w:val="single"/>
            <w:lang w:eastAsia="it-IT"/>
          </w:rPr>
          <w:t>Send to</w:t>
        </w:r>
      </w:hyperlink>
    </w:p>
    <w:p>
      <w:pPr>
        <w:pStyle w:val="Normal"/>
        <w:shd w:fill="FFFFFF" w:val="clear"/>
        <w:spacing w:lineRule="atLeast" w:line="348" w:before="0" w:after="0"/>
        <w:rPr/>
      </w:pPr>
      <w:hyperlink r:id="rId3">
        <w:r>
          <w:rPr>
            <w:rStyle w:val="Hyperlink"/>
            <w:rFonts w:eastAsia="Times New Roman" w:cs="Arial" w:ascii="Arial" w:hAnsi="Arial"/>
            <w:color w:val="660066"/>
            <w:sz w:val="17"/>
            <w:szCs w:val="17"/>
            <w:u w:val="single"/>
            <w:lang w:eastAsia="it-IT"/>
          </w:rPr>
          <w:t>Rinsho Shinkeigaku.</w:t>
        </w:r>
      </w:hyperlink>
      <w:r>
        <w:rPr>
          <w:rFonts w:eastAsia="Times New Roman" w:cs="Arial" w:ascii="Arial" w:hAnsi="Arial"/>
          <w:color w:val="000000"/>
          <w:sz w:val="17"/>
          <w:szCs w:val="17"/>
          <w:lang w:eastAsia="it-IT"/>
        </w:rPr>
        <w:t> 2012;52(9):666-71.</w:t>
      </w:r>
    </w:p>
    <w:p>
      <w:pPr>
        <w:pStyle w:val="Normal"/>
        <w:numPr>
          <w:ilvl w:val="0"/>
          <w:numId w:val="0"/>
        </w:numPr>
        <w:shd w:fill="FFFFFF" w:val="clear"/>
        <w:spacing w:lineRule="atLeast" w:line="300" w:before="120" w:after="120"/>
        <w:outlineLvl w:val="0"/>
        <w:rPr/>
      </w:pPr>
      <w:r>
        <w:rPr>
          <w:rFonts w:eastAsia="Times New Roman" w:cs="Arial" w:ascii="Arial" w:hAnsi="Arial"/>
          <w:b/>
          <w:bCs/>
          <w:color w:val="000000"/>
          <w:kern w:val="2"/>
          <w:sz w:val="28"/>
          <w:szCs w:val="28"/>
          <w:lang w:val="en-US" w:eastAsia="it-IT"/>
        </w:rPr>
        <w:t>[Anti-Ma2, anti-NMDA-receptor and anti-GluR</w:t>
      </w:r>
      <w:r>
        <w:rPr>
          <w:rFonts w:eastAsia="Times New Roman" w:cs="Arial" w:ascii="Arial" w:hAnsi="Arial"/>
          <w:b/>
          <w:bCs/>
          <w:color w:val="000000"/>
          <w:kern w:val="2"/>
          <w:sz w:val="28"/>
          <w:szCs w:val="28"/>
          <w:lang w:eastAsia="it-IT"/>
        </w:rPr>
        <w:t>ε</w:t>
      </w:r>
      <w:r>
        <w:rPr>
          <w:rFonts w:eastAsia="Times New Roman" w:cs="Arial" w:ascii="Arial" w:hAnsi="Arial"/>
          <w:b/>
          <w:bCs/>
          <w:color w:val="000000"/>
          <w:kern w:val="2"/>
          <w:sz w:val="28"/>
          <w:szCs w:val="28"/>
          <w:lang w:val="en-US" w:eastAsia="it-IT"/>
        </w:rPr>
        <w:t>2 limbic encephalitis with testicular seminoma: short-term memory disturbance].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lang w:val="en-US" w:eastAsia="it-IT"/>
        </w:rPr>
      </w:pPr>
      <w:r>
        <w:rPr>
          <w:rFonts w:eastAsia="Times New Roman" w:cs="Arial" w:ascii="Arial" w:hAnsi="Arial"/>
          <w:color w:val="000000"/>
          <w:sz w:val="20"/>
          <w:szCs w:val="20"/>
          <w:lang w:val="en-US" w:eastAsia="it-IT"/>
        </w:rPr>
        <w:t>[Article in Japanese]</w:t>
      </w:r>
    </w:p>
    <w:p>
      <w:pPr>
        <w:pStyle w:val="Normal"/>
        <w:shd w:fill="FFFFFF" w:val="clear"/>
        <w:spacing w:lineRule="auto" w:line="240" w:before="0" w:after="0"/>
        <w:rPr/>
      </w:pPr>
      <w:hyperlink r:id="rId4">
        <w:r>
          <w:rPr>
            <w:rStyle w:val="Hyperlink"/>
            <w:rFonts w:eastAsia="Times New Roman" w:cs="Arial" w:ascii="Arial" w:hAnsi="Arial"/>
            <w:color w:val="660066"/>
            <w:sz w:val="18"/>
            <w:szCs w:val="18"/>
            <w:u w:val="single"/>
            <w:lang w:val="en-US" w:eastAsia="it-IT"/>
          </w:rPr>
          <w:t>Kubota A</w:t>
        </w:r>
      </w:hyperlink>
      <w:r>
        <w:rPr>
          <w:rFonts w:eastAsia="Times New Roman" w:cs="Arial" w:ascii="Arial" w:hAnsi="Arial"/>
          <w:color w:val="000000"/>
          <w:sz w:val="15"/>
          <w:szCs w:val="15"/>
          <w:vertAlign w:val="superscript"/>
          <w:lang w:val="en-US" w:eastAsia="it-IT"/>
        </w:rPr>
        <w:t>1</w:t>
      </w:r>
      <w:r>
        <w:rPr>
          <w:rFonts w:eastAsia="Times New Roman" w:cs="Arial" w:ascii="Arial" w:hAnsi="Arial"/>
          <w:color w:val="000000"/>
          <w:sz w:val="18"/>
          <w:szCs w:val="18"/>
          <w:lang w:val="en-US" w:eastAsia="it-IT"/>
        </w:rPr>
        <w:t>, </w:t>
      </w:r>
      <w:hyperlink r:id="rId5">
        <w:r>
          <w:rPr>
            <w:rStyle w:val="Hyperlink"/>
            <w:rFonts w:eastAsia="Times New Roman" w:cs="Arial" w:ascii="Arial" w:hAnsi="Arial"/>
            <w:color w:val="660066"/>
            <w:sz w:val="18"/>
            <w:szCs w:val="18"/>
            <w:u w:val="single"/>
            <w:lang w:val="en-US" w:eastAsia="it-IT"/>
          </w:rPr>
          <w:t>Tajima T</w:t>
        </w:r>
      </w:hyperlink>
      <w:r>
        <w:rPr>
          <w:rFonts w:eastAsia="Times New Roman" w:cs="Arial" w:ascii="Arial" w:hAnsi="Arial"/>
          <w:color w:val="000000"/>
          <w:sz w:val="18"/>
          <w:szCs w:val="18"/>
          <w:lang w:val="en-US" w:eastAsia="it-IT"/>
        </w:rPr>
        <w:t>, </w:t>
      </w:r>
      <w:hyperlink r:id="rId6">
        <w:r>
          <w:rPr>
            <w:rStyle w:val="Hyperlink"/>
            <w:rFonts w:eastAsia="Times New Roman" w:cs="Arial" w:ascii="Arial" w:hAnsi="Arial"/>
            <w:color w:val="660066"/>
            <w:sz w:val="18"/>
            <w:szCs w:val="18"/>
            <w:u w:val="single"/>
            <w:lang w:val="en-US" w:eastAsia="it-IT"/>
          </w:rPr>
          <w:t>Narukawa S</w:t>
        </w:r>
      </w:hyperlink>
      <w:r>
        <w:rPr>
          <w:rFonts w:eastAsia="Times New Roman" w:cs="Arial" w:ascii="Arial" w:hAnsi="Arial"/>
          <w:color w:val="000000"/>
          <w:sz w:val="18"/>
          <w:szCs w:val="18"/>
          <w:lang w:val="en-US" w:eastAsia="it-IT"/>
        </w:rPr>
        <w:t>, </w:t>
      </w:r>
      <w:hyperlink r:id="rId7">
        <w:r>
          <w:rPr>
            <w:rStyle w:val="Hyperlink"/>
            <w:rFonts w:eastAsia="Times New Roman" w:cs="Arial" w:ascii="Arial" w:hAnsi="Arial"/>
            <w:color w:val="660066"/>
            <w:sz w:val="18"/>
            <w:szCs w:val="18"/>
            <w:u w:val="single"/>
            <w:lang w:val="en-US" w:eastAsia="it-IT"/>
          </w:rPr>
          <w:t>Yamazato M</w:t>
        </w:r>
      </w:hyperlink>
      <w:r>
        <w:rPr>
          <w:rFonts w:eastAsia="Times New Roman" w:cs="Arial" w:ascii="Arial" w:hAnsi="Arial"/>
          <w:color w:val="000000"/>
          <w:sz w:val="18"/>
          <w:szCs w:val="18"/>
          <w:lang w:val="en-US" w:eastAsia="it-IT"/>
        </w:rPr>
        <w:t>, </w:t>
      </w:r>
      <w:hyperlink r:id="rId8">
        <w:r>
          <w:rPr>
            <w:rStyle w:val="Hyperlink"/>
            <w:rFonts w:eastAsia="Times New Roman" w:cs="Arial" w:ascii="Arial" w:hAnsi="Arial"/>
            <w:color w:val="660066"/>
            <w:sz w:val="18"/>
            <w:szCs w:val="18"/>
            <w:u w:val="single"/>
            <w:lang w:val="en-US" w:eastAsia="it-IT"/>
          </w:rPr>
          <w:t>Fukaura H</w:t>
        </w:r>
      </w:hyperlink>
      <w:r>
        <w:rPr>
          <w:rFonts w:eastAsia="Times New Roman" w:cs="Arial" w:ascii="Arial" w:hAnsi="Arial"/>
          <w:color w:val="000000"/>
          <w:sz w:val="18"/>
          <w:szCs w:val="18"/>
          <w:lang w:val="en-US" w:eastAsia="it-IT"/>
        </w:rPr>
        <w:t>, </w:t>
      </w:r>
      <w:hyperlink r:id="rId9">
        <w:r>
          <w:rPr>
            <w:rStyle w:val="Hyperlink"/>
            <w:rFonts w:eastAsia="Times New Roman" w:cs="Arial" w:ascii="Arial" w:hAnsi="Arial"/>
            <w:color w:val="660066"/>
            <w:sz w:val="18"/>
            <w:szCs w:val="18"/>
            <w:u w:val="single"/>
            <w:lang w:val="en-US" w:eastAsia="it-IT"/>
          </w:rPr>
          <w:t>Takahashi Y</w:t>
        </w:r>
      </w:hyperlink>
      <w:r>
        <w:rPr>
          <w:rFonts w:eastAsia="Times New Roman" w:cs="Arial" w:ascii="Arial" w:hAnsi="Arial"/>
          <w:color w:val="000000"/>
          <w:sz w:val="18"/>
          <w:szCs w:val="18"/>
          <w:lang w:val="en-US" w:eastAsia="it-IT"/>
        </w:rPr>
        <w:t>, </w:t>
      </w:r>
      <w:hyperlink r:id="rId10">
        <w:r>
          <w:rPr>
            <w:rStyle w:val="Hyperlink"/>
            <w:rFonts w:eastAsia="Times New Roman" w:cs="Arial" w:ascii="Arial" w:hAnsi="Arial"/>
            <w:color w:val="660066"/>
            <w:sz w:val="18"/>
            <w:szCs w:val="18"/>
            <w:u w:val="single"/>
            <w:lang w:val="en-US" w:eastAsia="it-IT"/>
          </w:rPr>
          <w:t>Tanaka K</w:t>
        </w:r>
      </w:hyperlink>
      <w:r>
        <w:rPr>
          <w:rFonts w:eastAsia="Times New Roman" w:cs="Arial" w:ascii="Arial" w:hAnsi="Arial"/>
          <w:color w:val="000000"/>
          <w:sz w:val="18"/>
          <w:szCs w:val="18"/>
          <w:lang w:val="en-US" w:eastAsia="it-IT"/>
        </w:rPr>
        <w:t>, </w:t>
      </w:r>
      <w:hyperlink r:id="rId11">
        <w:r>
          <w:rPr>
            <w:rStyle w:val="Hyperlink"/>
            <w:rFonts w:eastAsia="Times New Roman" w:cs="Arial" w:ascii="Arial" w:hAnsi="Arial"/>
            <w:color w:val="660066"/>
            <w:sz w:val="18"/>
            <w:szCs w:val="18"/>
            <w:u w:val="single"/>
            <w:lang w:val="en-US" w:eastAsia="it-IT"/>
          </w:rPr>
          <w:t>Shimizu J</w:t>
        </w:r>
      </w:hyperlink>
      <w:r>
        <w:rPr>
          <w:rFonts w:eastAsia="Times New Roman" w:cs="Arial" w:ascii="Arial" w:hAnsi="Arial"/>
          <w:color w:val="000000"/>
          <w:sz w:val="18"/>
          <w:szCs w:val="18"/>
          <w:lang w:val="en-US" w:eastAsia="it-IT"/>
        </w:rPr>
        <w:t>, </w:t>
      </w:r>
      <w:hyperlink r:id="rId12">
        <w:r>
          <w:rPr>
            <w:rStyle w:val="Hyperlink"/>
            <w:rFonts w:eastAsia="Times New Roman" w:cs="Arial" w:ascii="Arial" w:hAnsi="Arial"/>
            <w:color w:val="660066"/>
            <w:sz w:val="18"/>
            <w:szCs w:val="18"/>
            <w:u w:val="single"/>
            <w:lang w:val="en-US" w:eastAsia="it-IT"/>
          </w:rPr>
          <w:t>Nomura K</w:t>
        </w:r>
      </w:hyperlink>
      <w:r>
        <w:rPr>
          <w:rFonts w:eastAsia="Times New Roman" w:cs="Arial" w:ascii="Arial" w:hAnsi="Arial"/>
          <w:color w:val="000000"/>
          <w:sz w:val="18"/>
          <w:szCs w:val="18"/>
          <w:lang w:val="en-US" w:eastAsia="it-IT"/>
        </w:rPr>
        <w:t>.</w:t>
      </w:r>
    </w:p>
    <w:p>
      <w:pPr>
        <w:pStyle w:val="Normal"/>
        <w:numPr>
          <w:ilvl w:val="0"/>
          <w:numId w:val="0"/>
        </w:numPr>
        <w:shd w:fill="FFFFFF" w:val="clear"/>
        <w:spacing w:lineRule="auto" w:line="240" w:before="0" w:after="0"/>
        <w:outlineLvl w:val="2"/>
        <w:rPr>
          <w:rFonts w:ascii="Arial" w:hAnsi="Arial" w:eastAsia="Times New Roman" w:cs="Arial"/>
          <w:b/>
          <w:bCs/>
          <w:color w:val="724128"/>
          <w:sz w:val="18"/>
          <w:szCs w:val="18"/>
          <w:lang w:val="en-US" w:eastAsia="it-IT"/>
        </w:rPr>
      </w:pPr>
      <w:r>
        <w:rPr>
          <w:rFonts w:eastAsia="Times New Roman" w:cs="Arial" w:ascii="Arial" w:hAnsi="Arial"/>
          <w:b/>
          <w:bCs/>
          <w:color w:val="724128"/>
          <w:sz w:val="18"/>
          <w:szCs w:val="18"/>
          <w:lang w:val="en-US" w:eastAsia="it-IT"/>
        </w:rPr>
      </w:r>
    </w:p>
    <w:p>
      <w:pPr>
        <w:pStyle w:val="Normal"/>
        <w:numPr>
          <w:ilvl w:val="0"/>
          <w:numId w:val="0"/>
        </w:numPr>
        <w:shd w:fill="FFFFFF" w:val="clear"/>
        <w:spacing w:lineRule="auto" w:line="240" w:before="0" w:after="0"/>
        <w:outlineLvl w:val="2"/>
        <w:rPr>
          <w:rFonts w:ascii="Arial" w:hAnsi="Arial" w:eastAsia="Times New Roman" w:cs="Arial"/>
          <w:b/>
          <w:bCs/>
          <w:color w:val="985735"/>
          <w:lang w:eastAsia="it-IT"/>
        </w:rPr>
      </w:pPr>
      <w:r>
        <w:rPr>
          <w:rFonts w:eastAsia="Times New Roman" w:cs="Arial" w:ascii="Arial" w:hAnsi="Arial"/>
          <w:b/>
          <w:bCs/>
          <w:color w:val="985735"/>
          <w:lang w:eastAsia="it-IT"/>
        </w:rPr>
        <w:t>Abstract</w:t>
      </w:r>
    </w:p>
    <w:p>
      <w:pPr>
        <w:pStyle w:val="Normal"/>
        <w:shd w:fill="FFFFFF" w:val="clear"/>
        <w:spacing w:lineRule="atLeast" w:line="369"/>
        <w:rPr/>
      </w:pPr>
      <w:r>
        <w:rPr>
          <w:rFonts w:eastAsia="Times New Roman" w:cs="Arial" w:ascii="Arial" w:hAnsi="Arial"/>
          <w:color w:val="000000"/>
          <w:sz w:val="21"/>
          <w:szCs w:val="21"/>
          <w:lang w:val="en-US" w:eastAsia="it-IT"/>
        </w:rPr>
        <w:t>A 36-year-old man presented with cognitive impairment and disturbance of short-term memory functions with character change. Cerebrospinal fluid analysis revealed no abnormalities; however, brain MRI revealed high-signal intensity from bilateral hippocampus lesions on fluid attenuated inversion recovery (FLAIR) images and T(2) weighted images. The 18F-fluorodeoxyglucose PET demonstrated high glucose uptake in the bilateral hippocampus lesions. He was diagnosed as limbic encephalitis, and was administered high-dose intravenous methylprednisolone and immune adsorption plasma therapy followed by intravenous immunoglobulin therapy. MRI abnormalities improved after treatment but recent memory disturbance remained. Ma2 antibody, NMDA-receptor antibody, and GluR</w:t>
      </w:r>
      <w:r>
        <w:rPr>
          <w:rFonts w:eastAsia="Times New Roman" w:cs="Arial" w:ascii="Arial" w:hAnsi="Arial"/>
          <w:color w:val="000000"/>
          <w:sz w:val="21"/>
          <w:szCs w:val="21"/>
          <w:lang w:eastAsia="it-IT"/>
        </w:rPr>
        <w:t>ε</w:t>
      </w:r>
      <w:r>
        <w:rPr>
          <w:rFonts w:eastAsia="Times New Roman" w:cs="Arial" w:ascii="Arial" w:hAnsi="Arial"/>
          <w:color w:val="000000"/>
          <w:sz w:val="21"/>
          <w:szCs w:val="21"/>
          <w:lang w:val="en-US" w:eastAsia="it-IT"/>
        </w:rPr>
        <w:t>2 antibody were positive. Eleven months atter the onset of disease, the tumor was identified in left testicle by ultrasound and removed the tumor. The pathological findings were seminoma. We experienced a case of paraneoplastic limbic encephalitis associated with seminoma with short-term memory disturbance. The occurrence of paraneoplastic limbic encephalitis with antibodies against cell membrane (NMDA-receptor antibody and GluR</w:t>
      </w:r>
      <w:r>
        <w:rPr>
          <w:rFonts w:eastAsia="Times New Roman" w:cs="Arial" w:ascii="Arial" w:hAnsi="Arial"/>
          <w:color w:val="000000"/>
          <w:sz w:val="21"/>
          <w:szCs w:val="21"/>
          <w:lang w:eastAsia="it-IT"/>
        </w:rPr>
        <w:t>ε</w:t>
      </w:r>
      <w:r>
        <w:rPr>
          <w:rFonts w:eastAsia="Times New Roman" w:cs="Arial" w:ascii="Arial" w:hAnsi="Arial"/>
          <w:color w:val="000000"/>
          <w:sz w:val="21"/>
          <w:szCs w:val="21"/>
          <w:lang w:val="en-US" w:eastAsia="it-IT"/>
        </w:rPr>
        <w:t>2 antibody) and intracellular (Ma2 antibody) is rare even in the literature.</w:t>
      </w:r>
    </w:p>
    <w:p>
      <w:pPr>
        <w:pStyle w:val="Normal"/>
        <w:spacing w:before="0" w:after="160"/>
        <w:rPr>
          <w:rFonts w:ascii="Arial" w:hAnsi="Arial" w:eastAsia="Times New Roman" w:cs="Arial"/>
          <w:color w:val="000000"/>
          <w:sz w:val="21"/>
          <w:szCs w:val="21"/>
          <w:lang w:val="en-US" w:eastAsia="it-IT"/>
        </w:rPr>
      </w:pPr>
      <w:r>
        <w:rPr>
          <w:rFonts w:eastAsia="Times New Roman" w:cs="Arial" w:ascii="Arial" w:hAnsi="Arial"/>
          <w:color w:val="000000"/>
          <w:sz w:val="21"/>
          <w:szCs w:val="21"/>
          <w:lang w:val="en-US" w:eastAsia="it-IT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7" w:before="0" w:after="160"/>
    </w:pPr>
    <w:rPr>
      <w:rFonts w:ascii="Calibri" w:hAnsi="Calibri" w:eastAsia="Calibri" w:cs="Times New Roman"/>
      <w:color w:val="auto"/>
      <w:sz w:val="22"/>
      <w:szCs w:val="22"/>
      <w:lang w:val="it-IT" w:bidi="ar-SA" w:eastAsia="zh-CN"/>
    </w:rPr>
  </w:style>
  <w:style w:type="paragraph" w:styleId="Heading1">
    <w:name w:val="heading 1"/>
    <w:basedOn w:val="Normal"/>
    <w:next w:val="BodyText"/>
    <w:qFormat/>
    <w:pPr>
      <w:numPr>
        <w:ilvl w:val="0"/>
        <w:numId w:val="1"/>
      </w:num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lineRule="auto" w:line="240" w:before="280" w:after="280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BodyText"/>
    <w:qFormat/>
    <w:pPr>
      <w:numPr>
        <w:ilvl w:val="3"/>
        <w:numId w:val="1"/>
      </w:numPr>
      <w:spacing w:lineRule="auto" w:line="240" w:before="280" w:after="28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eading3Char">
    <w:name w:val="Heading 3 Char"/>
    <w:qFormat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eading4Char">
    <w:name w:val="Heading 4 Char"/>
    <w:qFormat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character" w:styleId="ui-ncbitoggler-master-text">
    <w:name w:val="ui-ncbitoggler-master-tex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cbi.nlm.nih.gov/pubmed/22989902" TargetMode="External"/><Relationship Id="rId3" Type="http://schemas.openxmlformats.org/officeDocument/2006/relationships/hyperlink" Target="https://www.ncbi.nlm.nih.gov/pubmed/22989902" TargetMode="External"/><Relationship Id="rId4" Type="http://schemas.openxmlformats.org/officeDocument/2006/relationships/hyperlink" Target="https://www.ncbi.nlm.nih.gov/pubmed/?term=Kubota%20A%5BAuthor%5D&amp;cauthor=true&amp;cauthor_uid=22989902" TargetMode="External"/><Relationship Id="rId5" Type="http://schemas.openxmlformats.org/officeDocument/2006/relationships/hyperlink" Target="https://www.ncbi.nlm.nih.gov/pubmed/?term=Tajima%20T%5BAuthor%5D&amp;cauthor=true&amp;cauthor_uid=22989902" TargetMode="External"/><Relationship Id="rId6" Type="http://schemas.openxmlformats.org/officeDocument/2006/relationships/hyperlink" Target="https://www.ncbi.nlm.nih.gov/pubmed/?term=Narukawa%20S%5BAuthor%5D&amp;cauthor=true&amp;cauthor_uid=22989902" TargetMode="External"/><Relationship Id="rId7" Type="http://schemas.openxmlformats.org/officeDocument/2006/relationships/hyperlink" Target="https://www.ncbi.nlm.nih.gov/pubmed/?term=Yamazato%20M%5BAuthor%5D&amp;cauthor=true&amp;cauthor_uid=22989902" TargetMode="External"/><Relationship Id="rId8" Type="http://schemas.openxmlformats.org/officeDocument/2006/relationships/hyperlink" Target="https://www.ncbi.nlm.nih.gov/pubmed/?term=Fukaura%20H%5BAuthor%5D&amp;cauthor=true&amp;cauthor_uid=22989902" TargetMode="External"/><Relationship Id="rId9" Type="http://schemas.openxmlformats.org/officeDocument/2006/relationships/hyperlink" Target="https://www.ncbi.nlm.nih.gov/pubmed/?term=Takahashi%20Y%5BAuthor%5D&amp;cauthor=true&amp;cauthor_uid=22989902" TargetMode="External"/><Relationship Id="rId10" Type="http://schemas.openxmlformats.org/officeDocument/2006/relationships/hyperlink" Target="https://www.ncbi.nlm.nih.gov/pubmed/?term=Tanaka%20K%5BAuthor%5D&amp;cauthor=true&amp;cauthor_uid=22989902" TargetMode="External"/><Relationship Id="rId11" Type="http://schemas.openxmlformats.org/officeDocument/2006/relationships/hyperlink" Target="https://www.ncbi.nlm.nih.gov/pubmed/?term=Shimizu%20J%5BAuthor%5D&amp;cauthor=true&amp;cauthor_uid=22989902" TargetMode="External"/><Relationship Id="rId12" Type="http://schemas.openxmlformats.org/officeDocument/2006/relationships/hyperlink" Target="https://www.ncbi.nlm.nih.gov/pubmed/?term=Nomura%20K%5BAuthor%5D&amp;cauthor=true&amp;cauthor_uid=22989902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LibreOffice/25.2.5.2$MacOSX_AARCH64 LibreOffice_project/03d19516eb2e1dd5d4ccd751a0d6f35f35e08022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2018-06-22T12:34:00Z</dcterms:created>
  <dc:creator>Margherita Nosadini</dc:creator>
  <dc:description/>
  <cp:keywords/>
  <dc:language>en-US</dc:language>
  <cp:lastModifiedBy>Margherita Nosadini</cp:lastModifiedBy>
  <dcterms:modified xsi:type="dcterms:W3CDTF">2018-06-22T12:34:00Z</dcterms:modified>
  <cp:revision>1</cp:revision>
  <dc:subject/>
  <dc:title/>
</cp:coreProperties>
</file>