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J Pediatr Neurosci. 2013 May-Aug; 8(2): 120–122.</w:t>
      </w:r>
    </w:p>
    <w:p>
      <w:pPr>
        <w:pStyle w:val="Normal"/>
        <w:rPr>
          <w:lang w:val="en-US"/>
        </w:rPr>
      </w:pPr>
      <w:r>
        <w:rPr>
          <w:lang w:val="en-US"/>
        </w:rPr>
        <w:t>doi:  </w:t>
      </w:r>
      <w:hyperlink r:id="rId2" w:tgtFrame="pmc_ext">
        <w:r>
          <w:rPr>
            <w:rStyle w:val="Hyperlink"/>
            <w:lang w:val="en-US"/>
          </w:rPr>
          <w:t>10.4103/1817-1745.117841</w:t>
        </w:r>
      </w:hyperlink>
    </w:p>
    <w:p>
      <w:pPr>
        <w:pStyle w:val="Normal"/>
        <w:rPr>
          <w:lang w:val="en-US"/>
        </w:rPr>
      </w:pPr>
      <w:r>
        <w:rPr>
          <w:lang w:val="en-US"/>
        </w:rPr>
        <w:t>PMCID: PMC3783718</w:t>
      </w:r>
    </w:p>
    <w:p>
      <w:pPr>
        <w:pStyle w:val="Normal"/>
        <w:rPr>
          <w:lang w:val="en-US"/>
        </w:rPr>
      </w:pPr>
      <w:r>
        <w:rPr>
          <w:lang w:val="en-US"/>
        </w:rPr>
        <w:t>PMID: </w:t>
      </w:r>
      <w:hyperlink r:id="rId3">
        <w:r>
          <w:rPr>
            <w:rStyle w:val="Hyperlink"/>
            <w:lang w:val="en-US"/>
          </w:rPr>
          <w:t>24082929</w:t>
        </w:r>
      </w:hyperlink>
    </w:p>
    <w:p>
      <w:pPr>
        <w:pStyle w:val="Normal"/>
        <w:rPr>
          <w:b/>
          <w:bCs/>
          <w:lang w:val="en-US"/>
        </w:rPr>
      </w:pPr>
      <w:r>
        <w:rPr>
          <w:b/>
          <w:bCs/>
          <w:lang w:val="en-US"/>
        </w:rPr>
        <w:t>Pediatric anti-N methyl D aspartate receptor encephalitis</w:t>
      </w:r>
    </w:p>
    <w:p>
      <w:pPr>
        <w:pStyle w:val="Normal"/>
        <w:rPr>
          <w:lang w:val="it-IT"/>
        </w:rPr>
      </w:pPr>
      <w:hyperlink r:id="rId4">
        <w:r>
          <w:rPr>
            <w:rStyle w:val="Hyperlink"/>
            <w:lang w:val="it-IT"/>
          </w:rPr>
          <w:t>Vinit Suri</w:t>
        </w:r>
      </w:hyperlink>
      <w:r>
        <w:rPr>
          <w:lang w:val="it-IT"/>
        </w:rPr>
        <w:t>, </w:t>
      </w:r>
      <w:hyperlink r:id="rId5">
        <w:r>
          <w:rPr>
            <w:rStyle w:val="Hyperlink"/>
            <w:lang w:val="it-IT"/>
          </w:rPr>
          <w:t>Sushma Sharma</w:t>
        </w:r>
      </w:hyperlink>
      <w:r>
        <w:rPr>
          <w:lang w:val="it-IT"/>
        </w:rPr>
        <w:t>, </w:t>
      </w:r>
      <w:hyperlink r:id="rId6">
        <w:r>
          <w:rPr>
            <w:rStyle w:val="Hyperlink"/>
            <w:lang w:val="it-IT"/>
          </w:rPr>
          <w:t>Rohan Gupta</w:t>
        </w:r>
      </w:hyperlink>
      <w:r>
        <w:rPr>
          <w:lang w:val="it-IT"/>
        </w:rPr>
        <w:t>, </w:t>
      </w:r>
      <w:hyperlink r:id="rId7">
        <w:r>
          <w:rPr>
            <w:rStyle w:val="Hyperlink"/>
            <w:lang w:val="it-IT"/>
          </w:rPr>
          <w:t>S. K. Sogani</w:t>
        </w:r>
      </w:hyperlink>
      <w:r>
        <w:rPr>
          <w:lang w:val="it-IT"/>
        </w:rPr>
        <w:t>,</w:t>
      </w:r>
      <w:r>
        <w:rPr>
          <w:vertAlign w:val="superscript"/>
          <w:lang w:val="it-IT"/>
        </w:rPr>
        <w:t>1</w:t>
      </w:r>
      <w:r>
        <w:rPr>
          <w:lang w:val="it-IT"/>
        </w:rPr>
        <w:t> </w:t>
      </w:r>
      <w:hyperlink r:id="rId8">
        <w:r>
          <w:rPr>
            <w:rStyle w:val="Hyperlink"/>
            <w:lang w:val="it-IT"/>
          </w:rPr>
          <w:t>Sunit Mediratta</w:t>
        </w:r>
      </w:hyperlink>
      <w:r>
        <w:rPr>
          <w:lang w:val="it-IT"/>
        </w:rPr>
        <w:t>,</w:t>
      </w:r>
      <w:r>
        <w:rPr>
          <w:vertAlign w:val="superscript"/>
          <w:lang w:val="it-IT"/>
        </w:rPr>
        <w:t>1</w:t>
      </w:r>
      <w:r>
        <w:rPr>
          <w:lang w:val="it-IT"/>
        </w:rPr>
        <w:t> and </w:t>
      </w:r>
      <w:hyperlink r:id="rId9">
        <w:r>
          <w:rPr>
            <w:rStyle w:val="Hyperlink"/>
            <w:lang w:val="it-IT"/>
          </w:rPr>
          <w:t>Nilesh Jadhao</w:t>
        </w:r>
      </w:hyperlink>
    </w:p>
    <w:p>
      <w:pPr>
        <w:pStyle w:val="Normal"/>
        <w:rPr>
          <w:vanish/>
          <w:lang w:val="en"/>
        </w:rPr>
      </w:pPr>
      <w:r>
        <w:rPr>
          <w:vanish/>
          <w:lang w:val="en"/>
        </w:rPr>
        <w:t>Department of Neurology, Indraprastha Apollo Hospital, New Delhi, India</w:t>
      </w:r>
    </w:p>
    <w:p>
      <w:pPr>
        <w:pStyle w:val="Normal"/>
        <w:rPr/>
      </w:pPr>
      <w:r>
        <w:rPr>
          <w:vanish/>
          <w:vertAlign w:val="superscript"/>
          <w:lang w:val="en"/>
        </w:rPr>
        <w:t>1</w:t>
      </w:r>
      <w:r>
        <w:rPr>
          <w:vanish/>
          <w:lang w:val="en"/>
        </w:rPr>
        <w:t>Department of Neurosurgery, Indraprastha Apollo Hospital, New Delhi, India</w:t>
      </w:r>
    </w:p>
    <w:p>
      <w:pPr>
        <w:pStyle w:val="Normal"/>
        <w:rPr>
          <w:lang w:val="en-US"/>
        </w:rPr>
      </w:pPr>
      <w:r>
        <w:rPr>
          <w:b/>
          <w:bCs/>
          <w:lang w:val="en-US"/>
        </w:rPr>
        <w:t>Address for correspondence:</w:t>
      </w:r>
      <w:r>
        <w:rPr>
          <w:lang w:val="en-US"/>
        </w:rPr>
        <w:t> Dr. Vinit Suri, D-343, Defence Colony, New Delhi - 110 024, India. E-mail: </w:t>
      </w:r>
      <w:hyperlink r:id="rId10">
        <w:r>
          <w:rPr>
            <w:rStyle w:val="Hyperlink"/>
          </w:rPr>
          <w:t>moc.liamtoh@irustiniv</w:t>
        </w:r>
      </w:hyperlink>
    </w:p>
    <w:p>
      <w:pPr>
        <w:pStyle w:val="Normal"/>
        <w:rPr/>
      </w:pPr>
      <w:hyperlink r:id="rId11">
        <w:r>
          <w:rPr>
            <w:rStyle w:val="Hyperlink"/>
            <w:lang w:val="en-US"/>
          </w:rPr>
          <w:t>Copyright</w:t>
        </w:r>
      </w:hyperlink>
      <w:r>
        <w:rPr>
          <w:lang w:val="en-US"/>
        </w:rPr>
        <w:t> : © Journal of Pediatric Neurosciences</w:t>
      </w:r>
    </w:p>
    <w:p>
      <w:pPr>
        <w:pStyle w:val="Normal"/>
        <w:rPr>
          <w:lang w:val="en-US"/>
        </w:rPr>
      </w:pPr>
      <w:r>
        <w:rPr>
          <w:lang w:val="en-US"/>
        </w:rPr>
        <w:t>This is an open-access article distributed under the terms of the Creative Commons Attribution-Noncommercial-Share Alike 3.0 Unported, which permits unrestricted use, distribution, and reproduction in any medium, provided the original work is properly cited.</w:t>
      </w:r>
    </w:p>
    <w:p>
      <w:pPr>
        <w:pStyle w:val="Normal"/>
        <w:rPr>
          <w:vanish/>
          <w:lang w:val="en"/>
        </w:rPr>
      </w:pPr>
      <w:hyperlink r:id="rId12">
        <w:r>
          <w:rPr>
            <w:rStyle w:val="Hyperlink"/>
            <w:vanish/>
            <w:lang w:val="en"/>
          </w:rPr>
          <w:t>Go to:</w:t>
        </w:r>
      </w:hyperlink>
    </w:p>
    <w:p>
      <w:pPr>
        <w:pStyle w:val="Normal"/>
        <w:rPr>
          <w:b/>
          <w:bCs/>
          <w:lang w:val="en"/>
        </w:rPr>
      </w:pPr>
      <w:r>
        <w:rPr>
          <w:b/>
          <w:bCs/>
          <w:lang w:val="en"/>
        </w:rPr>
        <w:t>Abstract</w:t>
      </w:r>
    </w:p>
    <w:p>
      <w:pPr>
        <w:pStyle w:val="Normal"/>
        <w:rPr>
          <w:vanish/>
          <w:lang w:val="en"/>
        </w:rPr>
      </w:pPr>
      <w:r>
        <w:rPr>
          <w:vanish/>
          <w:lang w:val="en"/>
        </w:rPr>
        <w:t>Anti-N Methyl D Aspartate Receptor encephalitis (anti-NMDARE) is a recently defined disease, which is probably more under-recognized than rare. We report a case of anti-NMDARE in a 13-years-old girl, who presented with intractable seizures. To the best of our knowledge, this is the second case of pediatric anti-NMDARE being reported from India. The need for a greater awareness of this disease and the subtle differences in clinical presentation between pediatric and adult patients are highlighted.</w:t>
      </w:r>
    </w:p>
    <w:p>
      <w:pPr>
        <w:pStyle w:val="Normal"/>
        <w:rPr/>
      </w:pPr>
      <w:r>
        <w:rPr>
          <w:b/>
          <w:bCs/>
          <w:vanish/>
          <w:lang w:val="en"/>
        </w:rPr>
        <w:t>Keywords: </w:t>
      </w:r>
      <w:r>
        <w:rPr>
          <w:vanish/>
          <w:lang w:val="en"/>
        </w:rPr>
        <w:t>Anti-N methyl D aspartate receptor encephalitis, pediatric, seizure</w:t>
      </w:r>
    </w:p>
    <w:p>
      <w:pPr>
        <w:pStyle w:val="Normal"/>
        <w:rPr>
          <w:lang w:val="en-US"/>
        </w:rPr>
      </w:pPr>
      <w:hyperlink r:id="rId13">
        <w:r>
          <w:rPr>
            <w:rStyle w:val="Hyperlink"/>
            <w:lang w:val="en-US"/>
          </w:rPr>
          <w:t>Go to:</w:t>
        </w:r>
      </w:hyperlink>
    </w:p>
    <w:p>
      <w:pPr>
        <w:pStyle w:val="Normal"/>
        <w:rPr>
          <w:b/>
          <w:bCs/>
          <w:lang w:val="en-US"/>
        </w:rPr>
      </w:pPr>
      <w:r>
        <w:rPr>
          <w:b/>
          <w:bCs/>
          <w:lang w:val="en-US"/>
        </w:rPr>
        <w:t>Introduction</w:t>
      </w:r>
    </w:p>
    <w:p>
      <w:pPr>
        <w:pStyle w:val="Normal"/>
        <w:rPr/>
      </w:pPr>
      <w:r>
        <w:rPr>
          <w:lang w:val="en-US"/>
        </w:rPr>
        <w:t>Anti-N Methyl D Aspartate Receptor encephalitis (Anti-NMDARE), first defined in 2007 by Dalmau </w:t>
      </w:r>
      <w:r>
        <w:rPr>
          <w:i/>
          <w:iCs/>
          <w:lang w:val="en-US"/>
        </w:rPr>
        <w:t>et al</w:t>
      </w:r>
      <w:r>
        <w:rPr>
          <w:lang w:val="en-US"/>
        </w:rPr>
        <w:t>., is predominantly described in adults, frequently young women.[</w:t>
      </w:r>
      <w:r>
        <w:fldChar w:fldCharType="begin"/>
      </w:r>
      <w:r>
        <w:rPr>
          <w:rStyle w:val="Hyperlink"/>
          <w:lang w:val="en-US"/>
        </w:rPr>
        <w:instrText xml:space="preserve"> HYPERLINK "https://www.ncbi.nlm.nih.gov/pmc/articles/PMC3783718/?report=printable"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 Increasingly, the disease is being recognized in children. Though the phenotype resembles that of the adults in many ways, yet there are important differences. We report a case of pediatric anti-NMDA receptor encephalitis in a 13-years-old girl, the second such case being reported from India. The incidental presence of left temporal arachnoid cyst added an interesting clinical dimension to the case.</w:t>
      </w:r>
    </w:p>
    <w:p>
      <w:pPr>
        <w:pStyle w:val="Normal"/>
        <w:rPr>
          <w:lang w:val="en-US"/>
        </w:rPr>
      </w:pPr>
      <w:hyperlink r:id="rId14">
        <w:r>
          <w:rPr>
            <w:rStyle w:val="Hyperlink"/>
            <w:lang w:val="en-US"/>
          </w:rPr>
          <w:t>Go to:</w:t>
        </w:r>
      </w:hyperlink>
    </w:p>
    <w:p>
      <w:pPr>
        <w:pStyle w:val="Normal"/>
        <w:rPr>
          <w:b/>
          <w:bCs/>
          <w:lang w:val="en-US"/>
        </w:rPr>
      </w:pPr>
      <w:r>
        <w:rPr>
          <w:b/>
          <w:bCs/>
          <w:lang w:val="en-US"/>
        </w:rPr>
        <w:t>Case Report</w:t>
      </w:r>
    </w:p>
    <w:p>
      <w:pPr>
        <w:pStyle w:val="Normal"/>
        <w:rPr/>
      </w:pPr>
      <w:r>
        <w:rPr>
          <w:lang w:val="en-US"/>
        </w:rPr>
        <w:t>A 13-years-old girl presented with recurrent episodes of new onset seizures. Semiology consisted of sudden onset of repetitive eye blinks with loss of contact with surroundings and facial twitching towards right side and dystonic posturing of upper limbs, lasting for one to two minutes, followed by post-ictal confusion. Some of the episodes were associated with secondary generalization. Child was born by normal full term vaginal delivery, and developmental milestones had been attained normally. There was no history of febrile seizures or any other CNS insult in past. Besides, no history of fever, abnormal behavior or altered sensorium was forthcoming. After the first seizure, levetiracetam 500 mg per day had been started by a pediatrician. However, seizures continued to recur at a frequency of almost an episode every other day, despite subsequent escalation of levetiracetam dose to 750 mg per day and the addition of second anti-epileptic, i.e. carbamazepine at the dose of 600 mg per day. About 10 days after the onset of seizures, parents noticed language abnormalities in the form of progressively decreasing word output. MRI Brain was unremarkable, except for a well-defined cystic extra-axial lesion along anteromedial aspect of left temporal lobe measuring 4.2 by 2.7 cm, with no contrast enhancement, suggestive of left temporal arachnoid cyst [</w:t>
      </w:r>
      <w:hyperlink r:id="rId15" w:tgtFrame="figure">
        <w:r>
          <w:rPr>
            <w:rStyle w:val="Hyperlink"/>
            <w:lang w:val="en-US"/>
          </w:rPr>
          <w:t>Figure 1</w:t>
        </w:r>
      </w:hyperlink>
      <w:r>
        <w:rPr>
          <w:lang w:val="en-US"/>
        </w:rPr>
        <w:t>]. MRV of brain was normal. Interictal EEG done twice in 10 days revealed mild left temporal focal slowing and amplitude attenuation, possibly related to underlying arachnoid cyst. Neither awake nor sleep record revealed any abnormal epileptiform activity. Neurosurgical consultation was sought at this stage for further evaluation as to whether the arachnoid cyst could be epileptogenic and whether its surgical removal would be curative.</w:t>
      </w:r>
    </w:p>
    <w:p>
      <w:pPr>
        <w:pStyle w:val="Normal"/>
        <w:rPr/>
      </w:pPr>
      <w:r>
        <w:rPr>
          <w:lang w:val="en-US"/>
        </w:rPr>
        <w:t>Examination at this stage revealed a conscious patient with severe non-fluent aphasia with preserved comprehension. In view of short history, unrelenting seizures and rapidly progressive language deficits, possibilities of infectious (viral) encephalitis, immune encephalitis, and acquired epileptiform aphasic disorder (Landau Kleiffner Syndrome) were considered. Repeat MRI brain revealed interval development of few FLAIR hyperintensities in left temporal region [</w:t>
      </w:r>
      <w:hyperlink r:id="rId16" w:tgtFrame="figure">
        <w:r>
          <w:rPr>
            <w:rStyle w:val="Hyperlink"/>
            <w:lang w:val="en-US"/>
          </w:rPr>
          <w:t>Figure 2</w:t>
        </w:r>
      </w:hyperlink>
      <w:r>
        <w:rPr>
          <w:lang w:val="en-US"/>
        </w:rPr>
        <w:t>]. CSF examination revealed mild lymphocytic pleocytosis (10 cells per high power field) with normal glucose and protein levels. CSF viral markers (for herpes simplex virus, Lyme, enterovirus, cytomegalovirus, and Epstein Barr virus), VDRL, gram stain, AFB stain, India ink, cryptococcal antigen and bacterial, mycobacterial, and fungal cultures were negative while immune markers i.e. anti-VGKC antibody, anti-NMDA antibody, and anti-GAD antibody were yet awaited. Levetiracetam was further hiked upto 1500 mg per day, carbamazepine was continued in the same dose, and empiric intravenous acyclovir 10 mg/kg body weight thrice a day were started. Over the next few days, the language deficits progressed further to global aphasia. Besides, patient developed orolingual dyskinesias as well as facial action myoclonus precipitated by attempted speech, smile or attempt to show her teeth. Moreover, relentless seizures continued to occur, despite further increase in anti-epileptics to 3000 mg levetiracetam, 1200 mg carbamazepine, and 20 mg clobazam per day. Twenty-four hour video EEG recording was done, which revealed 6 to 8 hertz background with intermittent left temporal slowing and frequent epileptiform activity arising from left mid-temporal leads with two instances of secondary generalization corresponding to clinical seizures, besides frequent facial jerks and oro-lingual movements with no EEG correlate. Sleep EEG did not show continuous slow waves and spikes. At this stage, despite the results of CSF immune markers not yet being available, it was thought prudent to treat the patient as immune encephalitis in view of the clinical evolution of the disease. Intravenous immunoglobulins were started in the dose of 0.4 g/kg/day for 5 days. A gratifying clinical response was achieved, with remission of the seizures within 3 days after starting IVIG. Language deficits too began to show gradual but definite improvement within the next few days. Meanwhile, two weeks after initiation of IVIG, anti-NMDA receptor antibody in CSF was reported positive, thus confirming it as a case of anti-NMDA receptor antibody-associated immune encephalitis. Pelvic ultrasonography and magnetic resonance imaging did not reveal any ovarian teratoma or any other neoplasm. Patient was discharged in a significantly improved state and currently remains on follow up with steadily resolving symptoms. The anti-epileptic drugs are being tapered, with no recurrence of seizures. Comprehension deficits of language have completely resolved while residual mild non-fluent aphasia is resolving. Likewise, extra pyramidal dyskinesias have fully resolved while facial myoclonus has become relatively very infrequent.</w:t>
      </w:r>
    </w:p>
    <w:p>
      <w:pPr>
        <w:pStyle w:val="Normal"/>
        <w:rPr>
          <w:lang w:val="en-US"/>
        </w:rPr>
      </w:pPr>
      <w:hyperlink r:id="rId17">
        <w:r>
          <w:rPr>
            <w:rStyle w:val="Hyperlink"/>
            <w:lang w:val="en-US"/>
          </w:rPr>
          <w:t>Go to:</w:t>
        </w:r>
      </w:hyperlink>
    </w:p>
    <w:p>
      <w:pPr>
        <w:pStyle w:val="Normal"/>
        <w:rPr>
          <w:b/>
          <w:bCs/>
          <w:lang w:val="en-US"/>
        </w:rPr>
      </w:pPr>
      <w:r>
        <w:rPr>
          <w:b/>
          <w:bCs/>
          <w:lang w:val="en-US"/>
        </w:rPr>
        <w:t>Discussion</w:t>
      </w:r>
    </w:p>
    <w:p>
      <w:pPr>
        <w:pStyle w:val="Normal"/>
        <w:rPr/>
      </w:pPr>
      <w:r>
        <w:rPr>
          <w:lang w:val="en-US"/>
        </w:rPr>
        <w:t>Our case adds significantly to the increasing literature on pediatric anti-NMDARE and is only the second case of pediatric age group anti-NMDARE being reported from India.[</w:t>
      </w:r>
      <w:r>
        <w:fldChar w:fldCharType="begin"/>
      </w:r>
      <w:r>
        <w:rPr>
          <w:rStyle w:val="Hyperlink"/>
          <w:lang w:val="en-US"/>
        </w:rPr>
        <w:instrText xml:space="preserve"> HYPERLINK "https://www.ncbi.nlm.nih.gov/pmc/articles/PMC3783718/?report=printable"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 Anti-NMDARE has so far been well characterized in adults, predominantly young women, in whom the well-defined sequential clinical phases of the disease include prodromal phase, psychotic phase, dysautonomic and central hypoventilation phase, and phase of extra pyramidal dysfunction followed by recovery.[</w:t>
      </w:r>
      <w:r>
        <w:fldChar w:fldCharType="begin"/>
      </w:r>
      <w:r>
        <w:rPr>
          <w:rStyle w:val="Hyperlink"/>
          <w:lang w:val="en-US"/>
        </w:rPr>
        <w:instrText xml:space="preserve"> HYPERLINK "https://www.ncbi.nlm.nih.gov/pmc/articles/PMC3783718/?report=printable" \l "ref3"</w:instrText>
      </w:r>
      <w:r>
        <w:rPr>
          <w:rStyle w:val="Hyperlink"/>
          <w:lang w:val="en-US"/>
        </w:rPr>
        <w:fldChar w:fldCharType="separate"/>
      </w:r>
      <w:r>
        <w:rPr>
          <w:rStyle w:val="Hyperlink"/>
          <w:lang w:val="en-US"/>
        </w:rPr>
        <w:t>3</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"ref4"</w:instrText>
      </w:r>
      <w:r>
        <w:rPr>
          <w:rStyle w:val="Hyperlink"/>
          <w:lang w:val="en-US"/>
        </w:rPr>
        <w:fldChar w:fldCharType="separate"/>
      </w:r>
      <w:r>
        <w:rPr>
          <w:rStyle w:val="Hyperlink"/>
          <w:lang w:val="en-US"/>
        </w:rPr>
        <w:t>4</w:t>
      </w:r>
      <w:r>
        <w:rPr>
          <w:rStyle w:val="Hyperlink"/>
          <w:lang w:val="en-US"/>
        </w:rPr>
        <w:fldChar w:fldCharType="end"/>
      </w:r>
      <w:r>
        <w:rPr>
          <w:lang w:val="en-US"/>
        </w:rPr>
        <w:t>] The disease may occur either in an idiopathic form or as a paraneoplastic syndrome, the latter being associated commonly with ovarian teratomas (in about 60% women).[</w:t>
      </w:r>
      <w:r>
        <w:fldChar w:fldCharType="begin"/>
      </w:r>
      <w:r>
        <w:rPr>
          <w:rStyle w:val="Hyperlink"/>
          <w:lang w:val="en-US"/>
        </w:rPr>
        <w:instrText xml:space="preserve"> HYPERLINK "https://www.ncbi.nlm.nih.gov/pmc/articles/PMC3783718/?report=printable" \l "ref5"</w:instrText>
      </w:r>
      <w:r>
        <w:rPr>
          <w:rStyle w:val="Hyperlink"/>
          <w:lang w:val="en-US"/>
        </w:rPr>
        <w:fldChar w:fldCharType="separate"/>
      </w:r>
      <w:r>
        <w:rPr>
          <w:rStyle w:val="Hyperlink"/>
          <w:lang w:val="en-US"/>
        </w:rPr>
        <w:t>5</w:t>
      </w:r>
      <w:r>
        <w:rPr>
          <w:rStyle w:val="Hyperlink"/>
          <w:lang w:val="en-US"/>
        </w:rPr>
        <w:fldChar w:fldCharType="end"/>
      </w:r>
      <w:r>
        <w:rPr>
          <w:lang w:val="en-US"/>
        </w:rPr>
        <w:t>] Pediatric cases are lesser defined and found to behave differently from adults in certain ways, despite considerable similarities. Younger patients are reported to present more with speech problems, seizures, behavioral issues, and abnormal movements, while dysautonomia and hypoventilation are less frequent, and when present, less severe than in adults. The behavioral syndrome may be less recognizable than the frank psychosis-like features of adults. Besides, the probability of finding a tumor is lesser.[</w:t>
      </w:r>
      <w:r>
        <w:fldChar w:fldCharType="begin"/>
      </w:r>
      <w:r>
        <w:rPr>
          <w:rStyle w:val="Hyperlink"/>
          <w:lang w:val="en-US"/>
        </w:rPr>
        <w:instrText xml:space="preserve"> HYPERLINK "https://www.ncbi.nlm.nih.gov/pmc/articles/PMC3783718/?report=printable"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 Presentation in a child with focal seizures associated with ictal gyral swelling related transient focal hyper intensities in MRI Brain (the most plausible explanation in our patient too) has been reported before.[</w:t>
      </w:r>
      <w:r>
        <w:fldChar w:fldCharType="begin"/>
      </w:r>
      <w:r>
        <w:rPr>
          <w:rStyle w:val="Hyperlink"/>
          <w:lang w:val="en-US"/>
        </w:rPr>
        <w:instrText xml:space="preserve"> HYPERLINK "https://www.ncbi.nlm.nih.gov/pmc/articles/PMC3783718/?report=printable"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 Our case conforms to the described pattern for children, with relentless seizures, speech abnormalities, and extra pyramidal features being the central clinical features while hypoventilation, dysautonomia or psychotic features were conspicuous by their absence.</w:t>
      </w:r>
    </w:p>
    <w:p>
      <w:pPr>
        <w:pStyle w:val="Normal"/>
        <w:rPr/>
      </w:pPr>
      <w:r>
        <w:rPr>
          <w:lang w:val="en-US"/>
        </w:rPr>
        <w:t>Antibodies against the NR1 subunit of NMDA receptors which act at widespread sites in the brain are thought to be pathogenic for anti-NMDARE.[</w:t>
      </w:r>
      <w:r>
        <w:fldChar w:fldCharType="begin"/>
      </w:r>
      <w:r>
        <w:rPr>
          <w:rStyle w:val="Hyperlink"/>
          <w:lang w:val="en-US"/>
        </w:rPr>
        <w:instrText xml:space="preserve"> HYPERLINK "https://www.ncbi.nlm.nih.gov/pmc/articles/PMC3783718/?report=printable"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 The differences in NMDA receptor expression in brain in children in comparison with adults may account for the relative differences in frequency and severity of certain clinical features described before.[</w:t>
      </w:r>
      <w:r>
        <w:fldChar w:fldCharType="begin"/>
      </w:r>
      <w:r>
        <w:rPr>
          <w:rStyle w:val="Hyperlink"/>
          <w:lang w:val="en-US"/>
        </w:rPr>
        <w:instrText xml:space="preserve"> HYPERLINK "https://www.ncbi.nlm.nih.gov/pmc/articles/PMC3783718/?report=printable"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w:t>
      </w:r>
    </w:p>
    <w:p>
      <w:pPr>
        <w:pStyle w:val="Normal"/>
        <w:rPr/>
      </w:pPr>
      <w:r>
        <w:rPr>
          <w:lang w:val="en-US"/>
        </w:rPr>
        <w:t>An MRI brain in anti-NMDARE may be normal or may demonstrate non-specific, non-contrast enhancing white matter hyper intensities in the T2-weighted or FLAIR sequences. CSF may be abnormal, with moderate lymphocytic pleocytosis and normal or mildly increased protein concentration in up to 80% of patients. CSF anti-NMDAR antibodies are highly positive and titers correlate with disease process.[</w:t>
      </w:r>
      <w:r>
        <w:fldChar w:fldCharType="begin"/>
      </w:r>
      <w:r>
        <w:rPr>
          <w:rStyle w:val="Hyperlink"/>
          <w:lang w:val="en-US"/>
        </w:rPr>
        <w:instrText xml:space="preserve"> HYPERLINK "https://www.ncbi.nlm.nih.gov/pmc/articles/PMC3783718/?report=printable" \l "ref5"</w:instrText>
      </w:r>
      <w:r>
        <w:rPr>
          <w:rStyle w:val="Hyperlink"/>
          <w:lang w:val="en-US"/>
        </w:rPr>
        <w:fldChar w:fldCharType="separate"/>
      </w:r>
      <w:r>
        <w:rPr>
          <w:rStyle w:val="Hyperlink"/>
          <w:lang w:val="en-US"/>
        </w:rPr>
        <w:t>5</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 Our patient also had left temporal arachnoid cyst as a co-incidental finding on MRI brain. Had the possibility of immune encephalitis not been considered, the fact that her seizures clinically and electrographically localized to left temporal region could have led to the erroneous assumption of the arachnoid cyst being the substrate of epilepsy. The high index of suspicion for immune encephalitis by the treating neurologist in view of the constellation of clinical features, mild lymphocytic pleocytosis in CSF, negative viral markers, and finally the positive CSF anti-NMDAR antibodies clinched the correct diagnosis in this case.</w:t>
      </w:r>
    </w:p>
    <w:p>
      <w:pPr>
        <w:pStyle w:val="Normal"/>
        <w:rPr/>
      </w:pPr>
      <w:r>
        <w:rPr>
          <w:lang w:val="en-US"/>
        </w:rPr>
        <w:t>Although no standard of care exists, as in adult cases, immunotherapy with prednisolone, plasmapheresis or IVIG constitutes the first-line approach in children too, usually with gratifying response. More vigorous immunotherapy, with rituximab or cyclophosphamide, may be considered in non-responsive cases. Some patients may need continued immunosuppressants (mycophenolate mofetil or azathioprine) for up to a year after discontinuation of initial immunotherapies to prevent relapse.[</w:t>
      </w:r>
      <w:r>
        <w:fldChar w:fldCharType="begin"/>
      </w:r>
      <w:r>
        <w:rPr>
          <w:rStyle w:val="Hyperlink"/>
          <w:lang w:val="en-US"/>
        </w:rPr>
        <w:instrText xml:space="preserve"> HYPERLINK "https://www.ncbi.nlm.nih.gov/pmc/articles/PMC3783718/?report=printable" \l "ref5"</w:instrText>
      </w:r>
      <w:r>
        <w:rPr>
          <w:rStyle w:val="Hyperlink"/>
          <w:lang w:val="en-US"/>
        </w:rPr>
        <w:fldChar w:fldCharType="separate"/>
      </w:r>
      <w:r>
        <w:rPr>
          <w:rStyle w:val="Hyperlink"/>
          <w:lang w:val="en-US"/>
        </w:rPr>
        <w:t>5</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p>
    <w:p>
      <w:pPr>
        <w:pStyle w:val="Normal"/>
        <w:rPr/>
      </w:pPr>
      <w:r>
        <w:rPr>
          <w:lang w:val="en-US"/>
        </w:rPr>
        <w:t>While tumor removal constitutes an important therapeutic approach in adult patients with tumor, tumors are not found in most of pediatric cases. However, this does not preclude the need to actively look out for a tumor (usually ovarian teratoma in young girls) and to follow the patient with periodic screening for teratomas, even if patients have recovered from encephalitis.[</w:t>
      </w:r>
      <w:r>
        <w:fldChar w:fldCharType="begin"/>
      </w:r>
      <w:r>
        <w:rPr>
          <w:rStyle w:val="Hyperlink"/>
          <w:lang w:val="en-US"/>
        </w:rPr>
        <w:instrText xml:space="preserve"> HYPERLINK "https://www.ncbi.nlm.nih.gov/pmc/articles/PMC3783718/?report=printable" \l "ref5"</w:instrText>
      </w:r>
      <w:r>
        <w:rPr>
          <w:rStyle w:val="Hyperlink"/>
          <w:lang w:val="en-US"/>
        </w:rPr>
        <w:fldChar w:fldCharType="separate"/>
      </w:r>
      <w:r>
        <w:rPr>
          <w:rStyle w:val="Hyperlink"/>
          <w:lang w:val="en-US"/>
        </w:rPr>
        <w:t>5</w:t>
      </w:r>
      <w:r>
        <w:rPr>
          <w:rStyle w:val="Hyperlink"/>
          <w:lang w:val="en-US"/>
        </w:rPr>
        <w:fldChar w:fldCharType="end"/>
      </w:r>
      <w:r>
        <w:rPr>
          <w:lang w:val="en-US"/>
        </w:rPr>
        <w:t>,</w:t>
      </w:r>
      <w:r>
        <w:fldChar w:fldCharType="begin"/>
      </w:r>
      <w:r>
        <w:rPr>
          <w:rStyle w:val="Hyperlink"/>
          <w:lang w:val="en-US"/>
        </w:rPr>
        <w:instrText xml:space="preserve"> HYPERLINK "https://www.ncbi.nlm.nih.gov/pmc/articles/PMC3783718/?report=printable"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 Considering the age-related limitations of some tests (e.g., trans-vaginal ultrasound; exposure to radiation with repeat CT scans), six monthly ultrasound and MRI of abdomen and pelvis for at least two years are recommended by most experts. In view of lesser number of patients, the recommendations for male adults or children are less clear.[</w:t>
      </w:r>
      <w:r>
        <w:fldChar w:fldCharType="begin"/>
      </w:r>
      <w:r>
        <w:rPr>
          <w:rStyle w:val="Hyperlink"/>
          <w:lang w:val="en-US"/>
        </w:rPr>
        <w:instrText xml:space="preserve"> HYPERLINK "https://www.ncbi.nlm.nih.gov/pmc/articles/PMC3783718/?report=printable"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w:t>
      </w:r>
    </w:p>
    <w:p>
      <w:pPr>
        <w:pStyle w:val="Normal"/>
        <w:rPr>
          <w:lang w:val="en-US"/>
        </w:rPr>
      </w:pPr>
      <w:r>
        <w:rPr>
          <w:lang w:val="en-US"/>
        </w:rPr>
        <w:t>In conclusion, this case report illustrates the need to consider the diagnosis of anti-NMDAR encephalitis in children with unexplained relentless seizures in the appropriate clinical context. Pediatricians and pediatric neurologists should be aware of the occurrence of anti-NMDARE in children and its subtle differences from the better characterized adult picture of NMDARE to enable a high index of diagnostic suspicion of this treatable disorder.</w:t>
      </w:r>
    </w:p>
    <w:p>
      <w:pPr>
        <w:pStyle w:val="Normal"/>
        <w:rPr>
          <w:lang w:val="en-US"/>
        </w:rPr>
      </w:pPr>
      <w:hyperlink r:id="rId18">
        <w:r>
          <w:rPr>
            <w:rStyle w:val="Hyperlink"/>
            <w:lang w:val="en-US"/>
          </w:rPr>
          <w:t>Go to:</w:t>
        </w:r>
      </w:hyperlink>
    </w:p>
    <w:p>
      <w:pPr>
        <w:pStyle w:val="Normal"/>
        <w:rPr>
          <w:b/>
          <w:bCs/>
          <w:lang w:val="en-US"/>
        </w:rPr>
      </w:pPr>
      <w:r>
        <w:rPr>
          <w:b/>
          <w:bCs/>
          <w:lang w:val="en-US"/>
        </w:rPr>
        <w:t>Footnotes</w:t>
      </w:r>
    </w:p>
    <w:p>
      <w:pPr>
        <w:pStyle w:val="Normal"/>
        <w:rPr/>
      </w:pPr>
      <w:r>
        <w:rPr>
          <w:b/>
          <w:bCs/>
          <w:lang w:val="en-US"/>
        </w:rPr>
        <w:t>Source of Support:</w:t>
      </w:r>
      <w:r>
        <w:rPr>
          <w:lang w:val="en-US"/>
        </w:rPr>
        <w:t> Nil</w:t>
      </w:r>
    </w:p>
    <w:p>
      <w:pPr>
        <w:pStyle w:val="Normal"/>
        <w:rPr/>
      </w:pPr>
      <w:r>
        <w:rPr>
          <w:b/>
          <w:bCs/>
          <w:lang w:val="en-US"/>
        </w:rPr>
        <w:t>Conflict of Interest:</w:t>
      </w:r>
      <w:r>
        <w:rPr>
          <w:lang w:val="en-US"/>
        </w:rPr>
        <w:t> None declared.</w:t>
      </w:r>
    </w:p>
    <w:p>
      <w:pPr>
        <w:pStyle w:val="Normal"/>
        <w:rPr>
          <w:lang w:val="en-US"/>
        </w:rPr>
      </w:pPr>
      <w:hyperlink r:id="rId19">
        <w:r>
          <w:rPr>
            <w:rStyle w:val="Hyperlink"/>
            <w:lang w:val="en-US"/>
          </w:rPr>
          <w:t>Go to:</w:t>
        </w:r>
      </w:hyperlink>
    </w:p>
    <w:p>
      <w:pPr>
        <w:pStyle w:val="Normal"/>
        <w:rPr>
          <w:b/>
          <w:bCs/>
          <w:lang w:val="en-US"/>
        </w:rPr>
      </w:pPr>
      <w:r>
        <w:rPr>
          <w:b/>
          <w:bCs/>
          <w:lang w:val="en-US"/>
        </w:rPr>
        <w:t>References</w:t>
      </w:r>
    </w:p>
    <w:p>
      <w:pPr>
        <w:pStyle w:val="Normal"/>
        <w:rPr>
          <w:lang w:val="en-US"/>
        </w:rPr>
      </w:pPr>
      <w:r>
        <w:rPr>
          <w:lang w:val="en-US"/>
        </w:rPr>
        <w:t>1. Dalmau J, Tüzün E, Wu HY, Masjuan J, Rossi JE, Voloschin A, et al. Paraneoplastic anti-N-methyl-D-aspartate receptor encephalitis associated with ovarian teratoma. Ann Neurol. 2007;61:25–36.[PMCID: PMC2430743] [PubMed: 17262855]</w:t>
      </w:r>
    </w:p>
    <w:p>
      <w:pPr>
        <w:pStyle w:val="Normal"/>
        <w:rPr>
          <w:lang w:val="en-US"/>
        </w:rPr>
      </w:pPr>
      <w:r>
        <w:rPr>
          <w:lang w:val="en-US"/>
        </w:rPr>
        <w:t>2. Maramattom BV, Philip C, Sundaram PS. Idiopathic anti NMDA-receptor encephalitis in a young Indian girl. Neurol India. 2010;58:671–2. [PubMed: 20739825]</w:t>
      </w:r>
    </w:p>
    <w:p>
      <w:pPr>
        <w:pStyle w:val="Normal"/>
        <w:rPr>
          <w:lang w:val="en-US"/>
        </w:rPr>
      </w:pPr>
      <w:r>
        <w:rPr>
          <w:lang w:val="en-US"/>
        </w:rPr>
        <w:t>3. Davies G, Irani SR, Coltart C, Ingle G, Amin Y, Taylor C, et al. Anti-N-methyl-D-aspartate receptor antibodies: A potentially treatable cause of encephalitis in the intensive care unit. Crit Care Med. 2010;38:679–82. [PubMed: 20016378]</w:t>
      </w:r>
    </w:p>
    <w:p>
      <w:pPr>
        <w:pStyle w:val="Normal"/>
        <w:rPr>
          <w:lang w:val="en-US"/>
        </w:rPr>
      </w:pPr>
      <w:r>
        <w:rPr>
          <w:lang w:val="en-US"/>
        </w:rPr>
        <w:t>4. Iizuka T, Sakai F, Ide T, Monzen T, Yoshii S, Iigaya M, et al. Anti-NMDA receptor encephalitis in Japan. Long-term outcome without tumor removal. Neurology. 2008;70:504–11. [PMCID: PMC2586938][PubMed: 17898324]</w:t>
      </w:r>
    </w:p>
    <w:p>
      <w:pPr>
        <w:pStyle w:val="Normal"/>
        <w:rPr>
          <w:lang w:val="en-US"/>
        </w:rPr>
      </w:pPr>
      <w:r>
        <w:rPr>
          <w:lang w:val="en-US"/>
        </w:rPr>
        <w:t>5. Dalmau J, Lancaster E, Martinez-Hernandez E, Rosenfeld MR, Balice-Gordon R. Clinical experience and laboratory investigations in patients with anti-NMDAR encephalitis. Lancet Neurol. 2011;10:63–74.[PMCID: PMC3158385] [PubMed: 21163445]</w:t>
      </w:r>
    </w:p>
    <w:p>
      <w:pPr>
        <w:pStyle w:val="Normal"/>
        <w:rPr>
          <w:lang w:val="en-US"/>
        </w:rPr>
      </w:pPr>
      <w:r>
        <w:rPr>
          <w:lang w:val="en-US"/>
        </w:rPr>
        <w:t>6. Florance-Ryan N, Dalmau J. Update on anti-N-methyl-D-aspartate receptor encephalitis in children and adolescents. Curr Opin Pediatr. 2010;22:739–44. [PubMed: 21045695]</w:t>
      </w:r>
    </w:p>
    <w:p>
      <w:pPr>
        <w:pStyle w:val="Normal"/>
        <w:rPr>
          <w:lang w:val="en-US"/>
        </w:rPr>
      </w:pPr>
      <w:r>
        <w:rPr>
          <w:lang w:val="en-US"/>
        </w:rPr>
        <w:t>7. Goldberg EM, Taub KS, Kessler SK, Abend NS. Anti-NMDA receptor encephalitis presenting with focal non-convulsive status epilepticus in a child. Neuropediatrics. 2011;42:188–90. [PMCID: PMC3414262][PubMed: 22109736]</w:t>
      </w:r>
    </w:p>
    <w:p>
      <w:pPr>
        <w:pStyle w:val="Normal"/>
        <w:rPr>
          <w:lang w:val="en-US"/>
        </w:rPr>
      </w:pPr>
      <w:r>
        <w:rPr>
          <w:lang w:val="en-US"/>
        </w:rPr>
        <w:t>8. Maramattom BV, Jacob A. N-methyl D-aspartate receptor encephalitis: A new addition to the spectrum of autoimmune encephalitis. Ann Indian Acad Neurol. 2011;14:153–7. [PMCID: PMC3200034][PubMed: 22028524]</w:t>
      </w:r>
    </w:p>
    <w:p>
      <w:pPr>
        <w:pStyle w:val="Normal"/>
        <w:rPr>
          <w:lang w:val="en-US"/>
        </w:rPr>
      </w:pPr>
      <w:hyperlink r:id="rId20">
        <w:r>
          <w:rPr>
            <w:rStyle w:val="Hyperlink"/>
            <w:lang w:val="en-US"/>
          </w:rPr>
          <w:t>Go to:</w:t>
        </w:r>
      </w:hyperlink>
    </w:p>
    <w:p>
      <w:pPr>
        <w:pStyle w:val="Normal"/>
        <w:rPr>
          <w:b/>
          <w:bCs/>
          <w:lang w:val="en-US"/>
        </w:rPr>
      </w:pPr>
      <w:r>
        <w:rPr>
          <w:b/>
          <w:bCs/>
          <w:lang w:val="en-US"/>
        </w:rPr>
        <w:t>Figures and Tables</w:t>
      </w:r>
    </w:p>
    <w:p>
      <w:pPr>
        <w:pStyle w:val="Normal"/>
        <w:rPr>
          <w:b/>
          <w:bCs/>
          <w:lang w:val="it-IT"/>
        </w:rPr>
      </w:pPr>
      <w:r>
        <w:rPr>
          <w:b/>
          <w:bCs/>
          <w:lang w:val="it-IT"/>
        </w:rPr>
        <w:t>Figure 1</w:t>
      </w:r>
    </w:p>
    <w:p>
      <w:pPr>
        <w:pStyle w:val="Normal"/>
        <w:rPr>
          <w:lang w:val="it-IT"/>
        </w:rPr>
      </w:pPr>
      <w:r>
        <w:rPr>
          <w:lang w:val="it-IT" w:eastAsia="en-US"/>
        </w:rPr>
        <w:drawing>
          <wp:inline distT="0" distB="0" distL="0" distR="0">
            <wp:extent cx="4230370" cy="5125720"/>
            <wp:effectExtent l="0" t="0" r="0" b="0"/>
            <wp:docPr id="1" name="Immagine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7" descr="" title=""/>
                    <pic:cNvPicPr>
                      <a:picLocks noChangeAspect="1" noChangeArrowheads="1"/>
                    </pic:cNvPicPr>
                  </pic:nvPicPr>
                  <pic:blipFill>
                    <a:blip r:embed="rId21"/>
                    <a:srcRect l="-9" t="-7" r="-9" b="-7"/>
                    <a:stretch>
                      <a:fillRect/>
                    </a:stretch>
                  </pic:blipFill>
                  <pic:spPr bwMode="auto">
                    <a:xfrm>
                      <a:off x="0" y="0"/>
                      <a:ext cx="4230370" cy="5125720"/>
                    </a:xfrm>
                    <a:prstGeom prst="rect">
                      <a:avLst/>
                    </a:prstGeom>
                    <a:noFill/>
                  </pic:spPr>
                </pic:pic>
              </a:graphicData>
            </a:graphic>
          </wp:inline>
        </w:drawing>
      </w:r>
    </w:p>
    <w:p>
      <w:pPr>
        <w:pStyle w:val="Normal"/>
        <w:rPr>
          <w:lang w:val="en-US"/>
        </w:rPr>
      </w:pPr>
      <w:r>
        <w:rPr>
          <w:lang w:val="en-US"/>
        </w:rPr>
        <w:t>Axial FLAIR MRI brain showing left temporal arachnoid cyst</w:t>
      </w:r>
    </w:p>
    <w:p>
      <w:pPr>
        <w:pStyle w:val="Normal"/>
        <w:rPr>
          <w:b/>
          <w:bCs/>
          <w:lang w:val="it-IT"/>
        </w:rPr>
      </w:pPr>
      <w:r>
        <w:rPr>
          <w:b/>
          <w:bCs/>
          <w:lang w:val="it-IT"/>
        </w:rPr>
        <w:t>Figure 2</w:t>
      </w:r>
    </w:p>
    <w:p>
      <w:pPr>
        <w:pStyle w:val="Normal"/>
        <w:rPr>
          <w:lang w:val="it-IT"/>
        </w:rPr>
      </w:pPr>
      <w:r>
        <w:rPr>
          <w:lang w:val="it-IT" w:eastAsia="en-US"/>
        </w:rPr>
        <w:drawing>
          <wp:inline distT="0" distB="0" distL="0" distR="0">
            <wp:extent cx="4458970" cy="5125720"/>
            <wp:effectExtent l="0" t="0" r="0" b="0"/>
            <wp:docPr id="2" name="Immagine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8" descr="" title=""/>
                    <pic:cNvPicPr>
                      <a:picLocks noChangeAspect="1" noChangeArrowheads="1"/>
                    </pic:cNvPicPr>
                  </pic:nvPicPr>
                  <pic:blipFill>
                    <a:blip r:embed="rId22"/>
                    <a:srcRect l="-8" t="-7" r="-8" b="-7"/>
                    <a:stretch>
                      <a:fillRect/>
                    </a:stretch>
                  </pic:blipFill>
                  <pic:spPr bwMode="auto">
                    <a:xfrm>
                      <a:off x="0" y="0"/>
                      <a:ext cx="4458970" cy="5125720"/>
                    </a:xfrm>
                    <a:prstGeom prst="rect">
                      <a:avLst/>
                    </a:prstGeom>
                    <a:noFill/>
                  </pic:spPr>
                </pic:pic>
              </a:graphicData>
            </a:graphic>
          </wp:inline>
        </w:drawing>
      </w:r>
    </w:p>
    <w:p>
      <w:pPr>
        <w:pStyle w:val="Normal"/>
        <w:rPr>
          <w:lang w:val="en-US"/>
        </w:rPr>
      </w:pPr>
      <w:r>
        <w:rPr>
          <w:lang w:val="en-US"/>
        </w:rPr>
        <w:t>Axial FLAIR MRI brain showing left temporal gyral hyper intensities (arrow) in addition to arachnoid cyst</w:t>
      </w:r>
    </w:p>
    <w:p>
      <w:pPr>
        <w:pStyle w:val="Normal"/>
        <w:rPr>
          <w:lang w:val="it-IT"/>
        </w:rPr>
      </w:pPr>
      <w:r>
        <w:rPr>
          <w:lang w:val="it-IT"/>
        </w:rPr>
        <mc:AlternateContent>
          <mc:Choice Requires="wps">
            <w:drawing>
              <wp:inline distT="0" distB="0" distL="0" distR="0">
                <wp:extent cx="6120130" cy="635"/>
                <wp:effectExtent l="0" t="0" r="0" b="0"/>
                <wp:docPr id="3" name=""/>
                <a:graphic xmlns:a="http://schemas.openxmlformats.org/drawingml/2006/main">
                  <a:graphicData uri="http://schemas.microsoft.com/office/word/2010/wordprocessingShape">
                    <wps:wsp>
                      <wps:cNvSpPr/>
                      <wps:spPr>
                        <a:xfrm>
                          <a:off x="0" y="0"/>
                          <a:ext cx="612000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81.85pt;height:0pt;mso-wrap-style:none;v-text-anchor:middle;mso-position-vertical:top">
                <v:fill o:detectmouseclick="t" type="solid" color2="#5f5f5f"/>
                <v:stroke color="#3465a4" joinstyle="round" endcap="flat"/>
                <w10:wrap type="square"/>
              </v:rect>
            </w:pict>
          </mc:Fallback>
        </mc:AlternateContent>
      </w:r>
    </w:p>
    <w:p>
      <w:pPr>
        <w:pStyle w:val="Normal"/>
        <w:rPr>
          <w:lang w:val="en-US"/>
        </w:rPr>
      </w:pPr>
      <w:r>
        <w:rPr>
          <w:lang w:val="en-US"/>
        </w:rPr>
        <w:t>Articles from Journal of Pediatric Neurosciences are provided here courtesy of </w:t>
      </w:r>
      <w:r>
        <w:rPr>
          <w:b/>
          <w:bCs/>
          <w:lang w:val="en-US"/>
        </w:rPr>
        <w:t>Wolters Kluwer -- Medknow Publications</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103%2F1817-1745.117841" TargetMode="External"/><Relationship Id="rId3" Type="http://schemas.openxmlformats.org/officeDocument/2006/relationships/hyperlink" Target="https://www.ncbi.nlm.nih.gov/pubmed/24082929" TargetMode="External"/><Relationship Id="rId4" Type="http://schemas.openxmlformats.org/officeDocument/2006/relationships/hyperlink" Target="https://www.ncbi.nlm.nih.gov/pubmed/?term=Suri%20V%5BAuthor%5D&amp;cauthor=true&amp;cauthor_uid=24082929" TargetMode="External"/><Relationship Id="rId5" Type="http://schemas.openxmlformats.org/officeDocument/2006/relationships/hyperlink" Target="https://www.ncbi.nlm.nih.gov/pubmed/?term=Sharma%20S%5BAuthor%5D&amp;cauthor=true&amp;cauthor_uid=24082929" TargetMode="External"/><Relationship Id="rId6" Type="http://schemas.openxmlformats.org/officeDocument/2006/relationships/hyperlink" Target="https://www.ncbi.nlm.nih.gov/pubmed/?term=Gupta%20R%5BAuthor%5D&amp;cauthor=true&amp;cauthor_uid=24082929" TargetMode="External"/><Relationship Id="rId7" Type="http://schemas.openxmlformats.org/officeDocument/2006/relationships/hyperlink" Target="https://www.ncbi.nlm.nih.gov/pubmed/?term=Sogani%20SK%5BAuthor%5D&amp;cauthor=true&amp;cauthor_uid=24082929" TargetMode="External"/><Relationship Id="rId8" Type="http://schemas.openxmlformats.org/officeDocument/2006/relationships/hyperlink" Target="https://www.ncbi.nlm.nih.gov/pubmed/?term=Mediratta%20S%5BAuthor%5D&amp;cauthor=true&amp;cauthor_uid=24082929" TargetMode="External"/><Relationship Id="rId9" Type="http://schemas.openxmlformats.org/officeDocument/2006/relationships/hyperlink" Target="https://www.ncbi.nlm.nih.gov/pubmed/?term=Jadhao%20N%5BAuthor%5D&amp;cauthor=true&amp;cauthor_uid=24082929" TargetMode="External"/><Relationship Id="rId10" Type="http://schemas.openxmlformats.org/officeDocument/2006/relationships/hyperlink" Target="mailto:dev@null" TargetMode="External"/><Relationship Id="rId11" Type="http://schemas.openxmlformats.org/officeDocument/2006/relationships/hyperlink" Target="https://www.ncbi.nlm.nih.gov/pmc/about/copyright/" TargetMode="External"/><Relationship Id="rId12" Type="http://schemas.openxmlformats.org/officeDocument/2006/relationships/hyperlink" Target="https://www.ncbi.nlm.nih.gov/pmc/articles/PMC3783718/?report=printable" TargetMode="External"/><Relationship Id="rId13" Type="http://schemas.openxmlformats.org/officeDocument/2006/relationships/hyperlink" Target="https://www.ncbi.nlm.nih.gov/pmc/articles/PMC3783718/?report=printable" TargetMode="External"/><Relationship Id="rId14" Type="http://schemas.openxmlformats.org/officeDocument/2006/relationships/hyperlink" Target="https://www.ncbi.nlm.nih.gov/pmc/articles/PMC3783718/?report=printable" TargetMode="External"/><Relationship Id="rId15" Type="http://schemas.openxmlformats.org/officeDocument/2006/relationships/hyperlink" Target="https://www.ncbi.nlm.nih.gov/pmc/articles/PMC3783718/figure/F1/" TargetMode="External"/><Relationship Id="rId16" Type="http://schemas.openxmlformats.org/officeDocument/2006/relationships/hyperlink" Target="https://www.ncbi.nlm.nih.gov/pmc/articles/PMC3783718/figure/F2/" TargetMode="External"/><Relationship Id="rId17" Type="http://schemas.openxmlformats.org/officeDocument/2006/relationships/hyperlink" Target="https://www.ncbi.nlm.nih.gov/pmc/articles/PMC3783718/?report=printable" TargetMode="External"/><Relationship Id="rId18" Type="http://schemas.openxmlformats.org/officeDocument/2006/relationships/hyperlink" Target="https://www.ncbi.nlm.nih.gov/pmc/articles/PMC3783718/?report=printable" TargetMode="External"/><Relationship Id="rId19" Type="http://schemas.openxmlformats.org/officeDocument/2006/relationships/hyperlink" Target="https://www.ncbi.nlm.nih.gov/pmc/articles/PMC3783718/?report=printable" TargetMode="External"/><Relationship Id="rId20" Type="http://schemas.openxmlformats.org/officeDocument/2006/relationships/hyperlink" Target="https://www.ncbi.nlm.nih.gov/pmc/articles/PMC3783718/?report=printable" TargetMode="External"/><Relationship Id="rId21" Type="http://schemas.openxmlformats.org/officeDocument/2006/relationships/image" Target="media/image1.jpeg"/><Relationship Id="rId22" Type="http://schemas.openxmlformats.org/officeDocument/2006/relationships/image" Target="media/image2.jpe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2018-07-19T19:00:00Z</dcterms:created>
  <dc:creator>Margherita Nosadini</dc:creator>
  <dc:description/>
  <dc:language>en-US</dc:language>
  <cp:lastModifiedBy>Margherita Nosadini</cp:lastModifiedBy>
  <dcterms:modified xsi:type="dcterms:W3CDTF">2018-07-19T19:01:00Z</dcterms:modified>
  <cp:revision>1</cp:revision>
  <dc:subject/>
  <dc:title/>
</cp:coreProperties>
</file>